
<file path=[Content_Types].xml><?xml version="1.0" encoding="utf-8"?>
<Types xmlns="http://schemas.openxmlformats.org/package/2006/content-types">
  <Default Extension="rels" ContentType="application/vnd.openxmlformats-package.relationships+xml"/>
  <Default Extension="xml" ContentType="application/xml"/>
  <Override PartName="/docProps/core.xml" ContentType="application/vnd.openxmlformats-package.core-properties+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footer155.xml" ContentType="application/vnd.openxmlformats-officedocument.wordprocessingml.footer+xml"/>
  <Override PartName="/word/footer156.xml" ContentType="application/vnd.openxmlformats-officedocument.wordprocessingml.footer+xml"/>
  <Override PartName="/word/footer157.xml" ContentType="application/vnd.openxmlformats-officedocument.wordprocessingml.footer+xml"/>
  <Override PartName="/word/footer158.xml" ContentType="application/vnd.openxmlformats-officedocument.wordprocessingml.footer+xml"/>
  <Override PartName="/word/footer159.xml" ContentType="application/vnd.openxmlformats-officedocument.wordprocessingml.footer+xml"/>
  <Override PartName="/word/footer160.xml" ContentType="application/vnd.openxmlformats-officedocument.wordprocessingml.footer+xml"/>
  <Override PartName="/word/footer161.xml" ContentType="application/vnd.openxmlformats-officedocument.wordprocessingml.footer+xml"/>
  <Override PartName="/word/footer162.xml" ContentType="application/vnd.openxmlformats-officedocument.wordprocessingml.footer+xml"/>
  <Override PartName="/word/footer163.xml" ContentType="application/vnd.openxmlformats-officedocument.wordprocessingml.footer+xml"/>
  <Override PartName="/word/footer164.xml" ContentType="application/vnd.openxmlformats-officedocument.wordprocessingml.footer+xml"/>
  <Override PartName="/word/footer165.xml" ContentType="application/vnd.openxmlformats-officedocument.wordprocessingml.footer+xml"/>
  <Override PartName="/word/footer166.xml" ContentType="application/vnd.openxmlformats-officedocument.wordprocessingml.footer+xml"/>
  <Override PartName="/word/footer167.xml" ContentType="application/vnd.openxmlformats-officedocument.wordprocessingml.footer+xml"/>
  <Override PartName="/word/footer168.xml" ContentType="application/vnd.openxmlformats-officedocument.wordprocessingml.footer+xml"/>
  <Override PartName="/word/footer169.xml" ContentType="application/vnd.openxmlformats-officedocument.wordprocessingml.footer+xml"/>
  <Override PartName="/word/footer170.xml" ContentType="application/vnd.openxmlformats-officedocument.wordprocessingml.footer+xml"/>
  <Override PartName="/word/footer171.xml" ContentType="application/vnd.openxmlformats-officedocument.wordprocessingml.footer+xml"/>
  <Override PartName="/word/footer172.xml" ContentType="application/vnd.openxmlformats-officedocument.wordprocessingml.footer+xml"/>
  <Override PartName="/word/footer173.xml" ContentType="application/vnd.openxmlformats-officedocument.wordprocessingml.footer+xml"/>
  <Override PartName="/word/footer174.xml" ContentType="application/vnd.openxmlformats-officedocument.wordprocessingml.footer+xml"/>
  <Override PartName="/word/footer175.xml" ContentType="application/vnd.openxmlformats-officedocument.wordprocessingml.footer+xml"/>
  <Override PartName="/word/footer176.xml" ContentType="application/vnd.openxmlformats-officedocument.wordprocessingml.footer+xml"/>
  <Override PartName="/word/footer177.xml" ContentType="application/vnd.openxmlformats-officedocument.wordprocessingml.footer+xml"/>
  <Override PartName="/word/footer178.xml" ContentType="application/vnd.openxmlformats-officedocument.wordprocessingml.footer+xml"/>
  <Override PartName="/word/footer179.xml" ContentType="application/vnd.openxmlformats-officedocument.wordprocessingml.footer+xml"/>
  <Override PartName="/word/footer180.xml" ContentType="application/vnd.openxmlformats-officedocument.wordprocessingml.footer+xml"/>
  <Override PartName="/word/footer181.xml" ContentType="application/vnd.openxmlformats-officedocument.wordprocessingml.footer+xml"/>
  <Override PartName="/word/footer182.xml" ContentType="application/vnd.openxmlformats-officedocument.wordprocessingml.footer+xml"/>
  <Override PartName="/word/footer183.xml" ContentType="application/vnd.openxmlformats-officedocument.wordprocessingml.footer+xml"/>
  <Override PartName="/word/footer184.xml" ContentType="application/vnd.openxmlformats-officedocument.wordprocessingml.footer+xml"/>
  <Override PartName="/word/footer185.xml" ContentType="application/vnd.openxmlformats-officedocument.wordprocessingml.footer+xml"/>
  <Override PartName="/word/footer186.xml" ContentType="application/vnd.openxmlformats-officedocument.wordprocessingml.footer+xml"/>
  <Override PartName="/word/footer187.xml" ContentType="application/vnd.openxmlformats-officedocument.wordprocessingml.footer+xml"/>
  <Override PartName="/word/footer188.xml" ContentType="application/vnd.openxmlformats-officedocument.wordprocessingml.footer+xml"/>
  <Override PartName="/word/footer189.xml" ContentType="application/vnd.openxmlformats-officedocument.wordprocessingml.footer+xml"/>
  <Override PartName="/word/footer190.xml" ContentType="application/vnd.openxmlformats-officedocument.wordprocessingml.footer+xml"/>
  <Override PartName="/word/footer191.xml" ContentType="application/vnd.openxmlformats-officedocument.wordprocessingml.footer+xml"/>
  <Override PartName="/word/footer192.xml" ContentType="application/vnd.openxmlformats-officedocument.wordprocessingml.footer+xml"/>
  <Override PartName="/word/footer193.xml" ContentType="application/vnd.openxmlformats-officedocument.wordprocessingml.footer+xml"/>
  <Override PartName="/word/footer194.xml" ContentType="application/vnd.openxmlformats-officedocument.wordprocessingml.footer+xml"/>
  <Override PartName="/word/footer195.xml" ContentType="application/vnd.openxmlformats-officedocument.wordprocessingml.footer+xml"/>
  <Override PartName="/word/footer196.xml" ContentType="application/vnd.openxmlformats-officedocument.wordprocessingml.footer+xml"/>
  <Override PartName="/word/footer197.xml" ContentType="application/vnd.openxmlformats-officedocument.wordprocessingml.footer+xml"/>
  <Override PartName="/word/footer198.xml" ContentType="application/vnd.openxmlformats-officedocument.wordprocessingml.footer+xml"/>
  <Override PartName="/word/footer199.xml" ContentType="application/vnd.openxmlformats-officedocument.wordprocessingml.footer+xml"/>
  <Override PartName="/word/footer200.xml" ContentType="application/vnd.openxmlformats-officedocument.wordprocessingml.footer+xml"/>
  <Override PartName="/word/footer201.xml" ContentType="application/vnd.openxmlformats-officedocument.wordprocessingml.footer+xml"/>
  <Override PartName="/word/footer202.xml" ContentType="application/vnd.openxmlformats-officedocument.wordprocessingml.footer+xml"/>
  <Override PartName="/word/footer203.xml" ContentType="application/vnd.openxmlformats-officedocument.wordprocessingml.footer+xml"/>
  <Override PartName="/word/footer204.xml" ContentType="application/vnd.openxmlformats-officedocument.wordprocessingml.footer+xml"/>
  <Override PartName="/word/footer205.xml" ContentType="application/vnd.openxmlformats-officedocument.wordprocessingml.footer+xml"/>
  <Override PartName="/word/footer206.xml" ContentType="application/vnd.openxmlformats-officedocument.wordprocessingml.footer+xml"/>
  <Override PartName="/word/footer207.xml" ContentType="application/vnd.openxmlformats-officedocument.wordprocessingml.footer+xml"/>
  <Override PartName="/word/footer208.xml" ContentType="application/vnd.openxmlformats-officedocument.wordprocessingml.footer+xml"/>
  <Override PartName="/word/footer209.xml" ContentType="application/vnd.openxmlformats-officedocument.wordprocessingml.footer+xml"/>
  <Override PartName="/word/footer210.xml" ContentType="application/vnd.openxmlformats-officedocument.wordprocessingml.footer+xml"/>
  <Override PartName="/word/footer211.xml" ContentType="application/vnd.openxmlformats-officedocument.wordprocessingml.footer+xml"/>
  <Override PartName="/word/footer212.xml" ContentType="application/vnd.openxmlformats-officedocument.wordprocessingml.footer+xml"/>
  <Override PartName="/word/footer213.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xmlns:w15="http://schemas.microsoft.com/office/word/2012/wordml" mc:Ignorable="w15">
  <w:body>
    <w:p>
      <w:pPr>
        <w:widowControl w:val="0"/>
        <w:jc w:val="center"/>
        <w:rPr>
          <w:sz w:val="2"/>
          <w:szCs w:val="2"/>
        </w:rPr>
      </w:pPr>
      <w:r>
        <w:drawing>
          <wp:inline>
            <wp:extent cx="5407025" cy="3486785"/>
            <wp:docPr id="1" name="Picutre 1"/>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stretch/>
                  </pic:blipFill>
                  <pic:spPr>
                    <a:xfrm>
                      <a:ext cx="5407025" cy="3486785"/>
                    </a:xfrm>
                    <a:prstGeom prst="rect"/>
                  </pic:spPr>
                </pic:pic>
              </a:graphicData>
            </a:graphic>
          </wp:inline>
        </w:drawing>
      </w:r>
    </w:p>
    <w:p>
      <w:pPr>
        <w:widowControl w:val="0"/>
        <w:spacing w:after="3859" w:line="1" w:lineRule="exact"/>
      </w:pPr>
    </w:p>
    <w:p>
      <w:pPr>
        <w:pStyle w:val="Style2"/>
        <w:keepNext w:val="0"/>
        <w:keepLines w:val="0"/>
        <w:widowControl w:val="0"/>
        <w:pBdr>
          <w:top w:val="single" w:sz="0" w:space="0" w:color="1350A1"/>
          <w:left w:val="single" w:sz="0" w:space="0" w:color="1350A1"/>
          <w:bottom w:val="single" w:sz="0" w:space="0" w:color="1350A1"/>
          <w:right w:val="single" w:sz="0" w:space="0" w:color="1350A1"/>
        </w:pBdr>
        <w:shd w:val="clear" w:color="auto" w:fill="1350A1"/>
        <w:bidi w:val="0"/>
        <w:spacing w:before="0" w:after="800" w:line="845" w:lineRule="exact"/>
        <w:ind w:left="4040" w:right="0" w:firstLine="0"/>
        <w:jc w:val="right"/>
        <w:rPr>
          <w:sz w:val="36"/>
          <w:szCs w:val="36"/>
        </w:rPr>
      </w:pPr>
      <w:r>
        <w:rPr>
          <w:rFonts w:ascii="Arial" w:eastAsia="Arial" w:hAnsi="Arial" w:cs="Arial"/>
          <w:color w:val="FFFFFF"/>
          <w:spacing w:val="0"/>
          <w:w w:val="100"/>
          <w:position w:val="0"/>
          <w:sz w:val="106"/>
          <w:szCs w:val="106"/>
        </w:rPr>
        <w:t>2C2C</w:t>
      </w:r>
      <w:r>
        <w:rPr>
          <w:rFonts w:ascii="Arial" w:eastAsia="Arial" w:hAnsi="Arial" w:cs="Arial"/>
          <w:color w:val="FFFFFF"/>
          <w:spacing w:val="0"/>
          <w:w w:val="100"/>
          <w:position w:val="0"/>
          <w:sz w:val="106"/>
          <w:szCs w:val="106"/>
          <w:vertAlign w:val="superscript"/>
        </w:rPr>
        <w:t xml:space="preserve">5 </w:t>
      </w:r>
      <w:r>
        <w:rPr>
          <w:rFonts w:ascii="SimHei" w:eastAsia="SimHei" w:hAnsi="SimHei" w:cs="SimHei"/>
          <w:color w:val="FFFFFF"/>
          <w:spacing w:val="0"/>
          <w:w w:val="100"/>
          <w:position w:val="0"/>
          <w:sz w:val="86"/>
          <w:szCs w:val="86"/>
        </w:rPr>
        <w:t xml:space="preserve">年度服告 </w:t>
      </w:r>
      <w:r>
        <w:rPr>
          <w:rFonts w:ascii="SimHei" w:eastAsia="SimHei" w:hAnsi="SimHei" w:cs="SimHei"/>
          <w:color w:val="DBE5EE"/>
          <w:spacing w:val="0"/>
          <w:w w:val="100"/>
          <w:position w:val="0"/>
          <w:sz w:val="36"/>
          <w:szCs w:val="36"/>
        </w:rPr>
        <w:t>北京神州泰岳软件股份有限公司</w:t>
      </w:r>
    </w:p>
    <w:p>
      <w:pPr>
        <w:widowControl w:val="0"/>
        <w:jc w:val="center"/>
        <w:rPr>
          <w:sz w:val="2"/>
          <w:szCs w:val="2"/>
        </w:rPr>
        <w:sectPr>
          <w:footnotePr>
            <w:pos w:val="pageBottom"/>
            <w:numFmt w:val="decimal"/>
            <w:numRestart w:val="continuous"/>
          </w:footnotePr>
          <w:pgSz w:w="11904" w:h="17375"/>
          <w:pgMar w:top="168" w:right="139" w:bottom="168" w:left="2045" w:header="0" w:footer="3" w:gutter="0"/>
          <w:pgNumType w:start="1"/>
          <w:cols w:space="720"/>
          <w:noEndnote/>
          <w:rtlGutter w:val="0"/>
          <w:docGrid w:linePitch="360"/>
        </w:sectPr>
      </w:pPr>
      <w:r>
        <w:drawing>
          <wp:inline>
            <wp:extent cx="1615440" cy="2377440"/>
            <wp:docPr id="2" name="Picutre 2"/>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stretch/>
                  </pic:blipFill>
                  <pic:spPr>
                    <a:xfrm>
                      <a:ext cx="1615440" cy="2377440"/>
                    </a:xfrm>
                    <a:prstGeom prst="rect"/>
                  </pic:spPr>
                </pic:pic>
              </a:graphicData>
            </a:graphic>
          </wp:inline>
        </w:drawing>
      </w:r>
    </w:p>
    <w:p>
      <w:pPr>
        <w:pStyle w:val="Style7"/>
        <w:keepNext/>
        <w:keepLines/>
        <w:widowControl w:val="0"/>
        <w:shd w:val="clear" w:color="auto" w:fill="auto"/>
        <w:bidi w:val="0"/>
        <w:spacing w:before="0" w:after="400" w:line="240" w:lineRule="auto"/>
        <w:ind w:left="0" w:right="0" w:firstLine="0"/>
        <w:jc w:val="center"/>
      </w:pPr>
      <w:bookmarkStart w:id="0" w:name="bookmark0"/>
      <w:bookmarkStart w:id="1" w:name="bookmark1"/>
      <w:bookmarkStart w:id="2" w:name="bookmark2"/>
      <w:r>
        <w:rPr>
          <w:color w:val="000000"/>
          <w:spacing w:val="0"/>
          <w:w w:val="100"/>
          <w:position w:val="0"/>
        </w:rPr>
        <w:t>第一节重要提示、目录和释义</w:t>
      </w:r>
      <w:bookmarkEnd w:id="0"/>
      <w:bookmarkEnd w:id="1"/>
      <w:bookmarkEnd w:id="2"/>
    </w:p>
    <w:p>
      <w:pPr>
        <w:pStyle w:val="Style16"/>
        <w:keepNext w:val="0"/>
        <w:keepLines w:val="0"/>
        <w:widowControl w:val="0"/>
        <w:shd w:val="clear" w:color="auto" w:fill="auto"/>
        <w:bidi w:val="0"/>
        <w:spacing w:before="0" w:after="0" w:line="468" w:lineRule="exact"/>
        <w:ind w:left="0" w:right="0"/>
        <w:jc w:val="both"/>
      </w:pPr>
      <w:r>
        <w:rPr>
          <w:color w:val="000000"/>
          <w:spacing w:val="0"/>
          <w:w w:val="100"/>
          <w:position w:val="0"/>
        </w:rPr>
        <w:t>公司董事会、监事会及董事、监事、高级管理人员保证年度报告内容的真实、准确、完整，不存在虚 假记载、误导性陈述或者重大遗漏，并承担个别和连带的法律责任。</w:t>
      </w:r>
    </w:p>
    <w:p>
      <w:pPr>
        <w:pStyle w:val="Style16"/>
        <w:keepNext w:val="0"/>
        <w:keepLines w:val="0"/>
        <w:widowControl w:val="0"/>
        <w:shd w:val="clear" w:color="auto" w:fill="auto"/>
        <w:bidi w:val="0"/>
        <w:spacing w:before="0" w:after="680" w:line="468" w:lineRule="exact"/>
        <w:ind w:left="0" w:right="0"/>
        <w:jc w:val="both"/>
      </w:pPr>
      <w:r>
        <w:rPr>
          <w:color w:val="000000"/>
          <w:spacing w:val="0"/>
          <w:w w:val="100"/>
          <w:position w:val="0"/>
        </w:rPr>
        <w:t>公司负责人冒大卫先生、主管会计工作负责人戈爱晶女士及会计机构负责人</w:t>
      </w:r>
      <w:r>
        <w:rPr>
          <w:rFonts w:ascii="Times New Roman" w:eastAsia="Times New Roman" w:hAnsi="Times New Roman" w:cs="Times New Roman"/>
          <w:color w:val="000000"/>
          <w:spacing w:val="0"/>
          <w:w w:val="100"/>
          <w:position w:val="0"/>
        </w:rPr>
        <w:t>（</w:t>
      </w:r>
      <w:r>
        <w:rPr>
          <w:color w:val="000000"/>
          <w:spacing w:val="0"/>
          <w:w w:val="100"/>
          <w:position w:val="0"/>
        </w:rPr>
        <w:t>会计主管人员</w:t>
      </w:r>
      <w:r>
        <w:rPr>
          <w:color w:val="000000"/>
          <w:spacing w:val="0"/>
          <w:w w:val="100"/>
          <w:position w:val="0"/>
        </w:rPr>
        <w:t>）</w:t>
      </w:r>
      <w:r>
        <w:rPr>
          <w:color w:val="000000"/>
          <w:spacing w:val="0"/>
          <w:w w:val="100"/>
          <w:position w:val="0"/>
        </w:rPr>
        <w:t>刘晓峰先 生声明：保证本年度报告中财务报告的真实、准确、完整。</w:t>
      </w:r>
    </w:p>
    <w:p>
      <w:pPr>
        <w:pStyle w:val="Style20"/>
        <w:keepNext w:val="0"/>
        <w:keepLines w:val="0"/>
        <w:widowControl w:val="0"/>
        <w:shd w:val="clear" w:color="auto" w:fill="auto"/>
        <w:bidi w:val="0"/>
        <w:spacing w:before="0" w:after="0" w:line="240" w:lineRule="auto"/>
        <w:ind w:left="446" w:right="0" w:firstLine="0"/>
        <w:jc w:val="left"/>
        <w:rPr>
          <w:sz w:val="20"/>
          <w:szCs w:val="20"/>
        </w:rPr>
      </w:pPr>
      <w:r>
        <w:rPr>
          <w:rFonts w:ascii="SimSun" w:eastAsia="SimSun" w:hAnsi="SimSun" w:cs="SimSun"/>
          <w:color w:val="000000"/>
          <w:spacing w:val="0"/>
          <w:w w:val="100"/>
          <w:position w:val="0"/>
          <w:sz w:val="20"/>
          <w:szCs w:val="20"/>
        </w:rPr>
        <w:t>除下列董事外，其他董事亲自出席了审议本次年报的董事会会议。</w:t>
      </w:r>
    </w:p>
    <w:tbl>
      <w:tblPr>
        <w:tblOverlap w:val="never"/>
        <w:jc w:val="center"/>
        <w:tblLayout w:type="fixed"/>
      </w:tblPr>
      <w:tblGrid>
        <w:gridCol w:w="2640"/>
        <w:gridCol w:w="2630"/>
        <w:gridCol w:w="2645"/>
        <w:gridCol w:w="1795"/>
      </w:tblGrid>
      <w:tr>
        <w:trPr>
          <w:trHeight w:val="624"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未亲自出席董事姓名</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未亲自出席董事职务</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未亲自出席会议原因</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被委托人姓名</w:t>
            </w:r>
          </w:p>
        </w:tc>
      </w:tr>
      <w:tr>
        <w:trPr>
          <w:trHeight w:val="576"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王宁先生</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董事</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公务原因</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冒大卫先生</w:t>
            </w:r>
          </w:p>
        </w:tc>
      </w:tr>
    </w:tbl>
    <w:p>
      <w:pPr>
        <w:widowControl w:val="0"/>
        <w:spacing w:after="359" w:line="1" w:lineRule="exact"/>
      </w:pPr>
    </w:p>
    <w:p>
      <w:pPr>
        <w:pStyle w:val="Style16"/>
        <w:keepNext w:val="0"/>
        <w:keepLines w:val="0"/>
        <w:widowControl w:val="0"/>
        <w:shd w:val="clear" w:color="auto" w:fill="auto"/>
        <w:bidi w:val="0"/>
        <w:spacing w:before="0" w:after="0"/>
        <w:ind w:left="0" w:right="0"/>
        <w:jc w:val="both"/>
      </w:pPr>
      <w:r>
        <w:rPr>
          <w:color w:val="000000"/>
          <w:spacing w:val="0"/>
          <w:w w:val="100"/>
          <w:position w:val="0"/>
        </w:rPr>
        <w:t>随着市场竞争的激烈、业务发展的深入，在战略规划、组织架构、运营管理、内部控制、激励机制、 企业文化建设等方面，都将对管理水平提出更大的挑战。</w:t>
      </w:r>
    </w:p>
    <w:p>
      <w:pPr>
        <w:pStyle w:val="Style16"/>
        <w:keepNext w:val="0"/>
        <w:keepLines w:val="0"/>
        <w:widowControl w:val="0"/>
        <w:shd w:val="clear" w:color="auto" w:fill="auto"/>
        <w:bidi w:val="0"/>
        <w:spacing w:before="0" w:after="0"/>
        <w:ind w:left="0" w:right="0"/>
        <w:jc w:val="both"/>
      </w:pPr>
      <w:r>
        <w:rPr>
          <w:color w:val="000000"/>
          <w:spacing w:val="0"/>
          <w:w w:val="100"/>
          <w:position w:val="0"/>
        </w:rPr>
        <w:t>物联网</w:t>
      </w:r>
      <w:r>
        <w:rPr>
          <w:rFonts w:ascii="Times New Roman" w:eastAsia="Times New Roman" w:hAnsi="Times New Roman" w:cs="Times New Roman"/>
          <w:color w:val="000000"/>
          <w:spacing w:val="0"/>
          <w:w w:val="100"/>
          <w:position w:val="0"/>
        </w:rPr>
        <w:t>/</w:t>
      </w:r>
      <w:r>
        <w:rPr>
          <w:color w:val="000000"/>
          <w:spacing w:val="0"/>
          <w:w w:val="100"/>
          <w:position w:val="0"/>
        </w:rPr>
        <w:t>通信、人工智能</w:t>
      </w:r>
      <w:r>
        <w:rPr>
          <w:rFonts w:ascii="Times New Roman" w:eastAsia="Times New Roman" w:hAnsi="Times New Roman" w:cs="Times New Roman"/>
          <w:color w:val="000000"/>
          <w:spacing w:val="0"/>
          <w:w w:val="100"/>
          <w:position w:val="0"/>
        </w:rPr>
        <w:t>/</w:t>
      </w:r>
      <w:r>
        <w:rPr>
          <w:color w:val="000000"/>
          <w:spacing w:val="0"/>
          <w:w w:val="100"/>
          <w:position w:val="0"/>
        </w:rPr>
        <w:t>大数据两大市场目前处于行业高速发展期，技术更新迭代迅速，且下游细分 应用领域众多，客观上吸引众多企业参与市场竞争，为保持技术和产品的竞争力，公司需投入大量研发资 源。若公司无法准确判断行业发展趋势，并及时更新迭代技术、产品以满足市场需求，或研发项目未能顺 利推进，相关产品可能无法获得新应用领域认可，从而对公司的品牌效应和市场竞争力造成负面影响，不 利于公司的持续发展。</w:t>
      </w:r>
    </w:p>
    <w:p>
      <w:pPr>
        <w:pStyle w:val="Style16"/>
        <w:keepNext w:val="0"/>
        <w:keepLines w:val="0"/>
        <w:widowControl w:val="0"/>
        <w:shd w:val="clear" w:color="auto" w:fill="auto"/>
        <w:bidi w:val="0"/>
        <w:spacing w:before="0" w:after="0"/>
        <w:ind w:left="0" w:right="0"/>
        <w:jc w:val="both"/>
      </w:pPr>
      <w:r>
        <w:rPr>
          <w:color w:val="000000"/>
          <w:spacing w:val="0"/>
          <w:w w:val="100"/>
          <w:position w:val="0"/>
        </w:rPr>
        <w:t>游戏产品具有更新快、可模仿性较高、玩家喜好转换快、市场竞争激烈等特点，如果公司无法持续推 出受玩家认可的成功的游戏产品，或由于游戏研发周期延长、推广时间延长等原因造成游戏无法按计划推 出，从而造成老游戏盈利能力出现下滑时，新游戏无法成功按时推出难以弥补老游戏收入的下滑，则将对 公司的运营产生不利影响。</w:t>
      </w:r>
    </w:p>
    <w:p>
      <w:pPr>
        <w:pStyle w:val="Style16"/>
        <w:keepNext w:val="0"/>
        <w:keepLines w:val="0"/>
        <w:widowControl w:val="0"/>
        <w:shd w:val="clear" w:color="auto" w:fill="auto"/>
        <w:bidi w:val="0"/>
        <w:spacing w:before="0" w:after="0"/>
        <w:ind w:left="0" w:right="0"/>
        <w:jc w:val="both"/>
      </w:pPr>
      <w:r>
        <w:rPr>
          <w:color w:val="000000"/>
          <w:spacing w:val="0"/>
          <w:w w:val="100"/>
          <w:position w:val="0"/>
        </w:rPr>
        <w:t>对外投资是企业发展的重要方式之一，由此也带来长期股权投资、金融资产或商誉金额的增加。如果 未来受宏观经济形势变化、整体行业萎靡、市场拓展、内部管理或其他原因导致相关公司未来经营状况未 达预期，则公司可能存在长期投资或商誉减值风险，从而对公司当期业绩造成不利影响。</w:t>
      </w:r>
    </w:p>
    <w:p>
      <w:pPr>
        <w:pStyle w:val="Style16"/>
        <w:keepNext w:val="0"/>
        <w:keepLines w:val="0"/>
        <w:widowControl w:val="0"/>
        <w:shd w:val="clear" w:color="auto" w:fill="auto"/>
        <w:bidi w:val="0"/>
        <w:spacing w:before="0" w:after="0"/>
        <w:ind w:left="0" w:right="0"/>
        <w:jc w:val="both"/>
      </w:pPr>
      <w:r>
        <w:rPr>
          <w:color w:val="000000"/>
          <w:spacing w:val="0"/>
          <w:w w:val="100"/>
          <w:position w:val="0"/>
        </w:rPr>
        <w:t>公司已在本报告中详细描述未来将面临的主要风险及应对措施，详情请查阅本报告</w:t>
      </w:r>
      <w:r>
        <w:rPr>
          <w:rFonts w:ascii="Times New Roman" w:eastAsia="Times New Roman" w:hAnsi="Times New Roman" w:cs="Times New Roman"/>
          <w:color w:val="000000"/>
          <w:spacing w:val="0"/>
          <w:w w:val="100"/>
          <w:position w:val="0"/>
        </w:rPr>
        <w:t>“</w:t>
      </w:r>
      <w:r>
        <w:rPr>
          <w:color w:val="000000"/>
          <w:spacing w:val="0"/>
          <w:w w:val="100"/>
          <w:position w:val="0"/>
        </w:rPr>
        <w:t>第四节经营情况 讨论与分析''之</w:t>
      </w:r>
      <w:r>
        <w:rPr>
          <w:rFonts w:ascii="Times New Roman" w:eastAsia="Times New Roman" w:hAnsi="Times New Roman" w:cs="Times New Roman"/>
          <w:color w:val="000000"/>
          <w:spacing w:val="0"/>
          <w:w w:val="100"/>
          <w:position w:val="0"/>
        </w:rPr>
        <w:t>“</w:t>
      </w:r>
      <w:r>
        <w:rPr>
          <w:color w:val="000000"/>
          <w:spacing w:val="0"/>
          <w:w w:val="100"/>
          <w:position w:val="0"/>
        </w:rPr>
        <w:t>九、公司未来发展的展望''部分，请投资者注意投资风险。</w:t>
      </w:r>
    </w:p>
    <w:p>
      <w:pPr>
        <w:pStyle w:val="Style16"/>
        <w:keepNext w:val="0"/>
        <w:keepLines w:val="0"/>
        <w:widowControl w:val="0"/>
        <w:shd w:val="clear" w:color="auto" w:fill="auto"/>
        <w:bidi w:val="0"/>
        <w:spacing w:before="0" w:after="380"/>
        <w:ind w:left="0" w:right="0"/>
        <w:jc w:val="both"/>
        <w:sectPr>
          <w:headerReference w:type="default" r:id="rId9"/>
          <w:footerReference w:type="default" r:id="rId10"/>
          <w:headerReference w:type="even" r:id="rId11"/>
          <w:footerReference w:type="even" r:id="rId12"/>
          <w:footnotePr>
            <w:pos w:val="pageBottom"/>
            <w:numFmt w:val="decimal"/>
            <w:numRestart w:val="continuous"/>
          </w:footnotePr>
          <w:pgSz w:w="11904" w:h="17375"/>
          <w:pgMar w:top="2246" w:right="1085" w:bottom="1901" w:left="1099" w:header="0" w:footer="3" w:gutter="0"/>
          <w:cols w:space="720"/>
          <w:noEndnote/>
          <w:rtlGutter w:val="0"/>
          <w:docGrid w:linePitch="360"/>
        </w:sectPr>
      </w:pPr>
      <w:r>
        <w:rPr>
          <w:b/>
          <w:bCs/>
          <w:color w:val="000000"/>
          <w:spacing w:val="0"/>
          <w:w w:val="100"/>
          <w:position w:val="0"/>
        </w:rPr>
        <w:t>本年度报告中涉及的发展战略、经营计划等前瞻性陈述，不构成公司对投资者的实质承诺，投资者及</w:t>
      </w:r>
    </w:p>
    <w:p>
      <w:pPr>
        <w:pStyle w:val="Style2"/>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16"/>
        <w:keepNext w:val="0"/>
        <w:keepLines w:val="0"/>
        <w:widowControl w:val="0"/>
        <w:pBdr>
          <w:top w:val="single" w:sz="4" w:space="0" w:color="auto"/>
        </w:pBdr>
        <w:shd w:val="clear" w:color="auto" w:fill="auto"/>
        <w:bidi w:val="0"/>
        <w:spacing w:before="0" w:after="0"/>
        <w:ind w:left="0" w:right="0" w:firstLine="820"/>
        <w:jc w:val="both"/>
      </w:pPr>
      <w:r>
        <w:rPr>
          <w:b/>
          <w:bCs/>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b/>
          <w:bCs/>
          <w:color w:val="1F84C4"/>
          <w:spacing w:val="0"/>
          <w:w w:val="100"/>
          <w:position w:val="0"/>
        </w:rPr>
        <w:t>..泰</w:t>
      </w:r>
      <w:r>
        <w:rPr>
          <w:color w:val="000000"/>
          <w:spacing w:val="0"/>
          <w:w w:val="100"/>
          <w:position w:val="0"/>
          <w:sz w:val="17"/>
          <w:szCs w:val="17"/>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sz w:val="17"/>
          <w:szCs w:val="17"/>
        </w:rPr>
        <w:t xml:space="preserve">年年度报告全文 </w:t>
      </w:r>
      <w:r>
        <w:rPr>
          <w:b/>
          <w:bCs/>
          <w:color w:val="000000"/>
          <w:spacing w:val="0"/>
          <w:w w:val="100"/>
          <w:position w:val="0"/>
        </w:rPr>
        <w:t>相关人士均应当对此保持足够的风险认识，并且应当理解计划、预测与承诺之间的差异。</w:t>
      </w:r>
    </w:p>
    <w:p>
      <w:pPr>
        <w:pStyle w:val="Style16"/>
        <w:keepNext w:val="0"/>
        <w:keepLines w:val="0"/>
        <w:widowControl w:val="0"/>
        <w:shd w:val="clear" w:color="auto" w:fill="auto"/>
        <w:bidi w:val="0"/>
        <w:spacing w:before="0" w:after="0"/>
        <w:ind w:left="0" w:right="0"/>
        <w:jc w:val="left"/>
        <w:sectPr>
          <w:headerReference w:type="default" r:id="rId13"/>
          <w:footerReference w:type="default" r:id="rId14"/>
          <w:headerReference w:type="even" r:id="rId15"/>
          <w:footerReference w:type="even" r:id="rId16"/>
          <w:footnotePr>
            <w:pos w:val="pageBottom"/>
            <w:numFmt w:val="decimal"/>
            <w:numRestart w:val="continuous"/>
          </w:footnotePr>
          <w:pgSz w:w="11904" w:h="17375"/>
          <w:pgMar w:top="1070" w:right="1104" w:bottom="1425" w:left="1104" w:header="642" w:footer="3" w:gutter="0"/>
          <w:cols w:space="720"/>
          <w:noEndnote/>
          <w:rtlGutter w:val="0"/>
          <w:docGrid w:linePitch="360"/>
        </w:sectPr>
      </w:pPr>
      <w:r>
        <w:rPr>
          <w:color w:val="000000"/>
          <w:spacing w:val="0"/>
          <w:w w:val="100"/>
          <w:position w:val="0"/>
        </w:rPr>
        <w:t>公司经本次董事会审议通过的利润分配预案为：</w:t>
      </w:r>
      <w:r>
        <w:rPr>
          <w:b/>
          <w:bCs/>
          <w:color w:val="000000"/>
          <w:spacing w:val="0"/>
          <w:w w:val="100"/>
          <w:position w:val="0"/>
        </w:rPr>
        <w:t>以1,935,144,042股（已剔除公司回购股份25,947,942 股）为基数，向全体股东每10股派发现金红利</w:t>
      </w:r>
      <w:r>
        <w:rPr>
          <w:b/>
          <w:bCs/>
          <w:color w:val="000000"/>
          <w:spacing w:val="0"/>
          <w:w w:val="100"/>
          <w:position w:val="0"/>
        </w:rPr>
        <w:t>0.00</w:t>
      </w:r>
      <w:r>
        <w:rPr>
          <w:b/>
          <w:bCs/>
          <w:color w:val="000000"/>
          <w:spacing w:val="0"/>
          <w:w w:val="100"/>
          <w:position w:val="0"/>
        </w:rPr>
        <w:t>元（含税），送红股0股（含税），以资本公积金向全 体股东每10股转增0股。</w:t>
      </w:r>
    </w:p>
    <w:p>
      <w:pPr>
        <w:pStyle w:val="Style2"/>
        <w:keepNext w:val="0"/>
        <w:keepLines w:val="0"/>
        <w:widowControl w:val="0"/>
        <w:pBdr>
          <w:bottom w:val="single" w:sz="4" w:space="0" w:color="auto"/>
        </w:pBdr>
        <w:shd w:val="clear" w:color="auto" w:fill="auto"/>
        <w:bidi w:val="0"/>
        <w:spacing w:before="0" w:after="102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2"/>
        <w:keepNext w:val="0"/>
        <w:keepLines w:val="0"/>
        <w:widowControl w:val="0"/>
        <w:shd w:val="clear" w:color="auto" w:fill="auto"/>
        <w:bidi w:val="0"/>
        <w:spacing w:before="0" w:after="920" w:line="240" w:lineRule="auto"/>
        <w:ind w:left="0" w:right="0" w:firstLine="0"/>
        <w:jc w:val="center"/>
        <w:rPr>
          <w:sz w:val="36"/>
          <w:szCs w:val="36"/>
        </w:rPr>
      </w:pPr>
      <w:r>
        <w:rPr>
          <w:rFonts w:ascii="SimHei" w:eastAsia="SimHei" w:hAnsi="SimHei" w:cs="SimHei"/>
          <w:color w:val="000000"/>
          <w:spacing w:val="0"/>
          <w:w w:val="100"/>
          <w:position w:val="0"/>
          <w:sz w:val="36"/>
          <w:szCs w:val="36"/>
        </w:rPr>
        <w:t>目录</w:t>
      </w:r>
    </w:p>
    <w:p>
      <w:pPr>
        <w:pStyle w:val="Style31"/>
        <w:keepNext w:val="0"/>
        <w:keepLines w:val="0"/>
        <w:widowControl w:val="0"/>
        <w:shd w:val="clear" w:color="auto" w:fill="auto"/>
        <w:tabs>
          <w:tab w:pos="819" w:val="left"/>
          <w:tab w:leader="dot" w:pos="9613" w:val="right"/>
        </w:tabs>
        <w:bidi w:val="0"/>
        <w:spacing w:before="0" w:line="240" w:lineRule="auto"/>
        <w:ind w:left="0" w:right="0" w:firstLine="0"/>
        <w:jc w:val="both"/>
      </w:pPr>
      <w:r>
        <w:fldChar w:fldCharType="begin"/>
        <w:instrText xml:space="preserve"> TOC \o "1-5" \h \z </w:instrText>
        <w:fldChar w:fldCharType="separate"/>
      </w:r>
      <w:hyperlink w:anchor="bookmark1" w:tooltip="Current Document">
        <w:r>
          <w:rPr>
            <w:color w:val="000000"/>
            <w:spacing w:val="0"/>
            <w:w w:val="100"/>
            <w:position w:val="0"/>
          </w:rPr>
          <w:t>第一节</w:t>
          <w:tab/>
          <w:t>重要提示、目录和释义</w:t>
        </w:r>
        <w:r>
          <w:rPr>
            <w:color w:val="000000"/>
            <w:spacing w:val="0"/>
            <w:w w:val="100"/>
            <w:position w:val="0"/>
          </w:rPr>
          <w:tab/>
        </w:r>
        <w:r>
          <w:rPr>
            <w:rFonts w:ascii="Times New Roman" w:eastAsia="Times New Roman" w:hAnsi="Times New Roman" w:cs="Times New Roman"/>
            <w:color w:val="000000"/>
            <w:spacing w:val="0"/>
            <w:w w:val="100"/>
            <w:position w:val="0"/>
          </w:rPr>
          <w:t>2</w:t>
        </w:r>
      </w:hyperlink>
    </w:p>
    <w:p>
      <w:pPr>
        <w:pStyle w:val="Style31"/>
        <w:keepNext w:val="0"/>
        <w:keepLines w:val="0"/>
        <w:widowControl w:val="0"/>
        <w:shd w:val="clear" w:color="auto" w:fill="auto"/>
        <w:tabs>
          <w:tab w:pos="819" w:val="left"/>
          <w:tab w:leader="dot" w:pos="9613" w:val="right"/>
        </w:tabs>
        <w:bidi w:val="0"/>
        <w:spacing w:before="0" w:line="240" w:lineRule="auto"/>
        <w:ind w:left="0" w:right="0" w:firstLine="0"/>
        <w:jc w:val="both"/>
      </w:pPr>
      <w:hyperlink w:anchor="bookmark4" w:tooltip="Current Document">
        <w:r>
          <w:rPr>
            <w:color w:val="000000"/>
            <w:spacing w:val="0"/>
            <w:w w:val="100"/>
            <w:position w:val="0"/>
          </w:rPr>
          <w:t>第二节</w:t>
          <w:tab/>
          <w:t>公司简介和主要财务指标</w:t>
        </w:r>
        <w:r>
          <w:rPr>
            <w:color w:val="000000"/>
            <w:spacing w:val="0"/>
            <w:w w:val="100"/>
            <w:position w:val="0"/>
          </w:rPr>
          <w:tab/>
        </w:r>
        <w:r>
          <w:rPr>
            <w:rFonts w:ascii="Times New Roman" w:eastAsia="Times New Roman" w:hAnsi="Times New Roman" w:cs="Times New Roman"/>
            <w:color w:val="000000"/>
            <w:spacing w:val="0"/>
            <w:w w:val="100"/>
            <w:position w:val="0"/>
          </w:rPr>
          <w:t>8</w:t>
        </w:r>
      </w:hyperlink>
    </w:p>
    <w:p>
      <w:pPr>
        <w:pStyle w:val="Style31"/>
        <w:keepNext w:val="0"/>
        <w:keepLines w:val="0"/>
        <w:widowControl w:val="0"/>
        <w:shd w:val="clear" w:color="auto" w:fill="auto"/>
        <w:tabs>
          <w:tab w:leader="dot" w:pos="9613" w:val="right"/>
        </w:tabs>
        <w:bidi w:val="0"/>
        <w:spacing w:before="0" w:line="240" w:lineRule="auto"/>
        <w:ind w:left="0" w:right="0" w:firstLine="0"/>
        <w:jc w:val="both"/>
      </w:pPr>
      <w:hyperlink w:anchor="bookmark46" w:tooltip="Current Document">
        <w:r>
          <w:rPr>
            <w:color w:val="000000"/>
            <w:spacing w:val="0"/>
            <w:w w:val="100"/>
            <w:position w:val="0"/>
          </w:rPr>
          <w:t>第三节公司业务概要</w:t>
        </w:r>
        <w:r>
          <w:rPr>
            <w:color w:val="000000"/>
            <w:spacing w:val="0"/>
            <w:w w:val="100"/>
            <w:position w:val="0"/>
          </w:rPr>
          <w:tab/>
        </w:r>
        <w:r>
          <w:rPr>
            <w:rFonts w:ascii="Times New Roman" w:eastAsia="Times New Roman" w:hAnsi="Times New Roman" w:cs="Times New Roman"/>
            <w:color w:val="000000"/>
            <w:spacing w:val="0"/>
            <w:w w:val="100"/>
            <w:position w:val="0"/>
          </w:rPr>
          <w:t>12</w:t>
        </w:r>
      </w:hyperlink>
    </w:p>
    <w:p>
      <w:pPr>
        <w:pStyle w:val="Style31"/>
        <w:keepNext w:val="0"/>
        <w:keepLines w:val="0"/>
        <w:widowControl w:val="0"/>
        <w:shd w:val="clear" w:color="auto" w:fill="auto"/>
        <w:tabs>
          <w:tab w:leader="dot" w:pos="9613" w:val="right"/>
        </w:tabs>
        <w:bidi w:val="0"/>
        <w:spacing w:before="0" w:line="240" w:lineRule="auto"/>
        <w:ind w:left="0" w:right="0" w:firstLine="0"/>
        <w:jc w:val="both"/>
      </w:pPr>
      <w:hyperlink w:anchor="bookmark156" w:tooltip="Current Document">
        <w:r>
          <w:rPr>
            <w:color w:val="000000"/>
            <w:spacing w:val="0"/>
            <w:w w:val="100"/>
            <w:position w:val="0"/>
          </w:rPr>
          <w:t>第四节经营情况讨论与分析</w:t>
        </w:r>
        <w:r>
          <w:rPr>
            <w:color w:val="000000"/>
            <w:spacing w:val="0"/>
            <w:w w:val="100"/>
            <w:position w:val="0"/>
          </w:rPr>
          <w:tab/>
        </w:r>
        <w:r>
          <w:rPr>
            <w:rFonts w:ascii="Times New Roman" w:eastAsia="Times New Roman" w:hAnsi="Times New Roman" w:cs="Times New Roman"/>
            <w:color w:val="000000"/>
            <w:spacing w:val="0"/>
            <w:w w:val="100"/>
            <w:position w:val="0"/>
          </w:rPr>
          <w:t>27</w:t>
        </w:r>
      </w:hyperlink>
    </w:p>
    <w:p>
      <w:pPr>
        <w:pStyle w:val="Style31"/>
        <w:keepNext w:val="0"/>
        <w:keepLines w:val="0"/>
        <w:widowControl w:val="0"/>
        <w:shd w:val="clear" w:color="auto" w:fill="auto"/>
        <w:tabs>
          <w:tab w:pos="819" w:val="left"/>
          <w:tab w:leader="dot" w:pos="9613" w:val="right"/>
        </w:tabs>
        <w:bidi w:val="0"/>
        <w:spacing w:before="0" w:line="240" w:lineRule="auto"/>
        <w:ind w:left="0" w:right="0" w:firstLine="0"/>
        <w:jc w:val="both"/>
      </w:pPr>
      <w:hyperlink w:anchor="bookmark413" w:tooltip="Current Document">
        <w:r>
          <w:rPr>
            <w:color w:val="000000"/>
            <w:spacing w:val="0"/>
            <w:w w:val="100"/>
            <w:position w:val="0"/>
          </w:rPr>
          <w:t>第五节</w:t>
          <w:tab/>
          <w:t>重要事项</w:t>
        </w:r>
        <w:r>
          <w:rPr>
            <w:color w:val="000000"/>
            <w:spacing w:val="0"/>
            <w:w w:val="100"/>
            <w:position w:val="0"/>
          </w:rPr>
          <w:tab/>
        </w:r>
        <w:r>
          <w:rPr>
            <w:rFonts w:ascii="Times New Roman" w:eastAsia="Times New Roman" w:hAnsi="Times New Roman" w:cs="Times New Roman"/>
            <w:color w:val="000000"/>
            <w:spacing w:val="0"/>
            <w:w w:val="100"/>
            <w:position w:val="0"/>
          </w:rPr>
          <w:t>56</w:t>
        </w:r>
      </w:hyperlink>
    </w:p>
    <w:p>
      <w:pPr>
        <w:pStyle w:val="Style31"/>
        <w:keepNext w:val="0"/>
        <w:keepLines w:val="0"/>
        <w:widowControl w:val="0"/>
        <w:shd w:val="clear" w:color="auto" w:fill="auto"/>
        <w:tabs>
          <w:tab w:pos="819" w:val="left"/>
          <w:tab w:leader="dot" w:pos="9613" w:val="right"/>
        </w:tabs>
        <w:bidi w:val="0"/>
        <w:spacing w:before="0" w:line="240" w:lineRule="auto"/>
        <w:ind w:left="0" w:right="0" w:firstLine="0"/>
        <w:jc w:val="both"/>
      </w:pPr>
      <w:hyperlink w:anchor="bookmark587" w:tooltip="Current Document">
        <w:r>
          <w:rPr>
            <w:color w:val="000000"/>
            <w:spacing w:val="0"/>
            <w:w w:val="100"/>
            <w:position w:val="0"/>
          </w:rPr>
          <w:t>第六节</w:t>
          <w:tab/>
          <w:t>股份变动及股东情况</w:t>
        </w:r>
        <w:r>
          <w:rPr>
            <w:color w:val="000000"/>
            <w:spacing w:val="0"/>
            <w:w w:val="100"/>
            <w:position w:val="0"/>
          </w:rPr>
          <w:tab/>
        </w:r>
        <w:r>
          <w:rPr>
            <w:rFonts w:ascii="Times New Roman" w:eastAsia="Times New Roman" w:hAnsi="Times New Roman" w:cs="Times New Roman"/>
            <w:color w:val="000000"/>
            <w:spacing w:val="0"/>
            <w:w w:val="100"/>
            <w:position w:val="0"/>
          </w:rPr>
          <w:t>71</w:t>
        </w:r>
      </w:hyperlink>
    </w:p>
    <w:p>
      <w:pPr>
        <w:pStyle w:val="Style31"/>
        <w:keepNext w:val="0"/>
        <w:keepLines w:val="0"/>
        <w:widowControl w:val="0"/>
        <w:shd w:val="clear" w:color="auto" w:fill="auto"/>
        <w:tabs>
          <w:tab w:pos="819" w:val="left"/>
          <w:tab w:leader="dot" w:pos="9613" w:val="right"/>
        </w:tabs>
        <w:bidi w:val="0"/>
        <w:spacing w:before="0" w:line="240" w:lineRule="auto"/>
        <w:ind w:left="0" w:right="0" w:firstLine="0"/>
        <w:jc w:val="both"/>
      </w:pPr>
      <w:hyperlink w:anchor="bookmark642" w:tooltip="Current Document">
        <w:r>
          <w:rPr>
            <w:color w:val="000000"/>
            <w:spacing w:val="0"/>
            <w:w w:val="100"/>
            <w:position w:val="0"/>
          </w:rPr>
          <w:t>第七节</w:t>
          <w:tab/>
          <w:t>优先股相关情况</w:t>
        </w:r>
        <w:r>
          <w:rPr>
            <w:color w:val="000000"/>
            <w:spacing w:val="0"/>
            <w:w w:val="100"/>
            <w:position w:val="0"/>
          </w:rPr>
          <w:tab/>
        </w:r>
        <w:r>
          <w:rPr>
            <w:rFonts w:ascii="Times New Roman" w:eastAsia="Times New Roman" w:hAnsi="Times New Roman" w:cs="Times New Roman"/>
            <w:color w:val="000000"/>
            <w:spacing w:val="0"/>
            <w:w w:val="100"/>
            <w:position w:val="0"/>
          </w:rPr>
          <w:t>78</w:t>
        </w:r>
      </w:hyperlink>
    </w:p>
    <w:p>
      <w:pPr>
        <w:pStyle w:val="Style31"/>
        <w:keepNext w:val="0"/>
        <w:keepLines w:val="0"/>
        <w:widowControl w:val="0"/>
        <w:shd w:val="clear" w:color="auto" w:fill="auto"/>
        <w:tabs>
          <w:tab w:pos="819" w:val="left"/>
          <w:tab w:leader="dot" w:pos="9613" w:val="right"/>
        </w:tabs>
        <w:bidi w:val="0"/>
        <w:spacing w:before="0" w:line="240" w:lineRule="auto"/>
        <w:ind w:left="0" w:right="0" w:firstLine="0"/>
        <w:jc w:val="both"/>
      </w:pPr>
      <w:hyperlink w:anchor="bookmark645" w:tooltip="Current Document">
        <w:r>
          <w:rPr>
            <w:color w:val="000000"/>
            <w:spacing w:val="0"/>
            <w:w w:val="100"/>
            <w:position w:val="0"/>
          </w:rPr>
          <w:t>第八节</w:t>
          <w:tab/>
          <w:t>可转换公司债券相关情况</w:t>
        </w:r>
        <w:r>
          <w:rPr>
            <w:color w:val="000000"/>
            <w:spacing w:val="0"/>
            <w:w w:val="100"/>
            <w:position w:val="0"/>
          </w:rPr>
          <w:tab/>
        </w:r>
        <w:r>
          <w:rPr>
            <w:rFonts w:ascii="Times New Roman" w:eastAsia="Times New Roman" w:hAnsi="Times New Roman" w:cs="Times New Roman"/>
            <w:color w:val="000000"/>
            <w:spacing w:val="0"/>
            <w:w w:val="100"/>
            <w:position w:val="0"/>
          </w:rPr>
          <w:t>79</w:t>
        </w:r>
      </w:hyperlink>
    </w:p>
    <w:p>
      <w:pPr>
        <w:pStyle w:val="Style31"/>
        <w:keepNext w:val="0"/>
        <w:keepLines w:val="0"/>
        <w:widowControl w:val="0"/>
        <w:shd w:val="clear" w:color="auto" w:fill="auto"/>
        <w:tabs>
          <w:tab w:leader="dot" w:pos="9613" w:val="right"/>
        </w:tabs>
        <w:bidi w:val="0"/>
        <w:spacing w:before="0" w:line="240" w:lineRule="auto"/>
        <w:ind w:left="0" w:right="0" w:firstLine="0"/>
        <w:jc w:val="both"/>
      </w:pPr>
      <w:hyperlink w:anchor="bookmark648" w:tooltip="Current Document">
        <w:r>
          <w:rPr>
            <w:color w:val="000000"/>
            <w:spacing w:val="0"/>
            <w:w w:val="100"/>
            <w:position w:val="0"/>
          </w:rPr>
          <w:t>第九节董事、监事、高级管理人员和员工情况</w:t>
        </w:r>
        <w:r>
          <w:rPr>
            <w:color w:val="000000"/>
            <w:spacing w:val="0"/>
            <w:w w:val="100"/>
            <w:position w:val="0"/>
          </w:rPr>
          <w:tab/>
        </w:r>
        <w:r>
          <w:rPr>
            <w:rFonts w:ascii="Times New Roman" w:eastAsia="Times New Roman" w:hAnsi="Times New Roman" w:cs="Times New Roman"/>
            <w:color w:val="000000"/>
            <w:spacing w:val="0"/>
            <w:w w:val="100"/>
            <w:position w:val="0"/>
          </w:rPr>
          <w:t>80</w:t>
        </w:r>
      </w:hyperlink>
    </w:p>
    <w:p>
      <w:pPr>
        <w:pStyle w:val="Style31"/>
        <w:keepNext w:val="0"/>
        <w:keepLines w:val="0"/>
        <w:widowControl w:val="0"/>
        <w:shd w:val="clear" w:color="auto" w:fill="auto"/>
        <w:tabs>
          <w:tab w:pos="819" w:val="left"/>
          <w:tab w:leader="dot" w:pos="9613" w:val="right"/>
        </w:tabs>
        <w:bidi w:val="0"/>
        <w:spacing w:before="0" w:line="240" w:lineRule="auto"/>
        <w:ind w:left="0" w:right="0" w:firstLine="0"/>
        <w:jc w:val="both"/>
      </w:pPr>
      <w:hyperlink w:anchor="bookmark692" w:tooltip="Current Document">
        <w:r>
          <w:rPr>
            <w:color w:val="000000"/>
            <w:spacing w:val="0"/>
            <w:w w:val="100"/>
            <w:position w:val="0"/>
          </w:rPr>
          <w:t>第十节</w:t>
          <w:tab/>
          <w:t>公司治理</w:t>
        </w:r>
        <w:r>
          <w:rPr>
            <w:color w:val="000000"/>
            <w:spacing w:val="0"/>
            <w:w w:val="100"/>
            <w:position w:val="0"/>
          </w:rPr>
          <w:tab/>
        </w:r>
        <w:r>
          <w:rPr>
            <w:rFonts w:ascii="Times New Roman" w:eastAsia="Times New Roman" w:hAnsi="Times New Roman" w:cs="Times New Roman"/>
            <w:color w:val="000000"/>
            <w:spacing w:val="0"/>
            <w:w w:val="100"/>
            <w:position w:val="0"/>
          </w:rPr>
          <w:t>89</w:t>
        </w:r>
      </w:hyperlink>
    </w:p>
    <w:p>
      <w:pPr>
        <w:pStyle w:val="Style31"/>
        <w:keepNext w:val="0"/>
        <w:keepLines w:val="0"/>
        <w:widowControl w:val="0"/>
        <w:shd w:val="clear" w:color="auto" w:fill="auto"/>
        <w:tabs>
          <w:tab w:pos="1030" w:val="left"/>
          <w:tab w:leader="dot" w:pos="9613" w:val="right"/>
        </w:tabs>
        <w:bidi w:val="0"/>
        <w:spacing w:before="0" w:line="240" w:lineRule="auto"/>
        <w:ind w:left="0" w:right="0" w:firstLine="0"/>
        <w:jc w:val="both"/>
      </w:pPr>
      <w:hyperlink w:anchor="bookmark775" w:tooltip="Current Document">
        <w:r>
          <w:rPr>
            <w:color w:val="000000"/>
            <w:spacing w:val="0"/>
            <w:w w:val="100"/>
            <w:position w:val="0"/>
          </w:rPr>
          <w:t>第十^一■节</w:t>
          <w:tab/>
          <w:t>公司债券相关情况</w:t>
        </w:r>
        <w:r>
          <w:rPr>
            <w:color w:val="000000"/>
            <w:spacing w:val="0"/>
            <w:w w:val="100"/>
            <w:position w:val="0"/>
          </w:rPr>
          <w:tab/>
        </w:r>
        <w:r>
          <w:rPr>
            <w:rFonts w:ascii="Times New Roman" w:eastAsia="Times New Roman" w:hAnsi="Times New Roman" w:cs="Times New Roman"/>
            <w:color w:val="000000"/>
            <w:spacing w:val="0"/>
            <w:w w:val="100"/>
            <w:position w:val="0"/>
          </w:rPr>
          <w:t>97</w:t>
        </w:r>
      </w:hyperlink>
    </w:p>
    <w:p>
      <w:pPr>
        <w:pStyle w:val="Style31"/>
        <w:keepNext w:val="0"/>
        <w:keepLines w:val="0"/>
        <w:widowControl w:val="0"/>
        <w:shd w:val="clear" w:color="auto" w:fill="auto"/>
        <w:tabs>
          <w:tab w:pos="1030" w:val="left"/>
          <w:tab w:leader="dot" w:pos="9613" w:val="right"/>
        </w:tabs>
        <w:bidi w:val="0"/>
        <w:spacing w:before="0" w:line="240" w:lineRule="auto"/>
        <w:ind w:left="0" w:right="0" w:firstLine="0"/>
        <w:jc w:val="both"/>
      </w:pPr>
      <w:hyperlink w:anchor="bookmark778" w:tooltip="Current Document">
        <w:r>
          <w:rPr>
            <w:color w:val="000000"/>
            <w:spacing w:val="0"/>
            <w:w w:val="100"/>
            <w:position w:val="0"/>
          </w:rPr>
          <w:t>第十二节</w:t>
          <w:tab/>
          <w:t>财务报告</w:t>
        </w:r>
        <w:r>
          <w:rPr>
            <w:color w:val="000000"/>
            <w:spacing w:val="0"/>
            <w:w w:val="100"/>
            <w:position w:val="0"/>
          </w:rPr>
          <w:tab/>
        </w:r>
        <w:r>
          <w:rPr>
            <w:rFonts w:ascii="Times New Roman" w:eastAsia="Times New Roman" w:hAnsi="Times New Roman" w:cs="Times New Roman"/>
            <w:color w:val="000000"/>
            <w:spacing w:val="0"/>
            <w:w w:val="100"/>
            <w:position w:val="0"/>
          </w:rPr>
          <w:t>98</w:t>
        </w:r>
      </w:hyperlink>
    </w:p>
    <w:p>
      <w:pPr>
        <w:pStyle w:val="Style31"/>
        <w:keepNext w:val="0"/>
        <w:keepLines w:val="0"/>
        <w:widowControl w:val="0"/>
        <w:shd w:val="clear" w:color="auto" w:fill="auto"/>
        <w:tabs>
          <w:tab w:pos="1030" w:val="left"/>
          <w:tab w:leader="dot" w:pos="9613" w:val="right"/>
        </w:tabs>
        <w:bidi w:val="0"/>
        <w:spacing w:before="0" w:line="240" w:lineRule="auto"/>
        <w:ind w:left="0" w:right="0" w:firstLine="0"/>
        <w:jc w:val="both"/>
        <w:sectPr>
          <w:footnotePr>
            <w:pos w:val="pageBottom"/>
            <w:numFmt w:val="decimal"/>
            <w:numRestart w:val="continuous"/>
          </w:footnotePr>
          <w:pgSz w:w="11904" w:h="17375"/>
          <w:pgMar w:top="1070" w:right="1114" w:bottom="1425" w:left="1114" w:header="642" w:footer="3" w:gutter="0"/>
          <w:cols w:space="720"/>
          <w:noEndnote/>
          <w:rtlGutter w:val="0"/>
          <w:docGrid w:linePitch="360"/>
        </w:sectPr>
      </w:pPr>
      <w:hyperlink w:anchor="bookmark2321" w:tooltip="Current Document">
        <w:r>
          <w:rPr>
            <w:color w:val="000000"/>
            <w:spacing w:val="0"/>
            <w:w w:val="100"/>
            <w:position w:val="0"/>
          </w:rPr>
          <w:t>第十三节</w:t>
          <w:tab/>
          <w:t>备查文件目录</w:t>
        </w:r>
        <w:r>
          <w:rPr>
            <w:color w:val="000000"/>
            <w:spacing w:val="0"/>
            <w:w w:val="100"/>
            <w:position w:val="0"/>
          </w:rPr>
          <w:tab/>
        </w:r>
        <w:r>
          <w:rPr>
            <w:rFonts w:ascii="Times New Roman" w:eastAsia="Times New Roman" w:hAnsi="Times New Roman" w:cs="Times New Roman"/>
            <w:color w:val="000000"/>
            <w:spacing w:val="0"/>
            <w:w w:val="100"/>
            <w:position w:val="0"/>
          </w:rPr>
          <w:t>238</w:t>
        </w:r>
      </w:hyperlink>
      <w:r>
        <w:fldChar w:fldCharType="end"/>
      </w:r>
    </w:p>
    <w:p>
      <w:pPr>
        <w:widowControl w:val="0"/>
        <w:spacing w:after="1579" w:line="1" w:lineRule="exact"/>
      </w:pPr>
    </w:p>
    <w:tbl>
      <w:tblPr>
        <w:tblOverlap w:val="never"/>
        <w:jc w:val="center"/>
        <w:tblLayout w:type="fixed"/>
      </w:tblPr>
      <w:tblGrid>
        <w:gridCol w:w="3576"/>
        <w:gridCol w:w="629"/>
        <w:gridCol w:w="5506"/>
      </w:tblGrid>
      <w:tr>
        <w:trPr>
          <w:trHeight w:val="40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释义项</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指</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释义内容</w:t>
            </w:r>
          </w:p>
        </w:tc>
      </w:tr>
      <w:tr>
        <w:trPr>
          <w:trHeight w:val="328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ICT</w:t>
            </w:r>
            <w:r>
              <w:rPr>
                <w:color w:val="000000"/>
                <w:spacing w:val="0"/>
                <w:w w:val="100"/>
                <w:position w:val="0"/>
              </w:rPr>
              <w:t>运营管理</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both"/>
            </w:pPr>
            <w:r>
              <w:rPr>
                <w:rFonts w:ascii="Times New Roman" w:eastAsia="Times New Roman" w:hAnsi="Times New Roman" w:cs="Times New Roman"/>
                <w:color w:val="000000"/>
                <w:spacing w:val="0"/>
                <w:w w:val="100"/>
                <w:position w:val="0"/>
                <w:sz w:val="18"/>
                <w:szCs w:val="18"/>
              </w:rPr>
              <w:t>ICT</w:t>
            </w:r>
            <w:r>
              <w:rPr>
                <w:color w:val="000000"/>
                <w:spacing w:val="0"/>
                <w:w w:val="100"/>
                <w:position w:val="0"/>
              </w:rPr>
              <w:t>是信息产业</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IT</w:t>
            </w:r>
            <w:r>
              <w:rPr>
                <w:color w:val="000000"/>
                <w:spacing w:val="0"/>
                <w:w w:val="100"/>
                <w:position w:val="0"/>
              </w:rPr>
              <w:t>）与通信产业</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CT</w:t>
            </w:r>
            <w:r>
              <w:rPr>
                <w:color w:val="000000"/>
                <w:spacing w:val="0"/>
                <w:w w:val="100"/>
                <w:position w:val="0"/>
              </w:rPr>
              <w:t>）</w:t>
            </w:r>
            <w:r>
              <w:rPr>
                <w:color w:val="000000"/>
                <w:spacing w:val="0"/>
                <w:w w:val="100"/>
                <w:position w:val="0"/>
              </w:rPr>
              <w:t>的统称，</w:t>
            </w:r>
            <w:r>
              <w:rPr>
                <w:rFonts w:ascii="Times New Roman" w:eastAsia="Times New Roman" w:hAnsi="Times New Roman" w:cs="Times New Roman"/>
                <w:color w:val="000000"/>
                <w:spacing w:val="0"/>
                <w:w w:val="100"/>
                <w:position w:val="0"/>
                <w:sz w:val="18"/>
                <w:szCs w:val="18"/>
              </w:rPr>
              <w:t>ICT</w:t>
            </w:r>
            <w:r>
              <w:rPr>
                <w:color w:val="000000"/>
                <w:spacing w:val="0"/>
                <w:w w:val="100"/>
                <w:position w:val="0"/>
              </w:rPr>
              <w:t>运营管理即 通过提供软件与服务等方式对</w:t>
            </w:r>
            <w:r>
              <w:rPr>
                <w:rFonts w:ascii="Times New Roman" w:eastAsia="Times New Roman" w:hAnsi="Times New Roman" w:cs="Times New Roman"/>
                <w:color w:val="000000"/>
                <w:spacing w:val="0"/>
                <w:w w:val="100"/>
                <w:position w:val="0"/>
                <w:sz w:val="18"/>
                <w:szCs w:val="18"/>
              </w:rPr>
              <w:t>ICT</w:t>
            </w:r>
            <w:r>
              <w:rPr>
                <w:color w:val="000000"/>
                <w:spacing w:val="0"/>
                <w:w w:val="100"/>
                <w:position w:val="0"/>
              </w:rPr>
              <w:t>基础设施、业务应用和运维体系 进行全面的管理，保障</w:t>
            </w:r>
            <w:r>
              <w:rPr>
                <w:rFonts w:ascii="Times New Roman" w:eastAsia="Times New Roman" w:hAnsi="Times New Roman" w:cs="Times New Roman"/>
                <w:color w:val="000000"/>
                <w:spacing w:val="0"/>
                <w:w w:val="100"/>
                <w:position w:val="0"/>
                <w:sz w:val="18"/>
                <w:szCs w:val="18"/>
              </w:rPr>
              <w:t>ICT</w:t>
            </w:r>
            <w:r>
              <w:rPr>
                <w:color w:val="000000"/>
                <w:spacing w:val="0"/>
                <w:w w:val="100"/>
                <w:position w:val="0"/>
              </w:rPr>
              <w:t>系统安全、稳定、可靠、高效运行，包 括全栈网管、智能运营、流程管理、信息安全管理等众多领域。</w:t>
            </w:r>
          </w:p>
          <w:p>
            <w:pPr>
              <w:pStyle w:val="Style2"/>
              <w:keepNext w:val="0"/>
              <w:keepLines w:val="0"/>
              <w:widowControl w:val="0"/>
              <w:shd w:val="clear" w:color="auto" w:fill="auto"/>
              <w:bidi w:val="0"/>
              <w:spacing w:before="0" w:after="0" w:line="317" w:lineRule="exact"/>
              <w:ind w:left="0" w:right="0" w:firstLine="0"/>
              <w:jc w:val="both"/>
            </w:pPr>
            <w:r>
              <w:rPr>
                <w:rFonts w:ascii="Times New Roman" w:eastAsia="Times New Roman" w:hAnsi="Times New Roman" w:cs="Times New Roman"/>
                <w:color w:val="000000"/>
                <w:spacing w:val="0"/>
                <w:w w:val="100"/>
                <w:position w:val="0"/>
                <w:sz w:val="18"/>
                <w:szCs w:val="18"/>
              </w:rPr>
              <w:t>ICT</w:t>
            </w:r>
            <w:r>
              <w:rPr>
                <w:color w:val="000000"/>
                <w:spacing w:val="0"/>
                <w:w w:val="100"/>
                <w:position w:val="0"/>
              </w:rPr>
              <w:t>运营管理是公司传统核心业务。</w:t>
            </w:r>
          </w:p>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公司是中国移动、中国联通、中国电信、中国铁塔的长期战略合作 伙伴，是中国通信标准化协会</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CCSA</w:t>
            </w:r>
            <w:r>
              <w:rPr>
                <w:color w:val="000000"/>
                <w:spacing w:val="0"/>
                <w:w w:val="100"/>
                <w:position w:val="0"/>
              </w:rPr>
              <w:t>）</w:t>
            </w:r>
            <w:r>
              <w:rPr>
                <w:color w:val="000000"/>
                <w:spacing w:val="0"/>
                <w:w w:val="100"/>
                <w:position w:val="0"/>
              </w:rPr>
              <w:t>全权会员，是电信运营商业 务支撑网运营管理系统和</w:t>
            </w:r>
            <w:r>
              <w:rPr>
                <w:rFonts w:ascii="Times New Roman" w:eastAsia="Times New Roman" w:hAnsi="Times New Roman" w:cs="Times New Roman"/>
                <w:color w:val="000000"/>
                <w:spacing w:val="0"/>
                <w:w w:val="100"/>
                <w:position w:val="0"/>
                <w:sz w:val="18"/>
                <w:szCs w:val="18"/>
              </w:rPr>
              <w:t>OSS</w:t>
            </w:r>
            <w:r>
              <w:rPr>
                <w:color w:val="000000"/>
                <w:spacing w:val="0"/>
                <w:w w:val="100"/>
                <w:position w:val="0"/>
              </w:rPr>
              <w:t>运维规范的主要参与者之一，在金融、 保险、政府等领域也拥有很多高端客户，包括：建设银行、农业银 行、民生银行、光大银行、中信证券、国家开发银行、中国人寿等。</w:t>
            </w:r>
          </w:p>
        </w:tc>
      </w:tr>
      <w:tr>
        <w:trPr>
          <w:trHeight w:val="1339"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信息安全</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both"/>
            </w:pPr>
            <w:r>
              <w:rPr>
                <w:color w:val="000000"/>
                <w:spacing w:val="0"/>
                <w:w w:val="100"/>
                <w:position w:val="0"/>
              </w:rPr>
              <w:t>公司在信息安全领域近二十年的产品技术研发和项目经验积累，形 成以身份安全和数据安全为基础，安全合规管理为驱动，安全业务 编排为衔接，安全数据分析为支撑的安全运营管理体系，提供全面 完善的专业安全产品线，赋能企业数字化转型。</w:t>
            </w:r>
          </w:p>
        </w:tc>
      </w:tr>
      <w:tr>
        <w:trPr>
          <w:trHeight w:val="231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全栈智能化运营管理平台</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both"/>
            </w:pPr>
            <w:r>
              <w:rPr>
                <w:color w:val="000000"/>
                <w:spacing w:val="0"/>
                <w:w w:val="100"/>
                <w:position w:val="0"/>
              </w:rPr>
              <w:t>该平台是公司结合多年</w:t>
            </w:r>
            <w:r>
              <w:rPr>
                <w:rFonts w:ascii="Times New Roman" w:eastAsia="Times New Roman" w:hAnsi="Times New Roman" w:cs="Times New Roman"/>
                <w:color w:val="000000"/>
                <w:spacing w:val="0"/>
                <w:w w:val="100"/>
                <w:position w:val="0"/>
                <w:sz w:val="18"/>
                <w:szCs w:val="18"/>
              </w:rPr>
              <w:t>ICT</w:t>
            </w:r>
            <w:r>
              <w:rPr>
                <w:color w:val="000000"/>
                <w:spacing w:val="0"/>
                <w:w w:val="100"/>
                <w:position w:val="0"/>
              </w:rPr>
              <w:t>运营管理的业务经验，自主研发的新一 代产品，采用监控采集、配置管理、流程引擎、大数据、机器学习、 融合通信等八大核心技术，全新构建出</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运维服务能力中台</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r>
              <w:rPr>
                <w:color w:val="000000"/>
                <w:spacing w:val="0"/>
                <w:w w:val="100"/>
                <w:position w:val="0"/>
              </w:rPr>
              <w:t xml:space="preserve">可以 灵活支撑 </w:t>
            </w:r>
            <w:r>
              <w:rPr>
                <w:rFonts w:ascii="Times New Roman" w:eastAsia="Times New Roman" w:hAnsi="Times New Roman" w:cs="Times New Roman"/>
                <w:color w:val="000000"/>
                <w:spacing w:val="0"/>
                <w:w w:val="100"/>
                <w:position w:val="0"/>
                <w:sz w:val="18"/>
                <w:szCs w:val="18"/>
              </w:rPr>
              <w:t>MultiOps</w:t>
            </w:r>
            <w:r>
              <w:rPr>
                <w:color w:val="000000"/>
                <w:spacing w:val="0"/>
                <w:w w:val="100"/>
                <w:position w:val="0"/>
              </w:rPr>
              <w:t xml:space="preserve">&gt; </w:t>
            </w:r>
            <w:r>
              <w:rPr>
                <w:rFonts w:ascii="Times New Roman" w:eastAsia="Times New Roman" w:hAnsi="Times New Roman" w:cs="Times New Roman"/>
                <w:color w:val="000000"/>
                <w:spacing w:val="0"/>
                <w:w w:val="100"/>
                <w:position w:val="0"/>
                <w:sz w:val="18"/>
                <w:szCs w:val="18"/>
              </w:rPr>
              <w:t>CloudOps</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ChatOps</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AutoOps</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DevOps</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 xml:space="preserve">AIOps </w:t>
            </w:r>
            <w:r>
              <w:rPr>
                <w:color w:val="000000"/>
                <w:spacing w:val="0"/>
                <w:w w:val="100"/>
                <w:position w:val="0"/>
              </w:rPr>
              <w:t>六大典型运营场景。</w:t>
            </w:r>
          </w:p>
          <w:p>
            <w:pPr>
              <w:pStyle w:val="Style2"/>
              <w:keepNext w:val="0"/>
              <w:keepLines w:val="0"/>
              <w:widowControl w:val="0"/>
              <w:shd w:val="clear" w:color="auto" w:fill="auto"/>
              <w:bidi w:val="0"/>
              <w:spacing w:before="0" w:after="0" w:line="317" w:lineRule="exact"/>
              <w:ind w:left="0" w:right="0" w:firstLine="0"/>
              <w:jc w:val="both"/>
            </w:pPr>
            <w:r>
              <w:rPr>
                <w:color w:val="000000"/>
                <w:spacing w:val="0"/>
                <w:w w:val="100"/>
                <w:position w:val="0"/>
              </w:rPr>
              <w:t>该平台支撑的</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互联网</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运营服务平台</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项目通过</w:t>
            </w:r>
            <w:r>
              <w:rPr>
                <w:rFonts w:ascii="Times New Roman" w:eastAsia="Times New Roman" w:hAnsi="Times New Roman" w:cs="Times New Roman"/>
                <w:color w:val="000000"/>
                <w:spacing w:val="0"/>
                <w:w w:val="100"/>
                <w:position w:val="0"/>
                <w:sz w:val="18"/>
                <w:szCs w:val="18"/>
              </w:rPr>
              <w:t>DevOps</w:t>
            </w:r>
            <w:r>
              <w:rPr>
                <w:color w:val="000000"/>
                <w:spacing w:val="0"/>
                <w:w w:val="100"/>
                <w:position w:val="0"/>
              </w:rPr>
              <w:t>能力成熟度 标准</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级评估认证。</w:t>
            </w:r>
          </w:p>
        </w:tc>
      </w:tr>
      <w:tr>
        <w:trPr>
          <w:trHeight w:val="1339"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泰岳云通信平台</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重点面向运营商、金融、能源等行业客户。其中，消息系统是云通 信平台的核心能力，采用纯软件架构的设计、无需专用电信设备的 支持，可直接运行于普通</w:t>
            </w:r>
            <w:r>
              <w:rPr>
                <w:rFonts w:ascii="Times New Roman" w:eastAsia="Times New Roman" w:hAnsi="Times New Roman" w:cs="Times New Roman"/>
                <w:color w:val="000000"/>
                <w:spacing w:val="0"/>
                <w:w w:val="100"/>
                <w:position w:val="0"/>
                <w:sz w:val="18"/>
                <w:szCs w:val="18"/>
              </w:rPr>
              <w:t>X86</w:t>
            </w:r>
            <w:r>
              <w:rPr>
                <w:color w:val="000000"/>
                <w:spacing w:val="0"/>
                <w:w w:val="100"/>
                <w:position w:val="0"/>
              </w:rPr>
              <w:t>服务器上，使得核心网络设备平台具 备更高的可靠性保障、灵活的云化部署能力、优秀扩展性。</w:t>
            </w:r>
          </w:p>
        </w:tc>
      </w:tr>
      <w:tr>
        <w:trPr>
          <w:trHeight w:val="10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云计算</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分布式计算的一种，通过网络云将巨大的数据计算处理程序分解成 无数个小程序，然后通过多部服务器组成的系统进行处理和分析这 些小程序得到结果并返回给用户的方式</w:t>
            </w:r>
          </w:p>
        </w:tc>
      </w:tr>
      <w:tr>
        <w:trPr>
          <w:trHeight w:val="197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物联网</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通信</w:t>
            </w:r>
          </w:p>
        </w:tc>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指</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313" w:lineRule="exact"/>
              <w:ind w:left="0" w:right="0" w:firstLine="0"/>
              <w:jc w:val="left"/>
            </w:pPr>
            <w:r>
              <w:rPr>
                <w:color w:val="000000"/>
                <w:spacing w:val="0"/>
                <w:w w:val="100"/>
                <w:position w:val="0"/>
              </w:rPr>
              <w:t>公司专注于物联网及通信技术的研究，经过多年的积累，已将各技术 封装为可任意拼装的模块化单元，这样的单元包括：自有操作系统、 协议栈、无线通信、有线通信、高精度定位、异物监测、传感监控等， 利用这些单元，针对不同的行业领域提供深度定制化设备，填补相关 行业空白，助力特定领域构建完全自主可控的物联网与统一通信平台， 已广泛应用于核设施、城市管廊、周界安防等领域。</w:t>
            </w:r>
          </w:p>
        </w:tc>
      </w:tr>
    </w:tbl>
    <w:p>
      <w:pPr>
        <w:spacing w:lineRule="exact" w:line="1"/>
        <w:rPr>
          <w:sz w:val="2"/>
          <w:szCs w:val="2"/>
        </w:rPr>
      </w:pPr>
      <w:r>
        <w:br w:type="page"/>
      </w:r>
    </w:p>
    <w:tbl>
      <w:tblPr>
        <w:tblOverlap w:val="never"/>
        <w:jc w:val="center"/>
        <w:tblLayout w:type="fixed"/>
      </w:tblPr>
      <w:tblGrid>
        <w:gridCol w:w="3576"/>
        <w:gridCol w:w="629"/>
        <w:gridCol w:w="5506"/>
      </w:tblGrid>
      <w:tr>
        <w:trPr>
          <w:trHeight w:val="40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释义项</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指</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释义内容</w:t>
            </w:r>
          </w:p>
        </w:tc>
      </w:tr>
      <w:tr>
        <w:trPr>
          <w:trHeight w:val="133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智慧线</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是公司自主研发的物联网通讯技术的核心产品，内嵌物联网芯片，集 射频收发、供电、数字信号传输于一体，解决了多种场景的覆盖难题， 其强大的无线感知、精准定位、数据接入能力广泛应用于复杂地形与 封闭空间场景。</w:t>
            </w:r>
          </w:p>
        </w:tc>
      </w:tr>
      <w:tr>
        <w:trPr>
          <w:trHeight w:val="391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Nu-Comm</w:t>
            </w:r>
            <w:r>
              <w:rPr>
                <w:color w:val="000000"/>
                <w:spacing w:val="0"/>
                <w:w w:val="100"/>
                <w:position w:val="0"/>
              </w:rPr>
              <w:t>融合通信系统</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both"/>
            </w:pPr>
            <w:r>
              <w:rPr>
                <w:rFonts w:ascii="Times New Roman" w:eastAsia="Times New Roman" w:hAnsi="Times New Roman" w:cs="Times New Roman"/>
                <w:color w:val="000000"/>
                <w:spacing w:val="0"/>
                <w:w w:val="100"/>
                <w:position w:val="0"/>
                <w:sz w:val="18"/>
                <w:szCs w:val="18"/>
              </w:rPr>
              <w:t>Nu-Comm</w:t>
            </w:r>
            <w:r>
              <w:rPr>
                <w:color w:val="000000"/>
                <w:spacing w:val="0"/>
                <w:w w:val="100"/>
                <w:position w:val="0"/>
              </w:rPr>
              <w:t>融合通信系统，是面向核设施场景开发的集通信、定位、传 感监控、宽带数据传输于一体的、国内外首个完全满足核电站高电磁 安全、高信息安全、高辐照要求的无线通信系统。</w:t>
            </w:r>
          </w:p>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该系统实现了超低功率支持海量终端接入的物联网与高带宽专用网络 的结合，以及电磁敏感区，超低功率无线接入模式与常规区域自动漫 游切换，具备精准的功率控制能力和分级可控的安全接入机制，支持 移动通信、精确定位、物联网接入、宽带数据传输等多种业务需求， 能够在核电站建设、调试、运行、检修工作中为核电业主提供可靠、 高质量的通信和数据传输通道。</w:t>
            </w:r>
          </w:p>
          <w:p>
            <w:pPr>
              <w:pStyle w:val="Style2"/>
              <w:keepNext w:val="0"/>
              <w:keepLines w:val="0"/>
              <w:widowControl w:val="0"/>
              <w:shd w:val="clear" w:color="auto" w:fill="auto"/>
              <w:bidi w:val="0"/>
              <w:spacing w:before="0" w:after="0" w:line="314" w:lineRule="exact"/>
              <w:ind w:left="0" w:right="0" w:firstLine="0"/>
              <w:jc w:val="both"/>
            </w:pPr>
            <w:r>
              <w:rPr>
                <w:rFonts w:ascii="Times New Roman" w:eastAsia="Times New Roman" w:hAnsi="Times New Roman" w:cs="Times New Roman"/>
                <w:color w:val="000000"/>
                <w:spacing w:val="0"/>
                <w:w w:val="100"/>
                <w:position w:val="0"/>
                <w:sz w:val="18"/>
                <w:szCs w:val="18"/>
              </w:rPr>
              <w:t>Nu-Comm</w:t>
            </w:r>
            <w:r>
              <w:rPr>
                <w:color w:val="000000"/>
                <w:spacing w:val="0"/>
                <w:w w:val="100"/>
                <w:position w:val="0"/>
              </w:rPr>
              <w:t>已形成完整的面向各类场景的全系列产品：室内覆盖</w:t>
            </w:r>
            <w:r>
              <w:rPr>
                <w:rFonts w:ascii="Times New Roman" w:eastAsia="Times New Roman" w:hAnsi="Times New Roman" w:cs="Times New Roman"/>
                <w:color w:val="000000"/>
                <w:spacing w:val="0"/>
                <w:w w:val="100"/>
                <w:position w:val="0"/>
                <w:sz w:val="18"/>
                <w:szCs w:val="18"/>
              </w:rPr>
              <w:t>NP</w:t>
            </w:r>
            <w:r>
              <w:rPr>
                <w:color w:val="000000"/>
                <w:spacing w:val="0"/>
                <w:w w:val="100"/>
                <w:position w:val="0"/>
              </w:rPr>
              <w:t>系 列、大功率厂房</w:t>
            </w:r>
            <w:r>
              <w:rPr>
                <w:rFonts w:ascii="Times New Roman" w:eastAsia="Times New Roman" w:hAnsi="Times New Roman" w:cs="Times New Roman"/>
                <w:color w:val="000000"/>
                <w:spacing w:val="0"/>
                <w:w w:val="100"/>
                <w:position w:val="0"/>
                <w:sz w:val="18"/>
                <w:szCs w:val="18"/>
              </w:rPr>
              <w:t>NL</w:t>
            </w:r>
            <w:r>
              <w:rPr>
                <w:color w:val="000000"/>
                <w:spacing w:val="0"/>
                <w:w w:val="100"/>
                <w:position w:val="0"/>
              </w:rPr>
              <w:t>系列、室外基站</w:t>
            </w:r>
            <w:r>
              <w:rPr>
                <w:rFonts w:ascii="Times New Roman" w:eastAsia="Times New Roman" w:hAnsi="Times New Roman" w:cs="Times New Roman"/>
                <w:color w:val="000000"/>
                <w:spacing w:val="0"/>
                <w:w w:val="100"/>
                <w:position w:val="0"/>
                <w:sz w:val="18"/>
                <w:szCs w:val="18"/>
              </w:rPr>
              <w:t>NV</w:t>
            </w:r>
            <w:r>
              <w:rPr>
                <w:color w:val="000000"/>
                <w:spacing w:val="0"/>
                <w:w w:val="100"/>
                <w:position w:val="0"/>
              </w:rPr>
              <w:t>系列、工业拉远的</w:t>
            </w:r>
            <w:r>
              <w:rPr>
                <w:rFonts w:ascii="Times New Roman" w:eastAsia="Times New Roman" w:hAnsi="Times New Roman" w:cs="Times New Roman"/>
                <w:color w:val="000000"/>
                <w:spacing w:val="0"/>
                <w:w w:val="100"/>
                <w:position w:val="0"/>
                <w:sz w:val="18"/>
                <w:szCs w:val="18"/>
              </w:rPr>
              <w:t>NEV</w:t>
            </w:r>
            <w:r>
              <w:rPr>
                <w:color w:val="000000"/>
                <w:spacing w:val="0"/>
                <w:w w:val="100"/>
                <w:position w:val="0"/>
              </w:rPr>
              <w:t>系列、 反应堆厂房的</w:t>
            </w:r>
            <w:r>
              <w:rPr>
                <w:rFonts w:ascii="Times New Roman" w:eastAsia="Times New Roman" w:hAnsi="Times New Roman" w:cs="Times New Roman"/>
                <w:color w:val="000000"/>
                <w:spacing w:val="0"/>
                <w:w w:val="100"/>
                <w:position w:val="0"/>
                <w:sz w:val="18"/>
                <w:szCs w:val="18"/>
              </w:rPr>
              <w:t>N1</w:t>
            </w:r>
            <w:r>
              <w:rPr>
                <w:color w:val="000000"/>
                <w:spacing w:val="0"/>
                <w:w w:val="100"/>
                <w:position w:val="0"/>
              </w:rPr>
              <w:t>系列、耐辐照的</w:t>
            </w:r>
            <w:r>
              <w:rPr>
                <w:rFonts w:ascii="Times New Roman" w:eastAsia="Times New Roman" w:hAnsi="Times New Roman" w:cs="Times New Roman"/>
                <w:color w:val="000000"/>
                <w:spacing w:val="0"/>
                <w:w w:val="100"/>
                <w:position w:val="0"/>
                <w:sz w:val="18"/>
                <w:szCs w:val="18"/>
              </w:rPr>
              <w:t>RR</w:t>
            </w:r>
            <w:r>
              <w:rPr>
                <w:color w:val="000000"/>
                <w:spacing w:val="0"/>
                <w:w w:val="100"/>
                <w:position w:val="0"/>
              </w:rPr>
              <w:t>系列。</w:t>
            </w:r>
          </w:p>
        </w:tc>
      </w:tr>
      <w:tr>
        <w:trPr>
          <w:trHeight w:val="293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城市综合管廊通信安防一体化系统</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both"/>
            </w:pPr>
            <w:r>
              <w:rPr>
                <w:color w:val="000000"/>
                <w:spacing w:val="0"/>
                <w:w w:val="100"/>
                <w:position w:val="0"/>
              </w:rPr>
              <w:t>综合管廊是城市地下的隧道空间，其将电力、通信、燃气、供热、给 排水等各种工程管线集于一体，是未来城市建设的重要组成部分。 公司自主研发设计的</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基于智慧线的城市综合管廊通信安防一体化系 统</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，通过独创的</w:t>
            </w:r>
            <w:r>
              <w:rPr>
                <w:rFonts w:ascii="Times New Roman" w:eastAsia="Times New Roman" w:hAnsi="Times New Roman" w:cs="Times New Roman"/>
                <w:color w:val="000000"/>
                <w:spacing w:val="0"/>
                <w:w w:val="100"/>
                <w:position w:val="0"/>
                <w:sz w:val="18"/>
                <w:szCs w:val="18"/>
              </w:rPr>
              <w:t>TSM(</w:t>
            </w:r>
            <w:r>
              <w:rPr>
                <w:color w:val="000000"/>
                <w:spacing w:val="0"/>
                <w:w w:val="100"/>
                <w:position w:val="0"/>
              </w:rPr>
              <w:t>隧道移动通信系统)技术，实现对管廊各舱</w:t>
            </w:r>
            <w:r>
              <w:rPr>
                <w:rFonts w:ascii="Times New Roman" w:eastAsia="Times New Roman" w:hAnsi="Times New Roman" w:cs="Times New Roman"/>
                <w:color w:val="000000"/>
                <w:spacing w:val="0"/>
                <w:w w:val="100"/>
                <w:position w:val="0"/>
                <w:sz w:val="18"/>
                <w:szCs w:val="18"/>
              </w:rPr>
              <w:t xml:space="preserve">“2M </w:t>
            </w:r>
            <w:r>
              <w:rPr>
                <w:color w:val="000000"/>
                <w:spacing w:val="0"/>
                <w:w w:val="100"/>
                <w:position w:val="0"/>
              </w:rPr>
              <w:t>物联网</w:t>
            </w:r>
            <w:r>
              <w:rPr>
                <w:rFonts w:ascii="Times New Roman" w:eastAsia="Times New Roman" w:hAnsi="Times New Roman" w:cs="Times New Roman"/>
                <w:color w:val="000000"/>
                <w:spacing w:val="0"/>
                <w:w w:val="100"/>
                <w:position w:val="0"/>
                <w:sz w:val="18"/>
                <w:szCs w:val="18"/>
              </w:rPr>
              <w:t>+1.266G</w:t>
            </w:r>
            <w:r>
              <w:rPr>
                <w:color w:val="000000"/>
                <w:spacing w:val="0"/>
                <w:w w:val="100"/>
                <w:position w:val="0"/>
              </w:rPr>
              <w:t>宽带</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的无线信号全覆盖，打造管廊内的</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信息高速公 路</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，实现管廊内移动通信、物联网传感、精准定位及轨迹跟踪、入侵 报警及定位、宽带无线接入、在线巡查管理等功能，并可与消防系统、 通风系统、供电系统、照明系统、排水系统、标识系统联动，提高城 市综合管廊的</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数字化</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管理水平，实现</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智慧管廊</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tc>
      </w:tr>
      <w:tr>
        <w:trPr>
          <w:trHeight w:val="1651"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智慧墙入侵探测系统</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公司自主研发的</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智慧墙入侵探测系统</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r>
              <w:rPr>
                <w:color w:val="000000"/>
                <w:spacing w:val="0"/>
                <w:w w:val="100"/>
                <w:position w:val="0"/>
              </w:rPr>
              <w:t>拥有周界安防领先的核心技 术，利用芯片收发微波信号形成向量对外构建传感探测场，探测场信 号扰动波形分析形成报警信息，采用卷积神经网络算法确定入侵行为， 不受风雪雨雾影响，零漏报，极低误报率，施工方便，支持精准定位 与敌我识别，是新一代周界安防技术和产品。</w:t>
            </w:r>
          </w:p>
        </w:tc>
      </w:tr>
      <w:tr>
        <w:trPr>
          <w:trHeight w:val="2947"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人工智能</w:t>
            </w:r>
          </w:p>
        </w:tc>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指</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319" w:lineRule="exact"/>
              <w:ind w:left="0" w:right="0" w:firstLine="0"/>
              <w:jc w:val="both"/>
            </w:pPr>
            <w:r>
              <w:rPr>
                <w:color w:val="000000"/>
                <w:spacing w:val="0"/>
                <w:w w:val="100"/>
                <w:position w:val="0"/>
              </w:rPr>
              <w:t>人工智能(</w:t>
            </w:r>
            <w:r>
              <w:rPr>
                <w:rFonts w:ascii="Times New Roman" w:eastAsia="Times New Roman" w:hAnsi="Times New Roman" w:cs="Times New Roman"/>
                <w:color w:val="000000"/>
                <w:spacing w:val="0"/>
                <w:w w:val="100"/>
                <w:position w:val="0"/>
                <w:sz w:val="18"/>
                <w:szCs w:val="18"/>
              </w:rPr>
              <w:t>Artificial Intelligence</w:t>
            </w:r>
            <w:r>
              <w:rPr>
                <w:color w:val="000000"/>
                <w:spacing w:val="0"/>
                <w:w w:val="100"/>
                <w:position w:val="0"/>
              </w:rPr>
              <w:t>)，英文缩写为</w:t>
            </w:r>
            <w:r>
              <w:rPr>
                <w:rFonts w:ascii="Times New Roman" w:eastAsia="Times New Roman" w:hAnsi="Times New Roman" w:cs="Times New Roman"/>
                <w:color w:val="000000"/>
                <w:spacing w:val="0"/>
                <w:w w:val="100"/>
                <w:position w:val="0"/>
                <w:sz w:val="18"/>
                <w:szCs w:val="18"/>
              </w:rPr>
              <w:t>AI</w:t>
            </w:r>
            <w:r>
              <w:rPr>
                <w:color w:val="000000"/>
                <w:spacing w:val="0"/>
                <w:w w:val="100"/>
                <w:position w:val="0"/>
              </w:rPr>
              <w:t>，</w:t>
            </w:r>
            <w:r>
              <w:rPr>
                <w:color w:val="000000"/>
                <w:spacing w:val="0"/>
                <w:w w:val="100"/>
                <w:position w:val="0"/>
              </w:rPr>
              <w:t>是研究、开发用于 模拟、延伸和扩展人的智能的理论、方法、技术及应用系统的一门新 的技术科学。</w:t>
            </w:r>
          </w:p>
          <w:p>
            <w:pPr>
              <w:pStyle w:val="Style2"/>
              <w:keepNext w:val="0"/>
              <w:keepLines w:val="0"/>
              <w:widowControl w:val="0"/>
              <w:shd w:val="clear" w:color="auto" w:fill="auto"/>
              <w:bidi w:val="0"/>
              <w:spacing w:before="0" w:after="0" w:line="313" w:lineRule="exact"/>
              <w:ind w:left="0" w:right="0" w:firstLine="0"/>
              <w:jc w:val="both"/>
            </w:pPr>
            <w:r>
              <w:rPr>
                <w:color w:val="000000"/>
                <w:spacing w:val="0"/>
                <w:w w:val="100"/>
                <w:position w:val="0"/>
              </w:rPr>
              <w:t>业界学者认为，人工智能包含三个层次：计算智能、感知智能、认知 智能。计算智能：即快速计算、记忆和储存能力；感知智能：即视觉、 听觉、触觉等感知能力，主要涉及到语音识别、图像识别、人脸识别、 语音合成等技术方向；认知智能则更为复杂，包括分析、思考、理解、 判断的能力，主要涉及到自然语言理解、知识表达、逻辑推理、自主 学习等方向。</w:t>
            </w:r>
          </w:p>
        </w:tc>
      </w:tr>
    </w:tbl>
    <w:p>
      <w:pPr>
        <w:spacing w:lineRule="exact" w:line="1"/>
        <w:rPr>
          <w:sz w:val="2"/>
          <w:szCs w:val="2"/>
        </w:rPr>
      </w:pPr>
      <w:r>
        <w:br w:type="page"/>
      </w:r>
    </w:p>
    <w:tbl>
      <w:tblPr>
        <w:tblOverlap w:val="never"/>
        <w:jc w:val="center"/>
        <w:tblLayout w:type="fixed"/>
      </w:tblPr>
      <w:tblGrid>
        <w:gridCol w:w="3576"/>
        <w:gridCol w:w="629"/>
        <w:gridCol w:w="5506"/>
      </w:tblGrid>
      <w:tr>
        <w:trPr>
          <w:trHeight w:val="40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释义项</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220"/>
              <w:jc w:val="left"/>
            </w:pPr>
            <w:r>
              <w:rPr>
                <w:b/>
                <w:bCs/>
                <w:color w:val="000000"/>
                <w:spacing w:val="0"/>
                <w:w w:val="100"/>
                <w:position w:val="0"/>
              </w:rPr>
              <w:t>指</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释义内容</w:t>
            </w:r>
          </w:p>
        </w:tc>
      </w:tr>
      <w:tr>
        <w:trPr>
          <w:trHeight w:val="133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自然语言处理</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5" w:lineRule="exact"/>
              <w:ind w:left="0" w:right="0" w:firstLine="0"/>
              <w:jc w:val="both"/>
            </w:pPr>
            <w:r>
              <w:rPr>
                <w:color w:val="000000"/>
                <w:spacing w:val="0"/>
                <w:w w:val="100"/>
                <w:position w:val="0"/>
              </w:rPr>
              <w:t>自然语言处理，即</w:t>
            </w:r>
            <w:r>
              <w:rPr>
                <w:rFonts w:ascii="Times New Roman" w:eastAsia="Times New Roman" w:hAnsi="Times New Roman" w:cs="Times New Roman"/>
                <w:color w:val="000000"/>
                <w:spacing w:val="0"/>
                <w:w w:val="100"/>
                <w:position w:val="0"/>
                <w:sz w:val="18"/>
                <w:szCs w:val="18"/>
              </w:rPr>
              <w:t>NLP</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Natural Language Processing</w:t>
            </w:r>
            <w:r>
              <w:rPr>
                <w:color w:val="000000"/>
                <w:spacing w:val="0"/>
                <w:w w:val="100"/>
                <w:position w:val="0"/>
              </w:rPr>
              <w:t>）</w:t>
            </w:r>
            <w:r>
              <w:rPr>
                <w:color w:val="000000"/>
                <w:spacing w:val="0"/>
                <w:w w:val="100"/>
                <w:position w:val="0"/>
                <w:vertAlign w:val="subscript"/>
              </w:rPr>
              <w:t>o</w:t>
            </w:r>
            <w:r>
              <w:rPr>
                <w:color w:val="000000"/>
                <w:spacing w:val="0"/>
                <w:w w:val="100"/>
                <w:position w:val="0"/>
              </w:rPr>
              <w:t>自然语言处理 作为认知智能的核心技术将人工智能由能听会看提升到能理解会思 考，是继图像处理和语音处理后公认的人工智能的最新热点，市场规 模正逐步接近图像处理和语音处理。</w:t>
            </w:r>
          </w:p>
        </w:tc>
      </w:tr>
      <w:tr>
        <w:trPr>
          <w:trHeight w:val="325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7"/>
                <w:szCs w:val="17"/>
              </w:rPr>
              <w:t>智脑</w:t>
            </w:r>
            <w:r>
              <w:rPr>
                <w:rFonts w:ascii="Times New Roman" w:eastAsia="Times New Roman" w:hAnsi="Times New Roman" w:cs="Times New Roman"/>
                <w:color w:val="000000"/>
                <w:spacing w:val="0"/>
                <w:w w:val="100"/>
                <w:position w:val="0"/>
                <w:sz w:val="18"/>
                <w:szCs w:val="18"/>
              </w:rPr>
              <w:t>2.0</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both"/>
            </w:pPr>
            <w:r>
              <w:rPr>
                <w:color w:val="000000"/>
                <w:spacing w:val="0"/>
                <w:w w:val="100"/>
                <w:position w:val="0"/>
              </w:rPr>
              <w:t>公司推出面向公安行业的以</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数据汇聚、手段集成、权限集中、实体联 动、智能实用、安全可靠、成果共享</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为中心原则，基于</w:t>
            </w:r>
            <w:r>
              <w:rPr>
                <w:rFonts w:ascii="Times New Roman" w:eastAsia="Times New Roman" w:hAnsi="Times New Roman" w:cs="Times New Roman"/>
                <w:color w:val="000000"/>
                <w:spacing w:val="0"/>
                <w:w w:val="100"/>
                <w:position w:val="0"/>
                <w:sz w:val="18"/>
                <w:szCs w:val="18"/>
              </w:rPr>
              <w:t>PB</w:t>
            </w:r>
            <w:r>
              <w:rPr>
                <w:color w:val="000000"/>
                <w:spacing w:val="0"/>
                <w:w w:val="100"/>
                <w:position w:val="0"/>
              </w:rPr>
              <w:t>级全量数 据秒级运算的大数据</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人工智能综合应用产品，打造的面向业务服务的 新一代产品。</w:t>
            </w:r>
          </w:p>
          <w:p>
            <w:pPr>
              <w:pStyle w:val="Style2"/>
              <w:keepNext w:val="0"/>
              <w:keepLines w:val="0"/>
              <w:widowControl w:val="0"/>
              <w:shd w:val="clear" w:color="auto" w:fill="auto"/>
              <w:bidi w:val="0"/>
              <w:spacing w:before="0" w:after="0" w:line="313" w:lineRule="exact"/>
              <w:ind w:left="0" w:right="0" w:firstLine="0"/>
              <w:jc w:val="both"/>
            </w:pPr>
            <w:r>
              <w:rPr>
                <w:color w:val="000000"/>
                <w:spacing w:val="0"/>
                <w:w w:val="100"/>
                <w:position w:val="0"/>
              </w:rPr>
              <w:t>该系列产品基于三大平台产品为支撑，即：实体分析平台、智能研判 平台及业务定义平台。产品在情报分析、案件串并、实体布控、实体 挖掘、关联分析、时空轨迹分析、话单分析等领域，都提供了整套解 决方案。利用成熟平台，特别强化对国家发改委提出新基建三大基础 设施——</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信息基础设施融合基础设施</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及</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创新基础设施</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的支持和 服务。</w:t>
            </w:r>
          </w:p>
        </w:tc>
      </w:tr>
      <w:tr>
        <w:trPr>
          <w:trHeight w:val="2592"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中文信息（深度）处理开放创新平台</w:t>
            </w:r>
          </w:p>
        </w:tc>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313" w:lineRule="exact"/>
              <w:ind w:left="0" w:right="0" w:firstLine="0"/>
              <w:jc w:val="both"/>
            </w:pPr>
            <w:r>
              <w:rPr>
                <w:color w:val="000000"/>
                <w:spacing w:val="0"/>
                <w:w w:val="100"/>
                <w:position w:val="0"/>
              </w:rPr>
              <w:t>公司在中国中文信息学会指导下，联合中国声谷，打造的智能语义产 业平台</w:t>
            </w:r>
            <w:r>
              <w:rPr>
                <w:color w:val="000000"/>
                <w:spacing w:val="0"/>
                <w:w w:val="100"/>
                <w:position w:val="0"/>
              </w:rPr>
              <w:t>一</w:t>
            </w:r>
            <w:r>
              <w:rPr>
                <w:color w:val="000000"/>
                <w:spacing w:val="0"/>
                <w:w w:val="100"/>
                <w:position w:val="0"/>
              </w:rPr>
              <w:t>中文信息（深度）处理开放创新平台。其汇聚了自然语言 理解、人机交互、机器翻译、知识图谱等人工智能技术及中国中文信 息学会核心的</w:t>
            </w:r>
            <w:r>
              <w:rPr>
                <w:rFonts w:ascii="Times New Roman" w:eastAsia="Times New Roman" w:hAnsi="Times New Roman" w:cs="Times New Roman"/>
                <w:color w:val="000000"/>
                <w:spacing w:val="0"/>
                <w:w w:val="100"/>
                <w:position w:val="0"/>
                <w:sz w:val="18"/>
                <w:szCs w:val="18"/>
              </w:rPr>
              <w:t>NLP</w:t>
            </w:r>
            <w:r>
              <w:rPr>
                <w:color w:val="000000"/>
                <w:spacing w:val="0"/>
                <w:w w:val="100"/>
                <w:position w:val="0"/>
              </w:rPr>
              <w:t>专家团队，经过多年探索与实践打造出的国内首个 智能语义开放平台。该平台专注于认知智能、语言智能，语义智能技 术和产品服务，是一个集成果展示、品牌建设、创新项目落地、数据 共享、产品孵化、技术推广、知识分享于一体的完整的产学研用育的 生态体系。</w:t>
            </w:r>
          </w:p>
        </w:tc>
      </w:tr>
    </w:tbl>
    <w:p>
      <w:pPr>
        <w:sectPr>
          <w:headerReference w:type="default" r:id="rId17"/>
          <w:footerReference w:type="default" r:id="rId18"/>
          <w:headerReference w:type="even" r:id="rId19"/>
          <w:footerReference w:type="even" r:id="rId20"/>
          <w:footnotePr>
            <w:pos w:val="pageBottom"/>
            <w:numFmt w:val="decimal"/>
            <w:numRestart w:val="continuous"/>
          </w:footnotePr>
          <w:pgSz w:w="11904" w:h="17375"/>
          <w:pgMar w:top="1708" w:right="1094" w:bottom="2399" w:left="1099" w:header="0" w:footer="3" w:gutter="0"/>
          <w:cols w:space="720"/>
          <w:noEndnote/>
          <w:rtlGutter w:val="0"/>
          <w:docGrid w:linePitch="360"/>
        </w:sectPr>
      </w:pPr>
    </w:p>
    <w:p>
      <w:pPr>
        <w:pStyle w:val="Style7"/>
        <w:keepNext/>
        <w:keepLines/>
        <w:widowControl w:val="0"/>
        <w:shd w:val="clear" w:color="auto" w:fill="auto"/>
        <w:bidi w:val="0"/>
        <w:spacing w:before="500" w:after="540" w:line="240" w:lineRule="auto"/>
        <w:ind w:left="0" w:right="0" w:firstLine="0"/>
        <w:jc w:val="center"/>
      </w:pPr>
      <w:bookmarkStart w:id="3" w:name="bookmark3"/>
      <w:bookmarkStart w:id="4" w:name="bookmark4"/>
      <w:bookmarkStart w:id="5" w:name="bookmark5"/>
      <w:r>
        <w:rPr>
          <w:color w:val="000000"/>
          <w:spacing w:val="0"/>
          <w:w w:val="100"/>
          <w:position w:val="0"/>
        </w:rPr>
        <w:t>第二节公司简介和主要财务指标</w:t>
      </w:r>
      <w:bookmarkEnd w:id="3"/>
      <w:bookmarkEnd w:id="4"/>
      <w:bookmarkEnd w:id="5"/>
    </w:p>
    <w:p>
      <w:pPr>
        <w:pStyle w:val="Style39"/>
        <w:keepNext/>
        <w:keepLines/>
        <w:widowControl w:val="0"/>
        <w:shd w:val="clear" w:color="auto" w:fill="auto"/>
        <w:bidi w:val="0"/>
        <w:spacing w:before="0" w:after="300" w:line="240" w:lineRule="auto"/>
        <w:ind w:left="0" w:right="0" w:firstLine="260"/>
        <w:jc w:val="left"/>
      </w:pPr>
      <w:bookmarkStart w:id="6" w:name="bookmark6"/>
      <w:bookmarkStart w:id="7" w:name="bookmark7"/>
      <w:bookmarkStart w:id="8" w:name="bookmark8"/>
      <w:r>
        <w:rPr>
          <w:color w:val="000000"/>
          <w:spacing w:val="0"/>
          <w:w w:val="100"/>
          <w:position w:val="0"/>
          <w:sz w:val="24"/>
          <w:szCs w:val="24"/>
        </w:rPr>
        <w:t>、公司信息</w:t>
      </w:r>
      <w:bookmarkEnd w:id="6"/>
      <w:bookmarkEnd w:id="7"/>
      <w:bookmarkEnd w:id="8"/>
    </w:p>
    <w:tbl>
      <w:tblPr>
        <w:tblOverlap w:val="never"/>
        <w:jc w:val="center"/>
        <w:tblLayout w:type="fixed"/>
      </w:tblPr>
      <w:tblGrid>
        <w:gridCol w:w="2318"/>
        <w:gridCol w:w="2990"/>
        <w:gridCol w:w="2189"/>
        <w:gridCol w:w="2213"/>
      </w:tblGrid>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股票简称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神州泰岳</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股票代码</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300002</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公司的中文名称</w:t>
            </w:r>
          </w:p>
        </w:tc>
        <w:tc>
          <w:tcPr>
            <w:gridSpan w:val="3"/>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北京神州泰岳软件股份有限公司</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公司的中文简称</w:t>
            </w:r>
          </w:p>
        </w:tc>
        <w:tc>
          <w:tcPr>
            <w:gridSpan w:val="3"/>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神州泰岳</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公司的外文名称</w:t>
            </w:r>
          </w:p>
        </w:tc>
        <w:tc>
          <w:tcPr>
            <w:gridSpan w:val="3"/>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Beijing Ultrapower Software Co., Ltd.</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340"/>
              <w:jc w:val="left"/>
            </w:pPr>
            <w:r>
              <w:rPr>
                <w:color w:val="000000"/>
                <w:spacing w:val="0"/>
                <w:w w:val="100"/>
                <w:position w:val="0"/>
              </w:rPr>
              <w:t>公司的外文名称缩写</w:t>
            </w:r>
          </w:p>
        </w:tc>
        <w:tc>
          <w:tcPr>
            <w:gridSpan w:val="3"/>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Ultrapower</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公司的法定代表人</w:t>
            </w:r>
          </w:p>
        </w:tc>
        <w:tc>
          <w:tcPr>
            <w:gridSpan w:val="3"/>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冒大卫</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注册地址</w:t>
            </w:r>
          </w:p>
        </w:tc>
        <w:tc>
          <w:tcPr>
            <w:gridSpan w:val="3"/>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北京市海淀区海淀大街</w:t>
            </w:r>
            <w:r>
              <w:rPr>
                <w:rFonts w:ascii="Times New Roman" w:eastAsia="Times New Roman" w:hAnsi="Times New Roman" w:cs="Times New Roman"/>
                <w:color w:val="000000"/>
                <w:spacing w:val="0"/>
                <w:w w:val="100"/>
                <w:position w:val="0"/>
                <w:sz w:val="18"/>
                <w:szCs w:val="18"/>
              </w:rPr>
              <w:t>34</w:t>
            </w:r>
            <w:r>
              <w:rPr>
                <w:color w:val="000000"/>
                <w:spacing w:val="0"/>
                <w:w w:val="100"/>
                <w:position w:val="0"/>
              </w:rPr>
              <w:t>号</w:t>
            </w:r>
            <w:r>
              <w:rPr>
                <w:rFonts w:ascii="Times New Roman" w:eastAsia="Times New Roman" w:hAnsi="Times New Roman" w:cs="Times New Roman"/>
                <w:color w:val="000000"/>
                <w:spacing w:val="0"/>
                <w:w w:val="100"/>
                <w:position w:val="0"/>
                <w:sz w:val="18"/>
                <w:szCs w:val="18"/>
              </w:rPr>
              <w:t>8</w:t>
            </w:r>
            <w:r>
              <w:rPr>
                <w:color w:val="000000"/>
                <w:spacing w:val="0"/>
                <w:w w:val="100"/>
                <w:position w:val="0"/>
              </w:rPr>
              <w:t>层</w:t>
            </w:r>
            <w:r>
              <w:rPr>
                <w:rFonts w:ascii="Times New Roman" w:eastAsia="Times New Roman" w:hAnsi="Times New Roman" w:cs="Times New Roman"/>
                <w:color w:val="000000"/>
                <w:spacing w:val="0"/>
                <w:w w:val="100"/>
                <w:position w:val="0"/>
                <w:sz w:val="18"/>
                <w:szCs w:val="18"/>
              </w:rPr>
              <w:t>818</w:t>
            </w:r>
            <w:r>
              <w:rPr>
                <w:color w:val="000000"/>
                <w:spacing w:val="0"/>
                <w:w w:val="100"/>
                <w:position w:val="0"/>
              </w:rPr>
              <w:t>室</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注册地址的邮政编码</w:t>
            </w:r>
          </w:p>
        </w:tc>
        <w:tc>
          <w:tcPr>
            <w:gridSpan w:val="3"/>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100080</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办公地址</w:t>
            </w:r>
          </w:p>
        </w:tc>
        <w:tc>
          <w:tcPr>
            <w:gridSpan w:val="3"/>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北京市朝阳区北苑路甲</w:t>
            </w:r>
            <w:r>
              <w:rPr>
                <w:rFonts w:ascii="Times New Roman" w:eastAsia="Times New Roman" w:hAnsi="Times New Roman" w:cs="Times New Roman"/>
                <w:color w:val="000000"/>
                <w:spacing w:val="0"/>
                <w:w w:val="100"/>
                <w:position w:val="0"/>
                <w:sz w:val="18"/>
                <w:szCs w:val="18"/>
              </w:rPr>
              <w:t>13</w:t>
            </w:r>
            <w:r>
              <w:rPr>
                <w:color w:val="000000"/>
                <w:spacing w:val="0"/>
                <w:w w:val="100"/>
                <w:position w:val="0"/>
              </w:rPr>
              <w:t>号院</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号楼</w:t>
            </w:r>
            <w:r>
              <w:rPr>
                <w:rFonts w:ascii="Times New Roman" w:eastAsia="Times New Roman" w:hAnsi="Times New Roman" w:cs="Times New Roman"/>
                <w:color w:val="000000"/>
                <w:spacing w:val="0"/>
                <w:w w:val="100"/>
                <w:position w:val="0"/>
                <w:sz w:val="18"/>
                <w:szCs w:val="18"/>
              </w:rPr>
              <w:t>22</w:t>
            </w:r>
            <w:r>
              <w:rPr>
                <w:color w:val="000000"/>
                <w:spacing w:val="0"/>
                <w:w w:val="100"/>
                <w:position w:val="0"/>
              </w:rPr>
              <w:t>层</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办公地址的邮政编码</w:t>
            </w:r>
          </w:p>
        </w:tc>
        <w:tc>
          <w:tcPr>
            <w:gridSpan w:val="3"/>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100107</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公司国际互联网网址</w:t>
            </w:r>
          </w:p>
        </w:tc>
        <w:tc>
          <w:tcPr>
            <w:gridSpan w:val="3"/>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fldChar w:fldCharType="begin"/>
            </w:r>
            <w:r>
              <w:rPr/>
              <w:instrText> HYPERLINK "http://www.ultrapower" </w:instrText>
            </w:r>
            <w:r>
              <w:fldChar w:fldCharType="separate"/>
            </w:r>
            <w:r>
              <w:rPr>
                <w:rFonts w:ascii="Times New Roman" w:eastAsia="Times New Roman" w:hAnsi="Times New Roman" w:cs="Times New Roman"/>
                <w:color w:val="000000"/>
                <w:spacing w:val="0"/>
                <w:w w:val="100"/>
                <w:position w:val="0"/>
                <w:sz w:val="18"/>
                <w:szCs w:val="18"/>
              </w:rPr>
              <w:t>www.ultrapower</w:t>
            </w:r>
            <w:r>
              <w:fldChar w:fldCharType="end"/>
            </w:r>
            <w:r>
              <w:rPr>
                <w:rFonts w:ascii="Times New Roman" w:eastAsia="Times New Roman" w:hAnsi="Times New Roman" w:cs="Times New Roman"/>
                <w:color w:val="000000"/>
                <w:spacing w:val="0"/>
                <w:w w:val="100"/>
                <w:position w:val="0"/>
                <w:sz w:val="18"/>
                <w:szCs w:val="18"/>
              </w:rPr>
              <w:t>. com. cn</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电子信箱</w:t>
            </w:r>
          </w:p>
        </w:tc>
        <w:tc>
          <w:tcPr>
            <w:gridSpan w:val="3"/>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IRM@ultrapower. com. cn</w:t>
            </w:r>
          </w:p>
        </w:tc>
      </w:tr>
    </w:tbl>
    <w:p>
      <w:pPr>
        <w:widowControl w:val="0"/>
        <w:spacing w:after="299" w:line="1" w:lineRule="exact"/>
      </w:pPr>
    </w:p>
    <w:p>
      <w:pPr>
        <w:pStyle w:val="Style39"/>
        <w:keepNext/>
        <w:keepLines/>
        <w:widowControl w:val="0"/>
        <w:shd w:val="clear" w:color="auto" w:fill="auto"/>
        <w:bidi w:val="0"/>
        <w:spacing w:before="0" w:after="300" w:line="240" w:lineRule="auto"/>
        <w:ind w:left="0" w:right="0" w:firstLine="0"/>
        <w:jc w:val="left"/>
      </w:pPr>
      <w:bookmarkStart w:id="10" w:name="bookmark10"/>
      <w:bookmarkStart w:id="11" w:name="bookmark11"/>
      <w:bookmarkStart w:id="12" w:name="bookmark12"/>
      <w:bookmarkStart w:id="9" w:name="bookmark9"/>
      <w:r>
        <w:rPr>
          <w:color w:val="000000"/>
          <w:spacing w:val="0"/>
          <w:w w:val="100"/>
          <w:position w:val="0"/>
          <w:sz w:val="24"/>
          <w:szCs w:val="24"/>
        </w:rPr>
        <w:t>二</w:t>
      </w:r>
      <w:bookmarkEnd w:id="11"/>
      <w:r>
        <w:rPr>
          <w:color w:val="000000"/>
          <w:spacing w:val="0"/>
          <w:w w:val="100"/>
          <w:position w:val="0"/>
          <w:sz w:val="24"/>
          <w:szCs w:val="24"/>
        </w:rPr>
        <w:t>、联系人和联系方式</w:t>
      </w:r>
      <w:bookmarkEnd w:id="10"/>
      <w:bookmarkEnd w:id="12"/>
      <w:bookmarkEnd w:id="9"/>
    </w:p>
    <w:tbl>
      <w:tblPr>
        <w:tblOverlap w:val="never"/>
        <w:jc w:val="center"/>
        <w:tblLayout w:type="fixed"/>
      </w:tblPr>
      <w:tblGrid>
        <w:gridCol w:w="2587"/>
        <w:gridCol w:w="3542"/>
        <w:gridCol w:w="3581"/>
      </w:tblGrid>
      <w:tr>
        <w:trPr>
          <w:trHeight w:val="408" w:hRule="exact"/>
        </w:trPr>
        <w:tc>
          <w:tcPr>
            <w:tcBorders>
              <w:top w:val="single" w:sz="4"/>
              <w:left w:val="single" w:sz="4"/>
            </w:tcBorders>
            <w:shd w:val="clear" w:color="auto" w:fill="D7D7D7"/>
            <w:vAlign w:val="top"/>
          </w:tcPr>
          <w:p>
            <w:pPr>
              <w:widowControl w:val="0"/>
              <w:rPr>
                <w:sz w:val="10"/>
                <w:szCs w:val="10"/>
              </w:rPr>
            </w:pP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董事会秘书</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证券事务代表</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姓名</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胡加明</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陈溶梦</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联系地址</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北京市朝阳区北苑路甲</w:t>
            </w:r>
            <w:r>
              <w:rPr>
                <w:rFonts w:ascii="Times New Roman" w:eastAsia="Times New Roman" w:hAnsi="Times New Roman" w:cs="Times New Roman"/>
                <w:color w:val="000000"/>
                <w:spacing w:val="0"/>
                <w:w w:val="100"/>
                <w:position w:val="0"/>
                <w:sz w:val="18"/>
                <w:szCs w:val="18"/>
              </w:rPr>
              <w:t>13</w:t>
            </w:r>
            <w:r>
              <w:rPr>
                <w:color w:val="000000"/>
                <w:spacing w:val="0"/>
                <w:w w:val="100"/>
                <w:position w:val="0"/>
              </w:rPr>
              <w:t>号院</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号楼</w:t>
            </w:r>
            <w:r>
              <w:rPr>
                <w:rFonts w:ascii="Times New Roman" w:eastAsia="Times New Roman" w:hAnsi="Times New Roman" w:cs="Times New Roman"/>
                <w:color w:val="000000"/>
                <w:spacing w:val="0"/>
                <w:w w:val="100"/>
                <w:position w:val="0"/>
                <w:sz w:val="18"/>
                <w:szCs w:val="18"/>
              </w:rPr>
              <w:t>22</w:t>
            </w:r>
            <w:r>
              <w:rPr>
                <w:color w:val="000000"/>
                <w:spacing w:val="0"/>
                <w:w w:val="100"/>
                <w:position w:val="0"/>
              </w:rPr>
              <w:t>层</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北京市朝阳区北苑路甲</w:t>
            </w:r>
            <w:r>
              <w:rPr>
                <w:rFonts w:ascii="Times New Roman" w:eastAsia="Times New Roman" w:hAnsi="Times New Roman" w:cs="Times New Roman"/>
                <w:color w:val="000000"/>
                <w:spacing w:val="0"/>
                <w:w w:val="100"/>
                <w:position w:val="0"/>
                <w:sz w:val="18"/>
                <w:szCs w:val="18"/>
              </w:rPr>
              <w:t>13</w:t>
            </w:r>
            <w:r>
              <w:rPr>
                <w:color w:val="000000"/>
                <w:spacing w:val="0"/>
                <w:w w:val="100"/>
                <w:position w:val="0"/>
              </w:rPr>
              <w:t>号院</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号楼</w:t>
            </w:r>
            <w:r>
              <w:rPr>
                <w:rFonts w:ascii="Times New Roman" w:eastAsia="Times New Roman" w:hAnsi="Times New Roman" w:cs="Times New Roman"/>
                <w:color w:val="000000"/>
                <w:spacing w:val="0"/>
                <w:w w:val="100"/>
                <w:position w:val="0"/>
                <w:sz w:val="18"/>
                <w:szCs w:val="18"/>
              </w:rPr>
              <w:t>22</w:t>
            </w:r>
            <w:r>
              <w:rPr>
                <w:color w:val="000000"/>
                <w:spacing w:val="0"/>
                <w:w w:val="100"/>
                <w:position w:val="0"/>
              </w:rPr>
              <w:t>层</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电话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010-84927606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010-84927606</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传真</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010-58847583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010-58847583</w:t>
            </w:r>
          </w:p>
        </w:tc>
      </w:tr>
      <w:tr>
        <w:trPr>
          <w:trHeight w:val="408"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电子信箱</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IRM@ultrapower. com. cn</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IRM@ultrapower. com. cn</w:t>
            </w:r>
          </w:p>
        </w:tc>
      </w:tr>
    </w:tbl>
    <w:p>
      <w:pPr>
        <w:widowControl w:val="0"/>
        <w:spacing w:after="299" w:line="1" w:lineRule="exact"/>
      </w:pPr>
    </w:p>
    <w:p>
      <w:pPr>
        <w:pStyle w:val="Style39"/>
        <w:keepNext/>
        <w:keepLines/>
        <w:widowControl w:val="0"/>
        <w:shd w:val="clear" w:color="auto" w:fill="auto"/>
        <w:bidi w:val="0"/>
        <w:spacing w:before="0" w:after="300" w:line="240" w:lineRule="auto"/>
        <w:ind w:left="0" w:right="0" w:firstLine="0"/>
        <w:jc w:val="left"/>
      </w:pPr>
      <w:bookmarkStart w:id="13" w:name="bookmark13"/>
      <w:bookmarkStart w:id="14" w:name="bookmark14"/>
      <w:bookmarkStart w:id="15" w:name="bookmark15"/>
      <w:bookmarkStart w:id="16" w:name="bookmark16"/>
      <w:r>
        <w:rPr>
          <w:color w:val="000000"/>
          <w:spacing w:val="0"/>
          <w:w w:val="100"/>
          <w:position w:val="0"/>
          <w:sz w:val="24"/>
          <w:szCs w:val="24"/>
        </w:rPr>
        <w:t>三</w:t>
      </w:r>
      <w:bookmarkEnd w:id="15"/>
      <w:r>
        <w:rPr>
          <w:color w:val="000000"/>
          <w:spacing w:val="0"/>
          <w:w w:val="100"/>
          <w:position w:val="0"/>
          <w:sz w:val="24"/>
          <w:szCs w:val="24"/>
        </w:rPr>
        <w:t>、信息披露及备置地点</w:t>
      </w:r>
      <w:bookmarkEnd w:id="13"/>
      <w:bookmarkEnd w:id="14"/>
      <w:bookmarkEnd w:id="16"/>
    </w:p>
    <w:tbl>
      <w:tblPr>
        <w:tblOverlap w:val="never"/>
        <w:jc w:val="center"/>
        <w:tblLayout w:type="fixed"/>
      </w:tblPr>
      <w:tblGrid>
        <w:gridCol w:w="4051"/>
        <w:gridCol w:w="5659"/>
      </w:tblGrid>
      <w:tr>
        <w:trPr>
          <w:trHeight w:val="40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公司选定的信息披露媒体的名称</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《证券时报》、《证券日报》</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登载年度报告的中国证监会指定网站的网址</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www. cninfo. com.cn</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公司年度报告备置地点</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公司董事会办公室</w:t>
            </w:r>
          </w:p>
        </w:tc>
      </w:tr>
    </w:tbl>
    <w:p>
      <w:pPr>
        <w:widowControl w:val="0"/>
        <w:spacing w:after="299" w:line="1" w:lineRule="exact"/>
      </w:pPr>
    </w:p>
    <w:p>
      <w:pPr>
        <w:pStyle w:val="Style39"/>
        <w:keepNext/>
        <w:keepLines/>
        <w:widowControl w:val="0"/>
        <w:shd w:val="clear" w:color="auto" w:fill="auto"/>
        <w:bidi w:val="0"/>
        <w:spacing w:before="0" w:after="460" w:line="240" w:lineRule="auto"/>
        <w:ind w:left="0" w:right="0" w:firstLine="0"/>
        <w:jc w:val="left"/>
      </w:pPr>
      <w:bookmarkStart w:id="17" w:name="bookmark17"/>
      <w:bookmarkStart w:id="18" w:name="bookmark18"/>
      <w:bookmarkStart w:id="19" w:name="bookmark19"/>
      <w:bookmarkStart w:id="20" w:name="bookmark20"/>
      <w:r>
        <w:rPr>
          <w:color w:val="000000"/>
          <w:spacing w:val="0"/>
          <w:w w:val="100"/>
          <w:position w:val="0"/>
          <w:sz w:val="24"/>
          <w:szCs w:val="24"/>
        </w:rPr>
        <w:t>四</w:t>
      </w:r>
      <w:bookmarkEnd w:id="19"/>
      <w:r>
        <w:rPr>
          <w:color w:val="000000"/>
          <w:spacing w:val="0"/>
          <w:w w:val="100"/>
          <w:position w:val="0"/>
          <w:sz w:val="24"/>
          <w:szCs w:val="24"/>
        </w:rPr>
        <w:t>、其他有关资料</w:t>
      </w:r>
      <w:bookmarkEnd w:id="17"/>
      <w:bookmarkEnd w:id="18"/>
      <w:bookmarkEnd w:id="20"/>
    </w:p>
    <w:p>
      <w:pPr>
        <w:pStyle w:val="Style41"/>
        <w:keepNext w:val="0"/>
        <w:keepLines w:val="0"/>
        <w:widowControl w:val="0"/>
        <w:shd w:val="clear" w:color="auto" w:fill="auto"/>
        <w:bidi w:val="0"/>
        <w:spacing w:before="0" w:after="300" w:line="240" w:lineRule="auto"/>
        <w:ind w:left="0" w:right="0" w:firstLine="0"/>
        <w:jc w:val="left"/>
        <w:sectPr>
          <w:footnotePr>
            <w:pos w:val="pageBottom"/>
            <w:numFmt w:val="decimal"/>
            <w:numRestart w:val="continuous"/>
          </w:footnotePr>
          <w:pgSz w:w="11904" w:h="17375"/>
          <w:pgMar w:top="1668" w:right="1017" w:bottom="1801" w:left="1018" w:header="0" w:footer="3" w:gutter="0"/>
          <w:cols w:space="720"/>
          <w:noEndnote/>
          <w:rtlGutter w:val="0"/>
          <w:docGrid w:linePitch="360"/>
        </w:sectPr>
      </w:pPr>
      <w:r>
        <w:rPr>
          <w:b/>
          <w:bCs/>
          <w:color w:val="000000"/>
          <w:spacing w:val="0"/>
          <w:w w:val="100"/>
          <w:position w:val="0"/>
        </w:rPr>
        <w:t>公司聘请的会计师事务所</w:t>
      </w:r>
    </w:p>
    <w:tbl>
      <w:tblPr>
        <w:tblOverlap w:val="never"/>
        <w:jc w:val="center"/>
        <w:tblLayout w:type="fixed"/>
      </w:tblPr>
      <w:tblGrid>
        <w:gridCol w:w="3154"/>
        <w:gridCol w:w="6557"/>
      </w:tblGrid>
      <w:tr>
        <w:trPr>
          <w:trHeight w:val="480"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会计师事务所名称</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立信会计师事务所（特殊普通合伙）</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会计师事务所办公地址</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上海市南京东路</w:t>
            </w:r>
            <w:r>
              <w:rPr>
                <w:rFonts w:ascii="Times New Roman" w:eastAsia="Times New Roman" w:hAnsi="Times New Roman" w:cs="Times New Roman"/>
                <w:color w:val="000000"/>
                <w:spacing w:val="0"/>
                <w:w w:val="100"/>
                <w:position w:val="0"/>
                <w:sz w:val="18"/>
                <w:szCs w:val="18"/>
              </w:rPr>
              <w:t>61</w:t>
            </w:r>
            <w:r>
              <w:rPr>
                <w:color w:val="000000"/>
                <w:spacing w:val="0"/>
                <w:w w:val="100"/>
                <w:position w:val="0"/>
              </w:rPr>
              <w:t>号新黄浦金融大厦</w:t>
            </w:r>
            <w:r>
              <w:rPr>
                <w:rFonts w:ascii="Times New Roman" w:eastAsia="Times New Roman" w:hAnsi="Times New Roman" w:cs="Times New Roman"/>
                <w:color w:val="000000"/>
                <w:spacing w:val="0"/>
                <w:w w:val="100"/>
                <w:position w:val="0"/>
                <w:sz w:val="18"/>
                <w:szCs w:val="18"/>
              </w:rPr>
              <w:t>7</w:t>
            </w:r>
            <w:r>
              <w:rPr>
                <w:color w:val="000000"/>
                <w:spacing w:val="0"/>
                <w:w w:val="100"/>
                <w:position w:val="0"/>
              </w:rPr>
              <w:t>楼</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签字会计师姓名</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王一芳、张佳朕</w:t>
            </w:r>
          </w:p>
        </w:tc>
      </w:tr>
    </w:tbl>
    <w:p>
      <w:pPr>
        <w:widowControl w:val="0"/>
        <w:spacing w:after="139" w:line="1" w:lineRule="exact"/>
      </w:pPr>
    </w:p>
    <w:p>
      <w:pPr>
        <w:pStyle w:val="Style41"/>
        <w:keepNext w:val="0"/>
        <w:keepLines w:val="0"/>
        <w:widowControl w:val="0"/>
        <w:shd w:val="clear" w:color="auto" w:fill="auto"/>
        <w:bidi w:val="0"/>
        <w:spacing w:before="0" w:after="260" w:line="240" w:lineRule="auto"/>
        <w:ind w:left="0" w:right="0" w:firstLine="0"/>
        <w:jc w:val="left"/>
      </w:pPr>
      <w:r>
        <w:rPr>
          <w:b/>
          <w:bCs/>
          <w:color w:val="000000"/>
          <w:spacing w:val="0"/>
          <w:w w:val="100"/>
          <w:position w:val="0"/>
        </w:rPr>
        <w:t>公司聘请的报告期内履行持续督导职责的保荐机构</w:t>
      </w:r>
    </w:p>
    <w:p>
      <w:pPr>
        <w:pStyle w:val="Style41"/>
        <w:keepNext w:val="0"/>
        <w:keepLines w:val="0"/>
        <w:widowControl w:val="0"/>
        <w:shd w:val="clear" w:color="auto" w:fill="auto"/>
        <w:bidi w:val="0"/>
        <w:spacing w:before="0" w:after="26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b/>
          <w:bCs/>
          <w:color w:val="000000"/>
          <w:spacing w:val="0"/>
          <w:w w:val="100"/>
          <w:position w:val="0"/>
          <w:sz w:val="18"/>
          <w:szCs w:val="18"/>
        </w:rPr>
        <w:t>V</w:t>
      </w:r>
      <w:r>
        <w:rPr>
          <w:b/>
          <w:bCs/>
          <w:color w:val="000000"/>
          <w:spacing w:val="0"/>
          <w:w w:val="100"/>
          <w:position w:val="0"/>
        </w:rPr>
        <w:t>不适用</w:t>
      </w:r>
    </w:p>
    <w:p>
      <w:pPr>
        <w:pStyle w:val="Style41"/>
        <w:keepNext w:val="0"/>
        <w:keepLines w:val="0"/>
        <w:widowControl w:val="0"/>
        <w:shd w:val="clear" w:color="auto" w:fill="auto"/>
        <w:bidi w:val="0"/>
        <w:spacing w:before="0" w:after="260" w:line="240" w:lineRule="auto"/>
        <w:ind w:left="0" w:right="0" w:firstLine="0"/>
        <w:jc w:val="left"/>
      </w:pPr>
      <w:r>
        <w:rPr>
          <w:b/>
          <w:bCs/>
          <w:color w:val="000000"/>
          <w:spacing w:val="0"/>
          <w:w w:val="100"/>
          <w:position w:val="0"/>
        </w:rPr>
        <w:t>公司聘请的报告期内履行持续督导职责的财务顾问</w:t>
      </w:r>
    </w:p>
    <w:p>
      <w:pPr>
        <w:pStyle w:val="Style41"/>
        <w:keepNext w:val="0"/>
        <w:keepLines w:val="0"/>
        <w:widowControl w:val="0"/>
        <w:shd w:val="clear" w:color="auto" w:fill="auto"/>
        <w:bidi w:val="0"/>
        <w:spacing w:before="0" w:after="40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b/>
          <w:bCs/>
          <w:color w:val="000000"/>
          <w:spacing w:val="0"/>
          <w:w w:val="100"/>
          <w:position w:val="0"/>
          <w:sz w:val="18"/>
          <w:szCs w:val="18"/>
        </w:rPr>
        <w:t>V</w:t>
      </w:r>
      <w:r>
        <w:rPr>
          <w:b/>
          <w:bCs/>
          <w:color w:val="000000"/>
          <w:spacing w:val="0"/>
          <w:w w:val="100"/>
          <w:position w:val="0"/>
        </w:rPr>
        <w:t>不适用</w:t>
      </w:r>
    </w:p>
    <w:p>
      <w:pPr>
        <w:pStyle w:val="Style39"/>
        <w:keepNext/>
        <w:keepLines/>
        <w:widowControl w:val="0"/>
        <w:shd w:val="clear" w:color="auto" w:fill="auto"/>
        <w:bidi w:val="0"/>
        <w:spacing w:before="0" w:after="400" w:line="240" w:lineRule="auto"/>
        <w:ind w:left="0" w:right="0" w:firstLine="0"/>
        <w:jc w:val="left"/>
      </w:pPr>
      <w:bookmarkStart w:id="21" w:name="bookmark21"/>
      <w:bookmarkStart w:id="22" w:name="bookmark22"/>
      <w:bookmarkStart w:id="23" w:name="bookmark23"/>
      <w:bookmarkStart w:id="24" w:name="bookmark24"/>
      <w:r>
        <w:rPr>
          <w:color w:val="000000"/>
          <w:spacing w:val="0"/>
          <w:w w:val="100"/>
          <w:position w:val="0"/>
          <w:sz w:val="24"/>
          <w:szCs w:val="24"/>
        </w:rPr>
        <w:t>五</w:t>
      </w:r>
      <w:bookmarkEnd w:id="23"/>
      <w:r>
        <w:rPr>
          <w:color w:val="000000"/>
          <w:spacing w:val="0"/>
          <w:w w:val="100"/>
          <w:position w:val="0"/>
          <w:sz w:val="24"/>
          <w:szCs w:val="24"/>
        </w:rPr>
        <w:t>、主要会计数据和财务指标</w:t>
      </w:r>
      <w:bookmarkEnd w:id="21"/>
      <w:bookmarkEnd w:id="22"/>
      <w:bookmarkEnd w:id="24"/>
    </w:p>
    <w:p>
      <w:pPr>
        <w:pStyle w:val="Style41"/>
        <w:keepNext w:val="0"/>
        <w:keepLines w:val="0"/>
        <w:widowControl w:val="0"/>
        <w:shd w:val="clear" w:color="auto" w:fill="auto"/>
        <w:bidi w:val="0"/>
        <w:spacing w:before="0" w:after="140" w:line="240" w:lineRule="auto"/>
        <w:ind w:left="0" w:right="0" w:firstLine="0"/>
        <w:jc w:val="left"/>
      </w:pPr>
      <w:r>
        <w:rPr>
          <w:b/>
          <w:bCs/>
          <w:color w:val="000000"/>
          <w:spacing w:val="0"/>
          <w:w w:val="100"/>
          <w:position w:val="0"/>
        </w:rPr>
        <w:t>公司是否需追溯调整或重述以前年度会计数据</w:t>
      </w:r>
    </w:p>
    <w:p>
      <w:pPr>
        <w:pStyle w:val="Style41"/>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是</w:t>
      </w:r>
      <w:r>
        <w:rPr>
          <w:rFonts w:ascii="Times New Roman" w:eastAsia="Times New Roman" w:hAnsi="Times New Roman" w:cs="Times New Roman"/>
          <w:b/>
          <w:bCs/>
          <w:color w:val="000000"/>
          <w:spacing w:val="0"/>
          <w:w w:val="100"/>
          <w:position w:val="0"/>
          <w:sz w:val="18"/>
          <w:szCs w:val="18"/>
        </w:rPr>
        <w:t>V</w:t>
      </w:r>
      <w:r>
        <w:rPr>
          <w:b/>
          <w:bCs/>
          <w:color w:val="000000"/>
          <w:spacing w:val="0"/>
          <w:w w:val="100"/>
          <w:position w:val="0"/>
        </w:rPr>
        <w:t>否</w:t>
      </w:r>
    </w:p>
    <w:tbl>
      <w:tblPr>
        <w:tblOverlap w:val="never"/>
        <w:jc w:val="center"/>
        <w:tblLayout w:type="fixed"/>
      </w:tblPr>
      <w:tblGrid>
        <w:gridCol w:w="2947"/>
        <w:gridCol w:w="1843"/>
        <w:gridCol w:w="1704"/>
        <w:gridCol w:w="1848"/>
        <w:gridCol w:w="1526"/>
      </w:tblGrid>
      <w:tr>
        <w:trPr>
          <w:trHeight w:val="408" w:hRule="exact"/>
        </w:trPr>
        <w:tc>
          <w:tcPr>
            <w:tcBorders>
              <w:top w:val="single" w:sz="4"/>
              <w:left w:val="single" w:sz="4"/>
            </w:tcBorders>
            <w:shd w:val="clear" w:color="auto" w:fill="D7D7D7"/>
            <w:vAlign w:val="top"/>
          </w:tcPr>
          <w:p>
            <w:pPr>
              <w:widowControl w:val="0"/>
              <w:rPr>
                <w:sz w:val="10"/>
                <w:szCs w:val="10"/>
              </w:rPr>
            </w:pP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600"/>
              <w:jc w:val="left"/>
            </w:pPr>
            <w:r>
              <w:rPr>
                <w:rFonts w:ascii="Times New Roman" w:eastAsia="Times New Roman" w:hAnsi="Times New Roman" w:cs="Times New Roman"/>
                <w:color w:val="000000"/>
                <w:spacing w:val="0"/>
                <w:w w:val="100"/>
                <w:position w:val="0"/>
                <w:sz w:val="18"/>
                <w:szCs w:val="18"/>
              </w:rPr>
              <w:t xml:space="preserve">2020 </w:t>
            </w:r>
            <w:r>
              <w:rPr>
                <w:color w:val="000000"/>
                <w:spacing w:val="0"/>
                <w:w w:val="100"/>
                <w:position w:val="0"/>
              </w:rPr>
              <w:t>年</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560"/>
              <w:jc w:val="left"/>
            </w:pPr>
            <w:r>
              <w:rPr>
                <w:rFonts w:ascii="Times New Roman" w:eastAsia="Times New Roman" w:hAnsi="Times New Roman" w:cs="Times New Roman"/>
                <w:color w:val="000000"/>
                <w:spacing w:val="0"/>
                <w:w w:val="100"/>
                <w:position w:val="0"/>
                <w:sz w:val="18"/>
                <w:szCs w:val="18"/>
              </w:rPr>
              <w:t xml:space="preserve">2019 </w:t>
            </w:r>
            <w:r>
              <w:rPr>
                <w:color w:val="000000"/>
                <w:spacing w:val="0"/>
                <w:w w:val="100"/>
                <w:position w:val="0"/>
              </w:rPr>
              <w:t>年</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本年比上年增减</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460"/>
              <w:jc w:val="left"/>
            </w:pPr>
            <w:r>
              <w:rPr>
                <w:rFonts w:ascii="Times New Roman" w:eastAsia="Times New Roman" w:hAnsi="Times New Roman" w:cs="Times New Roman"/>
                <w:color w:val="000000"/>
                <w:spacing w:val="0"/>
                <w:w w:val="100"/>
                <w:position w:val="0"/>
                <w:sz w:val="18"/>
                <w:szCs w:val="18"/>
              </w:rPr>
              <w:t xml:space="preserve">2018 </w:t>
            </w:r>
            <w:r>
              <w:rPr>
                <w:color w:val="000000"/>
                <w:spacing w:val="0"/>
                <w:w w:val="100"/>
                <w:position w:val="0"/>
              </w:rPr>
              <w:t>年</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营业收入（元）</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both"/>
              <w:rPr>
                <w:sz w:val="18"/>
                <w:szCs w:val="18"/>
              </w:rPr>
            </w:pPr>
            <w:r>
              <w:rPr>
                <w:rFonts w:ascii="Times New Roman" w:eastAsia="Times New Roman" w:hAnsi="Times New Roman" w:cs="Times New Roman"/>
                <w:color w:val="000000"/>
                <w:spacing w:val="0"/>
                <w:w w:val="100"/>
                <w:position w:val="0"/>
                <w:sz w:val="18"/>
                <w:szCs w:val="18"/>
              </w:rPr>
              <w:t>3,595,794,691.29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both"/>
              <w:rPr>
                <w:sz w:val="18"/>
                <w:szCs w:val="18"/>
              </w:rPr>
            </w:pPr>
            <w:r>
              <w:rPr>
                <w:rFonts w:ascii="Times New Roman" w:eastAsia="Times New Roman" w:hAnsi="Times New Roman" w:cs="Times New Roman"/>
                <w:color w:val="000000"/>
                <w:spacing w:val="0"/>
                <w:w w:val="100"/>
                <w:position w:val="0"/>
                <w:sz w:val="18"/>
                <w:szCs w:val="18"/>
              </w:rPr>
              <w:t>1,777,248,241.56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102.32%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2,019,455,697.32</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归属于上市公司股东的净利润（元）</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both"/>
              <w:rPr>
                <w:sz w:val="18"/>
                <w:szCs w:val="18"/>
              </w:rPr>
            </w:pPr>
            <w:r>
              <w:rPr>
                <w:rFonts w:ascii="Times New Roman" w:eastAsia="Times New Roman" w:hAnsi="Times New Roman" w:cs="Times New Roman"/>
                <w:color w:val="000000"/>
                <w:spacing w:val="0"/>
                <w:w w:val="100"/>
                <w:position w:val="0"/>
                <w:sz w:val="18"/>
                <w:szCs w:val="18"/>
              </w:rPr>
              <w:t>351,152,491.85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both"/>
              <w:rPr>
                <w:sz w:val="18"/>
                <w:szCs w:val="18"/>
              </w:rPr>
            </w:pPr>
            <w:r>
              <w:rPr>
                <w:rFonts w:ascii="Times New Roman" w:eastAsia="Times New Roman" w:hAnsi="Times New Roman" w:cs="Times New Roman"/>
                <w:color w:val="000000"/>
                <w:spacing w:val="0"/>
                <w:w w:val="100"/>
                <w:position w:val="0"/>
                <w:sz w:val="18"/>
                <w:szCs w:val="18"/>
              </w:rPr>
              <w:t>-1,474,177,938.37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123.82%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80,247,586.32</w:t>
            </w:r>
          </w:p>
        </w:tc>
      </w:tr>
      <w:tr>
        <w:trPr>
          <w:trHeight w:val="710"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归属于上市公司股东的扣除非经常 性损益的净利润（元）</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both"/>
              <w:rPr>
                <w:sz w:val="18"/>
                <w:szCs w:val="18"/>
              </w:rPr>
            </w:pPr>
            <w:r>
              <w:rPr>
                <w:rFonts w:ascii="Times New Roman" w:eastAsia="Times New Roman" w:hAnsi="Times New Roman" w:cs="Times New Roman"/>
                <w:color w:val="000000"/>
                <w:spacing w:val="0"/>
                <w:w w:val="100"/>
                <w:position w:val="0"/>
                <w:sz w:val="18"/>
                <w:szCs w:val="18"/>
              </w:rPr>
              <w:t>302,120,600.10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both"/>
              <w:rPr>
                <w:sz w:val="18"/>
                <w:szCs w:val="18"/>
              </w:rPr>
            </w:pPr>
            <w:r>
              <w:rPr>
                <w:rFonts w:ascii="Times New Roman" w:eastAsia="Times New Roman" w:hAnsi="Times New Roman" w:cs="Times New Roman"/>
                <w:color w:val="000000"/>
                <w:spacing w:val="0"/>
                <w:w w:val="100"/>
                <w:position w:val="0"/>
                <w:sz w:val="18"/>
                <w:szCs w:val="18"/>
              </w:rPr>
              <w:t>-1,479,650,812.54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120.42%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62,547,641.33</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经营活动产生的现金流量净额（元）</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both"/>
              <w:rPr>
                <w:sz w:val="18"/>
                <w:szCs w:val="18"/>
              </w:rPr>
            </w:pPr>
            <w:r>
              <w:rPr>
                <w:rFonts w:ascii="Times New Roman" w:eastAsia="Times New Roman" w:hAnsi="Times New Roman" w:cs="Times New Roman"/>
                <w:color w:val="000000"/>
                <w:spacing w:val="0"/>
                <w:w w:val="100"/>
                <w:position w:val="0"/>
                <w:sz w:val="18"/>
                <w:szCs w:val="18"/>
              </w:rPr>
              <w:t>641,503,700.76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left"/>
              <w:rPr>
                <w:sz w:val="18"/>
                <w:szCs w:val="18"/>
              </w:rPr>
            </w:pPr>
            <w:r>
              <w:rPr>
                <w:rFonts w:ascii="Times New Roman" w:eastAsia="Times New Roman" w:hAnsi="Times New Roman" w:cs="Times New Roman"/>
                <w:color w:val="000000"/>
                <w:spacing w:val="0"/>
                <w:w w:val="100"/>
                <w:position w:val="0"/>
                <w:sz w:val="18"/>
                <w:szCs w:val="18"/>
              </w:rPr>
              <w:t>164,886,281.49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289.06%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272,148,200.97</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基本每股收益（元</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40" w:right="0" w:firstLine="0"/>
              <w:jc w:val="left"/>
              <w:rPr>
                <w:sz w:val="18"/>
                <w:szCs w:val="18"/>
              </w:rPr>
            </w:pPr>
            <w:r>
              <w:rPr>
                <w:rFonts w:ascii="Times New Roman" w:eastAsia="Times New Roman" w:hAnsi="Times New Roman" w:cs="Times New Roman"/>
                <w:color w:val="000000"/>
                <w:spacing w:val="0"/>
                <w:w w:val="100"/>
                <w:position w:val="0"/>
                <w:sz w:val="18"/>
                <w:szCs w:val="18"/>
              </w:rPr>
              <w:t>0.1809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-0.7517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124.07%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0.0409</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稀释每股收益（元</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40" w:right="0" w:firstLine="0"/>
              <w:jc w:val="left"/>
              <w:rPr>
                <w:sz w:val="18"/>
                <w:szCs w:val="18"/>
              </w:rPr>
            </w:pPr>
            <w:r>
              <w:rPr>
                <w:rFonts w:ascii="Times New Roman" w:eastAsia="Times New Roman" w:hAnsi="Times New Roman" w:cs="Times New Roman"/>
                <w:color w:val="000000"/>
                <w:spacing w:val="0"/>
                <w:w w:val="100"/>
                <w:position w:val="0"/>
                <w:sz w:val="18"/>
                <w:szCs w:val="18"/>
              </w:rPr>
              <w:t>0.1809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-0.7517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124.07%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0.0409</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加权平均净资产收益率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40" w:right="0" w:firstLine="0"/>
              <w:jc w:val="left"/>
              <w:rPr>
                <w:sz w:val="18"/>
                <w:szCs w:val="18"/>
              </w:rPr>
            </w:pPr>
            <w:r>
              <w:rPr>
                <w:rFonts w:ascii="Times New Roman" w:eastAsia="Times New Roman" w:hAnsi="Times New Roman" w:cs="Times New Roman"/>
                <w:color w:val="000000"/>
                <w:spacing w:val="0"/>
                <w:w w:val="100"/>
                <w:position w:val="0"/>
                <w:sz w:val="18"/>
                <w:szCs w:val="18"/>
              </w:rPr>
              <w:t>9.55%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-33.43%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42.98%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1.55%</w:t>
            </w:r>
          </w:p>
        </w:tc>
      </w:tr>
      <w:tr>
        <w:trPr>
          <w:trHeight w:val="403" w:hRule="exact"/>
        </w:trPr>
        <w:tc>
          <w:tcPr>
            <w:tcBorders>
              <w:top w:val="single" w:sz="4"/>
              <w:left w:val="single" w:sz="4"/>
            </w:tcBorders>
            <w:shd w:val="clear" w:color="auto" w:fill="D7D7D7"/>
            <w:vAlign w:val="top"/>
          </w:tcPr>
          <w:p>
            <w:pPr>
              <w:widowControl w:val="0"/>
              <w:rPr>
                <w:sz w:val="10"/>
                <w:szCs w:val="10"/>
              </w:rPr>
            </w:pP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年末</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460"/>
              <w:jc w:val="left"/>
            </w:pPr>
            <w:r>
              <w:rPr>
                <w:rFonts w:ascii="Times New Roman" w:eastAsia="Times New Roman" w:hAnsi="Times New Roman" w:cs="Times New Roman"/>
                <w:color w:val="000000"/>
                <w:spacing w:val="0"/>
                <w:w w:val="100"/>
                <w:position w:val="0"/>
                <w:sz w:val="18"/>
                <w:szCs w:val="18"/>
              </w:rPr>
              <w:t>2019</w:t>
            </w:r>
            <w:r>
              <w:rPr>
                <w:color w:val="000000"/>
                <w:spacing w:val="0"/>
                <w:w w:val="100"/>
                <w:position w:val="0"/>
              </w:rPr>
              <w:t>年末</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本年末比上年末增减</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sz w:val="18"/>
                <w:szCs w:val="18"/>
              </w:rPr>
              <w:t>2018</w:t>
            </w:r>
            <w:r>
              <w:rPr>
                <w:color w:val="000000"/>
                <w:spacing w:val="0"/>
                <w:w w:val="100"/>
                <w:position w:val="0"/>
              </w:rPr>
              <w:t>年末</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资产总额（元）</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both"/>
              <w:rPr>
                <w:sz w:val="18"/>
                <w:szCs w:val="18"/>
              </w:rPr>
            </w:pPr>
            <w:r>
              <w:rPr>
                <w:rFonts w:ascii="Times New Roman" w:eastAsia="Times New Roman" w:hAnsi="Times New Roman" w:cs="Times New Roman"/>
                <w:color w:val="000000"/>
                <w:spacing w:val="0"/>
                <w:w w:val="100"/>
                <w:position w:val="0"/>
                <w:sz w:val="18"/>
                <w:szCs w:val="18"/>
              </w:rPr>
              <w:t>5,190,170,901.31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5,282,635,391.54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6,634,980,057.70</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归属于上市公司股东的净资产（元）</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both"/>
              <w:rPr>
                <w:sz w:val="18"/>
                <w:szCs w:val="18"/>
              </w:rPr>
            </w:pPr>
            <w:r>
              <w:rPr>
                <w:rFonts w:ascii="Times New Roman" w:eastAsia="Times New Roman" w:hAnsi="Times New Roman" w:cs="Times New Roman"/>
                <w:color w:val="000000"/>
                <w:spacing w:val="0"/>
                <w:w w:val="100"/>
                <w:position w:val="0"/>
                <w:sz w:val="18"/>
                <w:szCs w:val="18"/>
              </w:rPr>
              <w:t>3,926,453,877.29</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3,723,074,697.60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5.46%</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5,239,233,811.59</w:t>
            </w:r>
          </w:p>
        </w:tc>
      </w:tr>
    </w:tbl>
    <w:p>
      <w:pPr>
        <w:pStyle w:val="Style41"/>
        <w:keepNext w:val="0"/>
        <w:keepLines w:val="0"/>
        <w:widowControl w:val="0"/>
        <w:shd w:val="clear" w:color="auto" w:fill="auto"/>
        <w:bidi w:val="0"/>
        <w:spacing w:before="0" w:after="140" w:line="322" w:lineRule="exact"/>
        <w:ind w:left="0" w:right="0" w:firstLine="0"/>
        <w:jc w:val="left"/>
      </w:pPr>
      <w:r>
        <w:rPr>
          <w:b/>
          <w:bCs/>
          <w:color w:val="000000"/>
          <w:spacing w:val="0"/>
          <w:w w:val="100"/>
          <w:position w:val="0"/>
        </w:rPr>
        <w:t>公司最近三个会计年度扣除非经常性损益前后净利润孰低者均为负值，且最近一年审计报告显示公司持续经营能力存在不 确定性</w:t>
      </w:r>
    </w:p>
    <w:p>
      <w:pPr>
        <w:pStyle w:val="Style41"/>
        <w:keepNext w:val="0"/>
        <w:keepLines w:val="0"/>
        <w:widowControl w:val="0"/>
        <w:shd w:val="clear" w:color="auto" w:fill="auto"/>
        <w:bidi w:val="0"/>
        <w:spacing w:before="0" w:after="0" w:line="374"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是</w:t>
      </w:r>
      <w:r>
        <w:rPr>
          <w:rFonts w:ascii="Times New Roman" w:eastAsia="Times New Roman" w:hAnsi="Times New Roman" w:cs="Times New Roman"/>
          <w:b/>
          <w:bCs/>
          <w:color w:val="000000"/>
          <w:spacing w:val="0"/>
          <w:w w:val="100"/>
          <w:position w:val="0"/>
          <w:sz w:val="18"/>
          <w:szCs w:val="18"/>
        </w:rPr>
        <w:t>V</w:t>
      </w:r>
      <w:r>
        <w:rPr>
          <w:b/>
          <w:bCs/>
          <w:color w:val="000000"/>
          <w:spacing w:val="0"/>
          <w:w w:val="100"/>
          <w:position w:val="0"/>
        </w:rPr>
        <w:t>否</w:t>
      </w:r>
    </w:p>
    <w:p>
      <w:pPr>
        <w:pStyle w:val="Style41"/>
        <w:keepNext w:val="0"/>
        <w:keepLines w:val="0"/>
        <w:widowControl w:val="0"/>
        <w:shd w:val="clear" w:color="auto" w:fill="auto"/>
        <w:bidi w:val="0"/>
        <w:spacing w:before="0" w:after="140" w:line="322" w:lineRule="exact"/>
        <w:ind w:left="0" w:right="0" w:firstLine="0"/>
        <w:jc w:val="left"/>
      </w:pPr>
      <w:r>
        <w:rPr>
          <w:b/>
          <w:bCs/>
          <w:color w:val="000000"/>
          <w:spacing w:val="0"/>
          <w:w w:val="100"/>
          <w:position w:val="0"/>
        </w:rPr>
        <w:t>扣除非经常损益前后的净利润孰低者为负值</w:t>
      </w:r>
    </w:p>
    <w:p>
      <w:pPr>
        <w:pStyle w:val="Style41"/>
        <w:keepNext w:val="0"/>
        <w:keepLines w:val="0"/>
        <w:widowControl w:val="0"/>
        <w:shd w:val="clear" w:color="auto" w:fill="auto"/>
        <w:bidi w:val="0"/>
        <w:spacing w:before="0" w:after="0" w:line="374"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是</w:t>
      </w:r>
      <w:r>
        <w:rPr>
          <w:rFonts w:ascii="Times New Roman" w:eastAsia="Times New Roman" w:hAnsi="Times New Roman" w:cs="Times New Roman"/>
          <w:b/>
          <w:bCs/>
          <w:color w:val="000000"/>
          <w:spacing w:val="0"/>
          <w:w w:val="100"/>
          <w:position w:val="0"/>
          <w:sz w:val="18"/>
          <w:szCs w:val="18"/>
        </w:rPr>
        <w:t>V</w:t>
      </w:r>
      <w:r>
        <w:rPr>
          <w:b/>
          <w:bCs/>
          <w:color w:val="000000"/>
          <w:spacing w:val="0"/>
          <w:w w:val="100"/>
          <w:position w:val="0"/>
        </w:rPr>
        <w:t>否</w:t>
      </w:r>
    </w:p>
    <w:p>
      <w:pPr>
        <w:pStyle w:val="Style41"/>
        <w:keepNext w:val="0"/>
        <w:keepLines w:val="0"/>
        <w:widowControl w:val="0"/>
        <w:shd w:val="clear" w:color="auto" w:fill="auto"/>
        <w:bidi w:val="0"/>
        <w:spacing w:before="0" w:after="140" w:line="322" w:lineRule="exact"/>
        <w:ind w:left="0" w:right="0" w:firstLine="0"/>
        <w:jc w:val="left"/>
      </w:pPr>
      <w:r>
        <w:rPr>
          <w:b/>
          <w:bCs/>
          <w:color w:val="000000"/>
          <w:spacing w:val="0"/>
          <w:w w:val="100"/>
          <w:position w:val="0"/>
        </w:rPr>
        <w:t>公司报告期末至年度报告披露日股本是否因发行新股、增发、配股、股权激励行权、回购等原因发生变化且影响所有者权 益金额</w:t>
      </w:r>
    </w:p>
    <w:p>
      <w:pPr>
        <w:pStyle w:val="Style41"/>
        <w:keepNext w:val="0"/>
        <w:keepLines w:val="0"/>
        <w:widowControl w:val="0"/>
        <w:shd w:val="clear" w:color="auto" w:fill="auto"/>
        <w:bidi w:val="0"/>
        <w:spacing w:before="0" w:after="260" w:line="374"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是</w:t>
      </w:r>
      <w:r>
        <w:rPr>
          <w:rFonts w:ascii="Times New Roman" w:eastAsia="Times New Roman" w:hAnsi="Times New Roman" w:cs="Times New Roman"/>
          <w:b/>
          <w:bCs/>
          <w:color w:val="000000"/>
          <w:spacing w:val="0"/>
          <w:w w:val="100"/>
          <w:position w:val="0"/>
          <w:sz w:val="18"/>
          <w:szCs w:val="18"/>
        </w:rPr>
        <w:t>V</w:t>
      </w:r>
      <w:r>
        <w:rPr>
          <w:b/>
          <w:bCs/>
          <w:color w:val="000000"/>
          <w:spacing w:val="0"/>
          <w:w w:val="100"/>
          <w:position w:val="0"/>
        </w:rPr>
        <w:t>否</w:t>
      </w:r>
    </w:p>
    <w:p>
      <w:pPr>
        <w:pStyle w:val="Style39"/>
        <w:keepNext/>
        <w:keepLines/>
        <w:widowControl w:val="0"/>
        <w:shd w:val="clear" w:color="auto" w:fill="auto"/>
        <w:bidi w:val="0"/>
        <w:spacing w:before="0" w:after="260" w:line="240" w:lineRule="auto"/>
        <w:ind w:left="0" w:right="0" w:firstLine="0"/>
        <w:jc w:val="left"/>
      </w:pPr>
      <w:bookmarkStart w:id="25" w:name="bookmark25"/>
      <w:bookmarkStart w:id="26" w:name="bookmark26"/>
      <w:bookmarkStart w:id="27" w:name="bookmark27"/>
      <w:bookmarkStart w:id="28" w:name="bookmark28"/>
      <w:r>
        <w:rPr>
          <w:color w:val="000000"/>
          <w:spacing w:val="0"/>
          <w:w w:val="100"/>
          <w:position w:val="0"/>
          <w:sz w:val="24"/>
          <w:szCs w:val="24"/>
        </w:rPr>
        <w:t>六</w:t>
      </w:r>
      <w:bookmarkEnd w:id="27"/>
      <w:r>
        <w:rPr>
          <w:color w:val="000000"/>
          <w:spacing w:val="0"/>
          <w:w w:val="100"/>
          <w:position w:val="0"/>
          <w:sz w:val="24"/>
          <w:szCs w:val="24"/>
        </w:rPr>
        <w:t>、分季度主要财务指标</w:t>
      </w:r>
      <w:bookmarkEnd w:id="25"/>
      <w:bookmarkEnd w:id="26"/>
      <w:bookmarkEnd w:id="28"/>
    </w:p>
    <w:p>
      <w:pPr>
        <w:pStyle w:val="Style41"/>
        <w:keepNext w:val="0"/>
        <w:keepLines w:val="0"/>
        <w:widowControl w:val="0"/>
        <w:shd w:val="clear" w:color="auto" w:fill="auto"/>
        <w:bidi w:val="0"/>
        <w:spacing w:before="0" w:after="260" w:line="322" w:lineRule="exact"/>
        <w:ind w:left="0" w:right="0" w:firstLine="0"/>
        <w:jc w:val="right"/>
      </w:pPr>
      <w:r>
        <w:rPr>
          <w:color w:val="000000"/>
          <w:spacing w:val="0"/>
          <w:w w:val="100"/>
          <w:position w:val="0"/>
        </w:rPr>
        <w:t>单位：元</w:t>
      </w:r>
      <w:r>
        <w:br w:type="page"/>
      </w:r>
    </w:p>
    <w:tbl>
      <w:tblPr>
        <w:tblOverlap w:val="never"/>
        <w:jc w:val="center"/>
        <w:tblLayout w:type="fixed"/>
      </w:tblPr>
      <w:tblGrid>
        <w:gridCol w:w="2707"/>
        <w:gridCol w:w="1790"/>
        <w:gridCol w:w="1790"/>
        <w:gridCol w:w="1795"/>
        <w:gridCol w:w="1786"/>
      </w:tblGrid>
      <w:tr>
        <w:trPr>
          <w:trHeight w:val="480" w:hRule="exact"/>
        </w:trPr>
        <w:tc>
          <w:tcPr>
            <w:tcBorders>
              <w:top w:val="single" w:sz="4"/>
              <w:left w:val="single" w:sz="4"/>
            </w:tcBorders>
            <w:shd w:val="clear" w:color="auto" w:fill="D7D7D7"/>
            <w:vAlign w:val="top"/>
          </w:tcPr>
          <w:p>
            <w:pPr>
              <w:widowControl w:val="0"/>
              <w:rPr>
                <w:sz w:val="10"/>
                <w:szCs w:val="10"/>
              </w:rPr>
            </w:pP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520"/>
              <w:jc w:val="left"/>
            </w:pPr>
            <w:r>
              <w:rPr>
                <w:color w:val="000000"/>
                <w:spacing w:val="0"/>
                <w:w w:val="100"/>
                <w:position w:val="0"/>
              </w:rPr>
              <w:t>第一季度</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540"/>
              <w:jc w:val="left"/>
            </w:pPr>
            <w:r>
              <w:rPr>
                <w:color w:val="000000"/>
                <w:spacing w:val="0"/>
                <w:w w:val="100"/>
                <w:position w:val="0"/>
              </w:rPr>
              <w:t>第二季度</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第三季度</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520"/>
              <w:jc w:val="left"/>
            </w:pPr>
            <w:r>
              <w:rPr>
                <w:color w:val="000000"/>
                <w:spacing w:val="0"/>
                <w:w w:val="100"/>
                <w:position w:val="0"/>
              </w:rPr>
              <w:t>第四季度</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营业收入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left"/>
              <w:rPr>
                <w:sz w:val="18"/>
                <w:szCs w:val="18"/>
              </w:rPr>
            </w:pPr>
            <w:r>
              <w:rPr>
                <w:rFonts w:ascii="Times New Roman" w:eastAsia="Times New Roman" w:hAnsi="Times New Roman" w:cs="Times New Roman"/>
                <w:color w:val="000000"/>
                <w:spacing w:val="0"/>
                <w:w w:val="100"/>
                <w:position w:val="0"/>
                <w:sz w:val="18"/>
                <w:szCs w:val="18"/>
              </w:rPr>
              <w:t>553,190,018.01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left"/>
              <w:rPr>
                <w:sz w:val="18"/>
                <w:szCs w:val="18"/>
              </w:rPr>
            </w:pPr>
            <w:r>
              <w:rPr>
                <w:rFonts w:ascii="Times New Roman" w:eastAsia="Times New Roman" w:hAnsi="Times New Roman" w:cs="Times New Roman"/>
                <w:color w:val="000000"/>
                <w:spacing w:val="0"/>
                <w:w w:val="100"/>
                <w:position w:val="0"/>
                <w:sz w:val="18"/>
                <w:szCs w:val="18"/>
              </w:rPr>
              <w:t>742,558,644.00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left"/>
              <w:rPr>
                <w:sz w:val="18"/>
                <w:szCs w:val="18"/>
              </w:rPr>
            </w:pPr>
            <w:r>
              <w:rPr>
                <w:rFonts w:ascii="Times New Roman" w:eastAsia="Times New Roman" w:hAnsi="Times New Roman" w:cs="Times New Roman"/>
                <w:color w:val="000000"/>
                <w:spacing w:val="0"/>
                <w:w w:val="100"/>
                <w:position w:val="0"/>
                <w:sz w:val="18"/>
                <w:szCs w:val="18"/>
              </w:rPr>
              <w:t>962,261,173.41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1,337,784,855.87</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归属于上市公司股东的净利润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40"/>
              <w:jc w:val="left"/>
              <w:rPr>
                <w:sz w:val="18"/>
                <w:szCs w:val="18"/>
              </w:rPr>
            </w:pPr>
            <w:r>
              <w:rPr>
                <w:rFonts w:ascii="Times New Roman" w:eastAsia="Times New Roman" w:hAnsi="Times New Roman" w:cs="Times New Roman"/>
                <w:color w:val="000000"/>
                <w:spacing w:val="0"/>
                <w:w w:val="100"/>
                <w:position w:val="0"/>
                <w:sz w:val="18"/>
                <w:szCs w:val="18"/>
              </w:rPr>
              <w:t>14,481,926.65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40"/>
              <w:jc w:val="left"/>
              <w:rPr>
                <w:sz w:val="18"/>
                <w:szCs w:val="18"/>
              </w:rPr>
            </w:pPr>
            <w:r>
              <w:rPr>
                <w:rFonts w:ascii="Times New Roman" w:eastAsia="Times New Roman" w:hAnsi="Times New Roman" w:cs="Times New Roman"/>
                <w:color w:val="000000"/>
                <w:spacing w:val="0"/>
                <w:w w:val="100"/>
                <w:position w:val="0"/>
                <w:sz w:val="18"/>
                <w:szCs w:val="18"/>
              </w:rPr>
              <w:t>72,732,638.95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left"/>
              <w:rPr>
                <w:sz w:val="18"/>
                <w:szCs w:val="18"/>
              </w:rPr>
            </w:pPr>
            <w:r>
              <w:rPr>
                <w:rFonts w:ascii="Times New Roman" w:eastAsia="Times New Roman" w:hAnsi="Times New Roman" w:cs="Times New Roman"/>
                <w:color w:val="000000"/>
                <w:spacing w:val="0"/>
                <w:w w:val="100"/>
                <w:position w:val="0"/>
                <w:sz w:val="18"/>
                <w:szCs w:val="18"/>
              </w:rPr>
              <w:t>119,461,796.35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left"/>
              <w:rPr>
                <w:sz w:val="18"/>
                <w:szCs w:val="18"/>
              </w:rPr>
            </w:pPr>
            <w:r>
              <w:rPr>
                <w:rFonts w:ascii="Times New Roman" w:eastAsia="Times New Roman" w:hAnsi="Times New Roman" w:cs="Times New Roman"/>
                <w:color w:val="000000"/>
                <w:spacing w:val="0"/>
                <w:w w:val="100"/>
                <w:position w:val="0"/>
                <w:sz w:val="18"/>
                <w:szCs w:val="18"/>
              </w:rPr>
              <w:t>144,476,129.90</w:t>
            </w: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120" w:line="240" w:lineRule="auto"/>
              <w:ind w:left="0" w:right="0" w:firstLine="0"/>
              <w:jc w:val="left"/>
            </w:pPr>
            <w:r>
              <w:rPr>
                <w:color w:val="000000"/>
                <w:spacing w:val="0"/>
                <w:w w:val="100"/>
                <w:position w:val="0"/>
              </w:rPr>
              <w:t>归属于上市公司股东的扣除非</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经常性损益的净利润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40"/>
              <w:jc w:val="left"/>
              <w:rPr>
                <w:sz w:val="18"/>
                <w:szCs w:val="18"/>
              </w:rPr>
            </w:pPr>
            <w:r>
              <w:rPr>
                <w:rFonts w:ascii="Times New Roman" w:eastAsia="Times New Roman" w:hAnsi="Times New Roman" w:cs="Times New Roman"/>
                <w:color w:val="000000"/>
                <w:spacing w:val="0"/>
                <w:w w:val="100"/>
                <w:position w:val="0"/>
                <w:sz w:val="18"/>
                <w:szCs w:val="18"/>
              </w:rPr>
              <w:t>12,364,679.35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40"/>
              <w:jc w:val="left"/>
              <w:rPr>
                <w:sz w:val="18"/>
                <w:szCs w:val="18"/>
              </w:rPr>
            </w:pPr>
            <w:r>
              <w:rPr>
                <w:rFonts w:ascii="Times New Roman" w:eastAsia="Times New Roman" w:hAnsi="Times New Roman" w:cs="Times New Roman"/>
                <w:color w:val="000000"/>
                <w:spacing w:val="0"/>
                <w:w w:val="100"/>
                <w:position w:val="0"/>
                <w:sz w:val="18"/>
                <w:szCs w:val="18"/>
              </w:rPr>
              <w:t>68,669,815.18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40"/>
              <w:jc w:val="left"/>
              <w:rPr>
                <w:sz w:val="18"/>
                <w:szCs w:val="18"/>
              </w:rPr>
            </w:pPr>
            <w:r>
              <w:rPr>
                <w:rFonts w:ascii="Times New Roman" w:eastAsia="Times New Roman" w:hAnsi="Times New Roman" w:cs="Times New Roman"/>
                <w:color w:val="000000"/>
                <w:spacing w:val="0"/>
                <w:w w:val="100"/>
                <w:position w:val="0"/>
                <w:sz w:val="18"/>
                <w:szCs w:val="18"/>
              </w:rPr>
              <w:t>75,014,428.31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left"/>
              <w:rPr>
                <w:sz w:val="18"/>
                <w:szCs w:val="18"/>
              </w:rPr>
            </w:pPr>
            <w:r>
              <w:rPr>
                <w:rFonts w:ascii="Times New Roman" w:eastAsia="Times New Roman" w:hAnsi="Times New Roman" w:cs="Times New Roman"/>
                <w:color w:val="000000"/>
                <w:spacing w:val="0"/>
                <w:w w:val="100"/>
                <w:position w:val="0"/>
                <w:sz w:val="18"/>
                <w:szCs w:val="18"/>
              </w:rPr>
              <w:t>146,071,677.26</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经营活动产生的现金流量净额</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left"/>
              <w:rPr>
                <w:sz w:val="18"/>
                <w:szCs w:val="18"/>
              </w:rPr>
            </w:pPr>
            <w:r>
              <w:rPr>
                <w:rFonts w:ascii="Times New Roman" w:eastAsia="Times New Roman" w:hAnsi="Times New Roman" w:cs="Times New Roman"/>
                <w:color w:val="000000"/>
                <w:spacing w:val="0"/>
                <w:w w:val="100"/>
                <w:position w:val="0"/>
                <w:sz w:val="18"/>
                <w:szCs w:val="18"/>
              </w:rPr>
              <w:t>-54,332,247.51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left"/>
              <w:rPr>
                <w:sz w:val="18"/>
                <w:szCs w:val="18"/>
              </w:rPr>
            </w:pPr>
            <w:r>
              <w:rPr>
                <w:rFonts w:ascii="Times New Roman" w:eastAsia="Times New Roman" w:hAnsi="Times New Roman" w:cs="Times New Roman"/>
                <w:color w:val="000000"/>
                <w:spacing w:val="0"/>
                <w:w w:val="100"/>
                <w:position w:val="0"/>
                <w:sz w:val="18"/>
                <w:szCs w:val="18"/>
              </w:rPr>
              <w:t>287,549,136.35</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40"/>
              <w:jc w:val="left"/>
              <w:rPr>
                <w:sz w:val="18"/>
                <w:szCs w:val="18"/>
              </w:rPr>
            </w:pPr>
            <w:r>
              <w:rPr>
                <w:rFonts w:ascii="Times New Roman" w:eastAsia="Times New Roman" w:hAnsi="Times New Roman" w:cs="Times New Roman"/>
                <w:color w:val="000000"/>
                <w:spacing w:val="0"/>
                <w:w w:val="100"/>
                <w:position w:val="0"/>
                <w:sz w:val="18"/>
                <w:szCs w:val="18"/>
              </w:rPr>
              <w:t>46,585,732.82</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left"/>
              <w:rPr>
                <w:sz w:val="18"/>
                <w:szCs w:val="18"/>
              </w:rPr>
            </w:pPr>
            <w:r>
              <w:rPr>
                <w:rFonts w:ascii="Times New Roman" w:eastAsia="Times New Roman" w:hAnsi="Times New Roman" w:cs="Times New Roman"/>
                <w:color w:val="000000"/>
                <w:spacing w:val="0"/>
                <w:w w:val="100"/>
                <w:position w:val="0"/>
                <w:sz w:val="18"/>
                <w:szCs w:val="18"/>
              </w:rPr>
              <w:t>361,701,079.10</w:t>
            </w:r>
          </w:p>
        </w:tc>
      </w:tr>
    </w:tbl>
    <w:p>
      <w:pPr>
        <w:widowControl w:val="0"/>
        <w:spacing w:after="139" w:line="1" w:lineRule="exact"/>
      </w:pPr>
    </w:p>
    <w:p>
      <w:pPr>
        <w:pStyle w:val="Style41"/>
        <w:keepNext w:val="0"/>
        <w:keepLines w:val="0"/>
        <w:widowControl w:val="0"/>
        <w:shd w:val="clear" w:color="auto" w:fill="auto"/>
        <w:bidi w:val="0"/>
        <w:spacing w:before="0" w:after="240" w:line="240" w:lineRule="auto"/>
        <w:ind w:left="0" w:right="0" w:firstLine="0"/>
        <w:jc w:val="both"/>
      </w:pPr>
      <w:r>
        <w:rPr>
          <w:b/>
          <w:bCs/>
          <w:color w:val="000000"/>
          <w:spacing w:val="0"/>
          <w:w w:val="100"/>
          <w:position w:val="0"/>
        </w:rPr>
        <w:t>上述财务指标或其加总数是否与公司已披露季度报告、半年度报告相关财务指标存在重大差异</w:t>
      </w:r>
    </w:p>
    <w:p>
      <w:pPr>
        <w:pStyle w:val="Style41"/>
        <w:keepNext w:val="0"/>
        <w:keepLines w:val="0"/>
        <w:widowControl w:val="0"/>
        <w:shd w:val="clear" w:color="auto" w:fill="auto"/>
        <w:bidi w:val="0"/>
        <w:spacing w:before="0" w:after="440" w:line="240" w:lineRule="auto"/>
        <w:ind w:left="0" w:right="0" w:firstLine="0"/>
        <w:jc w:val="both"/>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是</w:t>
      </w:r>
      <w:r>
        <w:rPr>
          <w:b/>
          <w:bCs/>
          <w:i/>
          <w:iCs/>
          <w:color w:val="000000"/>
          <w:spacing w:val="0"/>
          <w:w w:val="100"/>
          <w:position w:val="0"/>
        </w:rPr>
        <w:t>V</w:t>
      </w:r>
      <w:r>
        <w:rPr>
          <w:b/>
          <w:bCs/>
          <w:color w:val="000000"/>
          <w:spacing w:val="0"/>
          <w:w w:val="100"/>
          <w:position w:val="0"/>
        </w:rPr>
        <w:t>否</w:t>
      </w:r>
    </w:p>
    <w:p>
      <w:pPr>
        <w:pStyle w:val="Style39"/>
        <w:keepNext/>
        <w:keepLines/>
        <w:widowControl w:val="0"/>
        <w:shd w:val="clear" w:color="auto" w:fill="auto"/>
        <w:tabs>
          <w:tab w:pos="522" w:val="left"/>
        </w:tabs>
        <w:bidi w:val="0"/>
        <w:spacing w:before="0" w:after="360" w:line="240" w:lineRule="auto"/>
        <w:ind w:left="0" w:right="0" w:firstLine="0"/>
        <w:jc w:val="both"/>
      </w:pPr>
      <w:bookmarkStart w:id="29" w:name="bookmark29"/>
      <w:bookmarkStart w:id="30" w:name="bookmark30"/>
      <w:bookmarkStart w:id="31" w:name="bookmark31"/>
      <w:bookmarkStart w:id="32" w:name="bookmark32"/>
      <w:r>
        <w:rPr>
          <w:color w:val="000000"/>
          <w:spacing w:val="0"/>
          <w:w w:val="100"/>
          <w:position w:val="0"/>
          <w:sz w:val="24"/>
          <w:szCs w:val="24"/>
        </w:rPr>
        <w:t>七</w:t>
      </w:r>
      <w:bookmarkEnd w:id="31"/>
      <w:r>
        <w:rPr>
          <w:color w:val="000000"/>
          <w:spacing w:val="0"/>
          <w:w w:val="100"/>
          <w:position w:val="0"/>
          <w:sz w:val="24"/>
          <w:szCs w:val="24"/>
        </w:rPr>
        <w:t>、</w:t>
        <w:tab/>
        <w:t>境内外会计准则下会计数据差异</w:t>
      </w:r>
      <w:bookmarkEnd w:id="29"/>
      <w:bookmarkEnd w:id="30"/>
      <w:bookmarkEnd w:id="32"/>
    </w:p>
    <w:p>
      <w:pPr>
        <w:pStyle w:val="Style47"/>
        <w:keepNext/>
        <w:keepLines/>
        <w:widowControl w:val="0"/>
        <w:shd w:val="clear" w:color="auto" w:fill="auto"/>
        <w:tabs>
          <w:tab w:pos="395" w:val="left"/>
        </w:tabs>
        <w:bidi w:val="0"/>
        <w:spacing w:before="0" w:after="440" w:line="240" w:lineRule="auto"/>
        <w:ind w:left="0" w:right="0" w:firstLine="0"/>
        <w:jc w:val="both"/>
      </w:pPr>
      <w:bookmarkStart w:id="33" w:name="bookmark33"/>
      <w:bookmarkStart w:id="34" w:name="bookmark34"/>
      <w:bookmarkStart w:id="35" w:name="bookmark35"/>
      <w:bookmarkStart w:id="36" w:name="bookmark36"/>
      <w:r>
        <w:rPr>
          <w:color w:val="000000"/>
          <w:spacing w:val="0"/>
          <w:w w:val="100"/>
          <w:position w:val="0"/>
        </w:rPr>
        <w:t>1</w:t>
      </w:r>
      <w:bookmarkEnd w:id="35"/>
      <w:r>
        <w:rPr>
          <w:color w:val="000000"/>
          <w:spacing w:val="0"/>
          <w:w w:val="100"/>
          <w:position w:val="0"/>
        </w:rPr>
        <w:t>、</w:t>
        <w:tab/>
        <w:t>同时按照国际会计准则与按照中国会计准则披露的财务报告中净利润和净资产差异情况</w:t>
      </w:r>
      <w:bookmarkEnd w:id="33"/>
      <w:bookmarkEnd w:id="34"/>
      <w:bookmarkEnd w:id="36"/>
    </w:p>
    <w:p>
      <w:pPr>
        <w:pStyle w:val="Style41"/>
        <w:keepNext w:val="0"/>
        <w:keepLines w:val="0"/>
        <w:widowControl w:val="0"/>
        <w:shd w:val="clear" w:color="auto" w:fill="auto"/>
        <w:bidi w:val="0"/>
        <w:spacing w:before="0" w:after="240" w:line="240" w:lineRule="auto"/>
        <w:ind w:left="0" w:right="0" w:firstLine="0"/>
        <w:jc w:val="both"/>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b/>
          <w:bCs/>
          <w:color w:val="000000"/>
          <w:spacing w:val="0"/>
          <w:w w:val="100"/>
          <w:position w:val="0"/>
          <w:sz w:val="18"/>
          <w:szCs w:val="18"/>
        </w:rPr>
        <w:t>V</w:t>
      </w:r>
      <w:r>
        <w:rPr>
          <w:b/>
          <w:bCs/>
          <w:color w:val="000000"/>
          <w:spacing w:val="0"/>
          <w:w w:val="100"/>
          <w:position w:val="0"/>
        </w:rPr>
        <w:t>不适用</w:t>
      </w:r>
    </w:p>
    <w:p>
      <w:pPr>
        <w:pStyle w:val="Style41"/>
        <w:keepNext w:val="0"/>
        <w:keepLines w:val="0"/>
        <w:widowControl w:val="0"/>
        <w:shd w:val="clear" w:color="auto" w:fill="auto"/>
        <w:bidi w:val="0"/>
        <w:spacing w:before="0" w:after="440" w:line="240" w:lineRule="auto"/>
        <w:ind w:left="0" w:right="0" w:firstLine="0"/>
        <w:jc w:val="both"/>
      </w:pPr>
      <w:r>
        <w:rPr>
          <w:color w:val="000000"/>
          <w:spacing w:val="0"/>
          <w:w w:val="100"/>
          <w:position w:val="0"/>
        </w:rPr>
        <w:t>公司报告期不存在按照国际会计准则与按照中国会计准则披露的财务报告中净利润和净资产差异情况。</w:t>
      </w:r>
    </w:p>
    <w:p>
      <w:pPr>
        <w:pStyle w:val="Style47"/>
        <w:keepNext/>
        <w:keepLines/>
        <w:widowControl w:val="0"/>
        <w:shd w:val="clear" w:color="auto" w:fill="auto"/>
        <w:tabs>
          <w:tab w:pos="395" w:val="left"/>
        </w:tabs>
        <w:bidi w:val="0"/>
        <w:spacing w:before="0" w:after="440" w:line="240" w:lineRule="auto"/>
        <w:ind w:left="0" w:right="0" w:firstLine="0"/>
        <w:jc w:val="both"/>
      </w:pPr>
      <w:bookmarkStart w:id="37" w:name="bookmark37"/>
      <w:bookmarkStart w:id="38" w:name="bookmark38"/>
      <w:bookmarkStart w:id="39" w:name="bookmark39"/>
      <w:bookmarkStart w:id="40" w:name="bookmark40"/>
      <w:r>
        <w:rPr>
          <w:color w:val="000000"/>
          <w:spacing w:val="0"/>
          <w:w w:val="100"/>
          <w:position w:val="0"/>
        </w:rPr>
        <w:t>2</w:t>
      </w:r>
      <w:bookmarkEnd w:id="39"/>
      <w:r>
        <w:rPr>
          <w:color w:val="000000"/>
          <w:spacing w:val="0"/>
          <w:w w:val="100"/>
          <w:position w:val="0"/>
        </w:rPr>
        <w:t>、</w:t>
        <w:tab/>
        <w:t>同时按照境外会计准则与按照中国会计准则披露的财务报告中净利润和净资产差异情况</w:t>
      </w:r>
      <w:bookmarkEnd w:id="37"/>
      <w:bookmarkEnd w:id="38"/>
      <w:bookmarkEnd w:id="40"/>
    </w:p>
    <w:p>
      <w:pPr>
        <w:pStyle w:val="Style41"/>
        <w:keepNext w:val="0"/>
        <w:keepLines w:val="0"/>
        <w:widowControl w:val="0"/>
        <w:shd w:val="clear" w:color="auto" w:fill="auto"/>
        <w:bidi w:val="0"/>
        <w:spacing w:before="0" w:after="240" w:line="240" w:lineRule="auto"/>
        <w:ind w:left="0" w:right="0" w:firstLine="0"/>
        <w:jc w:val="both"/>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b/>
          <w:bCs/>
          <w:color w:val="000000"/>
          <w:spacing w:val="0"/>
          <w:w w:val="100"/>
          <w:position w:val="0"/>
          <w:sz w:val="18"/>
          <w:szCs w:val="18"/>
        </w:rPr>
        <w:t>V</w:t>
      </w:r>
      <w:r>
        <w:rPr>
          <w:b/>
          <w:bCs/>
          <w:color w:val="000000"/>
          <w:spacing w:val="0"/>
          <w:w w:val="100"/>
          <w:position w:val="0"/>
        </w:rPr>
        <w:t>不适用</w:t>
      </w:r>
    </w:p>
    <w:p>
      <w:pPr>
        <w:pStyle w:val="Style41"/>
        <w:keepNext w:val="0"/>
        <w:keepLines w:val="0"/>
        <w:widowControl w:val="0"/>
        <w:shd w:val="clear" w:color="auto" w:fill="auto"/>
        <w:bidi w:val="0"/>
        <w:spacing w:before="0" w:after="440" w:line="240" w:lineRule="auto"/>
        <w:ind w:left="0" w:right="0" w:firstLine="0"/>
        <w:jc w:val="both"/>
      </w:pPr>
      <w:r>
        <w:rPr>
          <w:color w:val="000000"/>
          <w:spacing w:val="0"/>
          <w:w w:val="100"/>
          <w:position w:val="0"/>
        </w:rPr>
        <w:t>公司报告期不存在按照境外会计准则与按照中国会计准则披露的财务报告中净利润和净资产差异情况。</w:t>
      </w:r>
    </w:p>
    <w:p>
      <w:pPr>
        <w:pStyle w:val="Style39"/>
        <w:keepNext/>
        <w:keepLines/>
        <w:widowControl w:val="0"/>
        <w:shd w:val="clear" w:color="auto" w:fill="auto"/>
        <w:tabs>
          <w:tab w:pos="522" w:val="left"/>
        </w:tabs>
        <w:bidi w:val="0"/>
        <w:spacing w:before="0" w:after="440" w:line="240" w:lineRule="auto"/>
        <w:ind w:left="0" w:right="0" w:firstLine="0"/>
        <w:jc w:val="both"/>
      </w:pPr>
      <w:bookmarkStart w:id="41" w:name="bookmark41"/>
      <w:bookmarkStart w:id="42" w:name="bookmark42"/>
      <w:bookmarkStart w:id="43" w:name="bookmark43"/>
      <w:bookmarkStart w:id="44" w:name="bookmark44"/>
      <w:r>
        <w:rPr>
          <w:color w:val="000000"/>
          <w:spacing w:val="0"/>
          <w:w w:val="100"/>
          <w:position w:val="0"/>
          <w:sz w:val="24"/>
          <w:szCs w:val="24"/>
        </w:rPr>
        <w:t>八</w:t>
      </w:r>
      <w:bookmarkEnd w:id="43"/>
      <w:r>
        <w:rPr>
          <w:color w:val="000000"/>
          <w:spacing w:val="0"/>
          <w:w w:val="100"/>
          <w:position w:val="0"/>
          <w:sz w:val="24"/>
          <w:szCs w:val="24"/>
        </w:rPr>
        <w:t>、</w:t>
        <w:tab/>
        <w:t>非经常性损益项目及金额</w:t>
      </w:r>
      <w:bookmarkEnd w:id="41"/>
      <w:bookmarkEnd w:id="42"/>
      <w:bookmarkEnd w:id="44"/>
    </w:p>
    <w:p>
      <w:pPr>
        <w:pStyle w:val="Style41"/>
        <w:keepNext w:val="0"/>
        <w:keepLines w:val="0"/>
        <w:widowControl w:val="0"/>
        <w:shd w:val="clear" w:color="auto" w:fill="auto"/>
        <w:bidi w:val="0"/>
        <w:spacing w:before="0" w:after="240" w:line="240" w:lineRule="auto"/>
        <w:ind w:left="0" w:right="0" w:firstLine="0"/>
        <w:jc w:val="both"/>
      </w:pPr>
      <w:r>
        <w:rPr>
          <w:rFonts w:ascii="Times New Roman" w:eastAsia="Times New Roman" w:hAnsi="Times New Roman" w:cs="Times New Roman"/>
          <w:b/>
          <w:bCs/>
          <w:color w:val="000000"/>
          <w:spacing w:val="0"/>
          <w:w w:val="100"/>
          <w:position w:val="0"/>
          <w:sz w:val="18"/>
          <w:szCs w:val="18"/>
        </w:rPr>
        <w:t>V</w:t>
      </w:r>
      <w:r>
        <w:rPr>
          <w:b/>
          <w:bCs/>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20"/>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单位：元</w:t>
      </w:r>
    </w:p>
    <w:tbl>
      <w:tblPr>
        <w:tblOverlap w:val="never"/>
        <w:jc w:val="center"/>
        <w:tblLayout w:type="fixed"/>
      </w:tblPr>
      <w:tblGrid>
        <w:gridCol w:w="3403"/>
        <w:gridCol w:w="1565"/>
        <w:gridCol w:w="1565"/>
        <w:gridCol w:w="1565"/>
        <w:gridCol w:w="1771"/>
      </w:tblGrid>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年金额</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sz w:val="18"/>
                <w:szCs w:val="18"/>
              </w:rPr>
              <w:t>2019</w:t>
            </w:r>
            <w:r>
              <w:rPr>
                <w:color w:val="000000"/>
                <w:spacing w:val="0"/>
                <w:w w:val="100"/>
                <w:position w:val="0"/>
              </w:rPr>
              <w:t>年金额</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color w:val="000000"/>
                <w:spacing w:val="0"/>
                <w:w w:val="100"/>
                <w:position w:val="0"/>
                <w:sz w:val="18"/>
                <w:szCs w:val="18"/>
              </w:rPr>
              <w:t>2018</w:t>
            </w:r>
            <w:r>
              <w:rPr>
                <w:color w:val="000000"/>
                <w:spacing w:val="0"/>
                <w:w w:val="100"/>
                <w:position w:val="0"/>
              </w:rPr>
              <w:t>年金额</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说明</w:t>
            </w: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firstLine="0"/>
              <w:jc w:val="both"/>
            </w:pPr>
            <w:r>
              <w:rPr>
                <w:color w:val="000000"/>
                <w:spacing w:val="0"/>
                <w:w w:val="100"/>
                <w:position w:val="0"/>
              </w:rPr>
              <w:t>非流动资产处置损益（包括已计提资产减 值准备的冲销部分）</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left"/>
              <w:rPr>
                <w:sz w:val="18"/>
                <w:szCs w:val="18"/>
              </w:rPr>
            </w:pPr>
            <w:r>
              <w:rPr>
                <w:rFonts w:ascii="Times New Roman" w:eastAsia="Times New Roman" w:hAnsi="Times New Roman" w:cs="Times New Roman"/>
                <w:color w:val="000000"/>
                <w:spacing w:val="0"/>
                <w:w w:val="100"/>
                <w:position w:val="0"/>
                <w:sz w:val="18"/>
                <w:szCs w:val="18"/>
              </w:rPr>
              <w:t>-119,489.05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-2,313,003.33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left"/>
              <w:rPr>
                <w:sz w:val="18"/>
                <w:szCs w:val="18"/>
              </w:rPr>
            </w:pPr>
            <w:r>
              <w:rPr>
                <w:rFonts w:ascii="Times New Roman" w:eastAsia="Times New Roman" w:hAnsi="Times New Roman" w:cs="Times New Roman"/>
                <w:color w:val="000000"/>
                <w:spacing w:val="0"/>
                <w:w w:val="100"/>
                <w:position w:val="0"/>
                <w:sz w:val="18"/>
                <w:szCs w:val="18"/>
              </w:rPr>
              <w:t>2,392,058.91</w:t>
            </w: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计入当期损益的政府补助（与企业业务密 切相关，按照国家统一标准定额或定量享 受的政府补助除外）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left"/>
              <w:rPr>
                <w:sz w:val="18"/>
                <w:szCs w:val="18"/>
              </w:rPr>
            </w:pPr>
            <w:r>
              <w:rPr>
                <w:rFonts w:ascii="Times New Roman" w:eastAsia="Times New Roman" w:hAnsi="Times New Roman" w:cs="Times New Roman"/>
                <w:color w:val="000000"/>
                <w:spacing w:val="0"/>
                <w:w w:val="100"/>
                <w:position w:val="0"/>
                <w:sz w:val="18"/>
                <w:szCs w:val="18"/>
              </w:rPr>
              <w:t>6,796,477.53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left"/>
              <w:rPr>
                <w:sz w:val="18"/>
                <w:szCs w:val="18"/>
              </w:rPr>
            </w:pPr>
            <w:r>
              <w:rPr>
                <w:rFonts w:ascii="Times New Roman" w:eastAsia="Times New Roman" w:hAnsi="Times New Roman" w:cs="Times New Roman"/>
                <w:color w:val="000000"/>
                <w:spacing w:val="0"/>
                <w:w w:val="100"/>
                <w:position w:val="0"/>
                <w:sz w:val="18"/>
                <w:szCs w:val="18"/>
              </w:rPr>
              <w:t>5,628,807.03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left"/>
              <w:rPr>
                <w:sz w:val="18"/>
                <w:szCs w:val="18"/>
              </w:rPr>
            </w:pPr>
            <w:r>
              <w:rPr>
                <w:rFonts w:ascii="Times New Roman" w:eastAsia="Times New Roman" w:hAnsi="Times New Roman" w:cs="Times New Roman"/>
                <w:color w:val="000000"/>
                <w:spacing w:val="0"/>
                <w:w w:val="100"/>
                <w:position w:val="0"/>
                <w:sz w:val="18"/>
                <w:szCs w:val="18"/>
              </w:rPr>
              <w:t>7,091,447.14</w:t>
            </w:r>
          </w:p>
        </w:tc>
        <w:tc>
          <w:tcPr>
            <w:tcBorders>
              <w:top w:val="single" w:sz="4"/>
              <w:left w:val="single" w:sz="4"/>
              <w:right w:val="single" w:sz="4"/>
            </w:tcBorders>
            <w:shd w:val="clear" w:color="auto" w:fill="FFFFFF"/>
            <w:vAlign w:val="top"/>
          </w:tcPr>
          <w:p>
            <w:pPr>
              <w:widowControl w:val="0"/>
              <w:rPr>
                <w:sz w:val="10"/>
                <w:szCs w:val="10"/>
              </w:rPr>
            </w:pPr>
          </w:p>
        </w:tc>
      </w:tr>
      <w:tr>
        <w:trPr>
          <w:trHeight w:val="1651"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firstLine="0"/>
              <w:jc w:val="both"/>
            </w:pPr>
            <w:r>
              <w:rPr>
                <w:color w:val="000000"/>
                <w:spacing w:val="0"/>
                <w:w w:val="100"/>
                <w:position w:val="0"/>
              </w:rPr>
              <w:t>计入当期损益的对非金融企业收取的资 金占用费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40"/>
              <w:jc w:val="left"/>
              <w:rPr>
                <w:sz w:val="18"/>
                <w:szCs w:val="18"/>
              </w:rPr>
            </w:pPr>
            <w:r>
              <w:rPr>
                <w:rFonts w:ascii="Times New Roman" w:eastAsia="Times New Roman" w:hAnsi="Times New Roman" w:cs="Times New Roman"/>
                <w:color w:val="000000"/>
                <w:spacing w:val="0"/>
                <w:w w:val="100"/>
                <w:position w:val="0"/>
                <w:sz w:val="18"/>
                <w:szCs w:val="18"/>
              </w:rPr>
              <w:t>180,817.60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在借款协议期内</w:t>
            </w:r>
            <w:r>
              <w:rPr>
                <w:color w:val="000000"/>
                <w:spacing w:val="0"/>
                <w:w w:val="100"/>
                <w:position w:val="0"/>
                <w:sz w:val="18"/>
                <w:szCs w:val="18"/>
              </w:rPr>
              <w:t>，</w:t>
            </w:r>
            <w:r>
              <w:rPr>
                <w:color w:val="000000"/>
                <w:spacing w:val="0"/>
                <w:w w:val="100"/>
                <w:position w:val="0"/>
              </w:rPr>
              <w:t>对 原子公司北京神州 泰岳智能数据技术 有限公司欠款收取 的资金占用费。</w:t>
            </w:r>
          </w:p>
        </w:tc>
      </w:tr>
      <w:tr>
        <w:trPr>
          <w:trHeight w:val="682"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307" w:lineRule="exact"/>
              <w:ind w:left="0" w:right="0" w:firstLine="0"/>
              <w:jc w:val="both"/>
            </w:pPr>
            <w:r>
              <w:rPr>
                <w:color w:val="000000"/>
                <w:spacing w:val="0"/>
                <w:w w:val="100"/>
                <w:position w:val="0"/>
              </w:rPr>
              <w:t>除同公司正常经营业务相关的有效套期 保值业务外，持有交易性金融资产、衍生</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left"/>
              <w:rPr>
                <w:sz w:val="18"/>
                <w:szCs w:val="18"/>
              </w:rPr>
            </w:pPr>
            <w:r>
              <w:rPr>
                <w:rFonts w:ascii="Times New Roman" w:eastAsia="Times New Roman" w:hAnsi="Times New Roman" w:cs="Times New Roman"/>
                <w:color w:val="000000"/>
                <w:spacing w:val="0"/>
                <w:w w:val="100"/>
                <w:position w:val="0"/>
                <w:sz w:val="18"/>
                <w:szCs w:val="18"/>
              </w:rPr>
              <w:t>1,936,508.30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left"/>
              <w:rPr>
                <w:sz w:val="18"/>
                <w:szCs w:val="18"/>
              </w:rPr>
            </w:pPr>
            <w:r>
              <w:rPr>
                <w:rFonts w:ascii="Times New Roman" w:eastAsia="Times New Roman" w:hAnsi="Times New Roman" w:cs="Times New Roman"/>
                <w:color w:val="000000"/>
                <w:spacing w:val="0"/>
                <w:w w:val="100"/>
                <w:position w:val="0"/>
                <w:sz w:val="18"/>
                <w:szCs w:val="18"/>
              </w:rPr>
              <w:t>1,158,641.94</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left"/>
              <w:rPr>
                <w:sz w:val="18"/>
                <w:szCs w:val="18"/>
              </w:rPr>
            </w:pPr>
            <w:r>
              <w:rPr>
                <w:rFonts w:ascii="Times New Roman" w:eastAsia="Times New Roman" w:hAnsi="Times New Roman" w:cs="Times New Roman"/>
                <w:color w:val="000000"/>
                <w:spacing w:val="0"/>
                <w:w w:val="100"/>
                <w:position w:val="0"/>
                <w:sz w:val="18"/>
                <w:szCs w:val="18"/>
              </w:rPr>
              <w:t>3,721,325.18</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3403"/>
        <w:gridCol w:w="1565"/>
        <w:gridCol w:w="1565"/>
        <w:gridCol w:w="1565"/>
        <w:gridCol w:w="1771"/>
      </w:tblGrid>
      <w:tr>
        <w:trPr>
          <w:trHeight w:val="168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3" w:lineRule="exact"/>
              <w:ind w:left="0" w:right="0" w:firstLine="0"/>
              <w:jc w:val="both"/>
            </w:pPr>
            <w:r>
              <w:rPr>
                <w:color w:val="000000"/>
                <w:spacing w:val="0"/>
                <w:w w:val="100"/>
                <w:position w:val="0"/>
              </w:rPr>
              <w:t>金融资产、交易性金融负债、衍生金融负 债产生的公允价值变动损益，以及处置交 易性金融资产、衍生金融资产、交易性金 融负债、衍生金融负债和其他债权投资取 得的投资收益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firstLine="0"/>
              <w:jc w:val="both"/>
            </w:pPr>
            <w:r>
              <w:rPr>
                <w:color w:val="000000"/>
                <w:spacing w:val="0"/>
                <w:w w:val="100"/>
                <w:position w:val="0"/>
              </w:rPr>
              <w:t>单独进行减值测试的应收款项、合同资产 减值准备转回</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left"/>
              <w:rPr>
                <w:sz w:val="18"/>
                <w:szCs w:val="18"/>
              </w:rPr>
            </w:pPr>
            <w:r>
              <w:rPr>
                <w:rFonts w:ascii="Times New Roman" w:eastAsia="Times New Roman" w:hAnsi="Times New Roman" w:cs="Times New Roman"/>
                <w:color w:val="000000"/>
                <w:spacing w:val="0"/>
                <w:w w:val="100"/>
                <w:position w:val="0"/>
                <w:sz w:val="18"/>
                <w:szCs w:val="18"/>
              </w:rPr>
              <w:t>4,779,058.72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firstLine="0"/>
              <w:jc w:val="both"/>
            </w:pPr>
            <w:r>
              <w:rPr>
                <w:color w:val="000000"/>
                <w:spacing w:val="0"/>
                <w:w w:val="100"/>
                <w:position w:val="0"/>
              </w:rPr>
              <w:t>除上述各项之外的其他营业外收入和支 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-7,913,307.68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-1,168,063.76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5,084,002.94</w:t>
            </w:r>
          </w:p>
        </w:tc>
        <w:tc>
          <w:tcPr>
            <w:tcBorders>
              <w:top w:val="single" w:sz="4"/>
              <w:left w:val="single" w:sz="4"/>
              <w:right w:val="single" w:sz="4"/>
            </w:tcBorders>
            <w:shd w:val="clear" w:color="auto" w:fill="FFFFFF"/>
            <w:vAlign w:val="top"/>
          </w:tcPr>
          <w:p>
            <w:pPr>
              <w:widowControl w:val="0"/>
              <w:rPr>
                <w:sz w:val="10"/>
                <w:szCs w:val="10"/>
              </w:rPr>
            </w:pPr>
          </w:p>
        </w:tc>
      </w:tr>
      <w:tr>
        <w:trPr>
          <w:trHeight w:val="2587"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其他符合非经常性损益定义的损益项目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left"/>
              <w:rPr>
                <w:sz w:val="18"/>
                <w:szCs w:val="18"/>
              </w:rPr>
            </w:pPr>
            <w:r>
              <w:rPr>
                <w:rFonts w:ascii="Times New Roman" w:eastAsia="Times New Roman" w:hAnsi="Times New Roman" w:cs="Times New Roman"/>
                <w:color w:val="000000"/>
                <w:spacing w:val="0"/>
                <w:w w:val="100"/>
                <w:position w:val="0"/>
                <w:sz w:val="18"/>
                <w:szCs w:val="18"/>
              </w:rPr>
              <w:t>46,494,063.03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left"/>
              <w:rPr>
                <w:sz w:val="18"/>
                <w:szCs w:val="18"/>
              </w:rPr>
            </w:pPr>
            <w:r>
              <w:rPr>
                <w:rFonts w:ascii="Times New Roman" w:eastAsia="Times New Roman" w:hAnsi="Times New Roman" w:cs="Times New Roman"/>
                <w:color w:val="000000"/>
                <w:spacing w:val="0"/>
                <w:w w:val="100"/>
                <w:position w:val="0"/>
                <w:sz w:val="18"/>
                <w:szCs w:val="18"/>
              </w:rPr>
              <w:t>2,940,995.02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主要是报告期内北 京神州泰岳智能数 据技术有限公司因 引进投资者，导致公 司丧失对其控制权， 将剩余股权按照公 允价值计量，形成的 投资收益。</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减：所得税影响额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383,275.72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40"/>
              <w:jc w:val="left"/>
              <w:rPr>
                <w:sz w:val="18"/>
                <w:szCs w:val="18"/>
              </w:rPr>
            </w:pPr>
            <w:r>
              <w:rPr>
                <w:rFonts w:ascii="Times New Roman" w:eastAsia="Times New Roman" w:hAnsi="Times New Roman" w:cs="Times New Roman"/>
                <w:color w:val="000000"/>
                <w:spacing w:val="0"/>
                <w:w w:val="100"/>
                <w:position w:val="0"/>
                <w:sz w:val="18"/>
                <w:szCs w:val="18"/>
              </w:rPr>
              <w:t>113,949.40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40"/>
              <w:jc w:val="both"/>
              <w:rPr>
                <w:sz w:val="18"/>
                <w:szCs w:val="18"/>
              </w:rPr>
            </w:pPr>
            <w:r>
              <w:rPr>
                <w:rFonts w:ascii="Times New Roman" w:eastAsia="Times New Roman" w:hAnsi="Times New Roman" w:cs="Times New Roman"/>
                <w:color w:val="000000"/>
                <w:spacing w:val="0"/>
                <w:w w:val="100"/>
                <w:position w:val="0"/>
                <w:sz w:val="18"/>
                <w:szCs w:val="18"/>
              </w:rPr>
              <w:t>340,027.56</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460"/>
              <w:jc w:val="both"/>
            </w:pPr>
            <w:r>
              <w:rPr>
                <w:color w:val="000000"/>
                <w:spacing w:val="0"/>
                <w:w w:val="100"/>
                <w:position w:val="0"/>
              </w:rPr>
              <w:t>少数股东权益影响额（税后）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left"/>
              <w:rPr>
                <w:sz w:val="18"/>
                <w:szCs w:val="18"/>
              </w:rPr>
            </w:pPr>
            <w:r>
              <w:rPr>
                <w:rFonts w:ascii="Times New Roman" w:eastAsia="Times New Roman" w:hAnsi="Times New Roman" w:cs="Times New Roman"/>
                <w:color w:val="000000"/>
                <w:spacing w:val="0"/>
                <w:w w:val="100"/>
                <w:position w:val="0"/>
                <w:sz w:val="18"/>
                <w:szCs w:val="18"/>
              </w:rPr>
              <w:t>2,738,960.98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660,553.33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248,861.62</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left"/>
              <w:rPr>
                <w:sz w:val="18"/>
                <w:szCs w:val="18"/>
              </w:rPr>
            </w:pPr>
            <w:r>
              <w:rPr>
                <w:rFonts w:ascii="Times New Roman" w:eastAsia="Times New Roman" w:hAnsi="Times New Roman" w:cs="Times New Roman"/>
                <w:b/>
                <w:bCs/>
                <w:color w:val="000000"/>
                <w:spacing w:val="0"/>
                <w:w w:val="100"/>
                <w:position w:val="0"/>
                <w:sz w:val="18"/>
                <w:szCs w:val="18"/>
              </w:rPr>
              <w:t>49,031,891.75</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left"/>
              <w:rPr>
                <w:sz w:val="18"/>
                <w:szCs w:val="18"/>
              </w:rPr>
            </w:pPr>
            <w:r>
              <w:rPr>
                <w:rFonts w:ascii="Times New Roman" w:eastAsia="Times New Roman" w:hAnsi="Times New Roman" w:cs="Times New Roman"/>
                <w:b/>
                <w:bCs/>
                <w:color w:val="000000"/>
                <w:spacing w:val="0"/>
                <w:w w:val="100"/>
                <w:position w:val="0"/>
                <w:sz w:val="18"/>
                <w:szCs w:val="18"/>
              </w:rPr>
              <w:t>5,472,874.17</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b/>
                <w:bCs/>
                <w:color w:val="000000"/>
                <w:spacing w:val="0"/>
                <w:w w:val="100"/>
                <w:position w:val="0"/>
                <w:sz w:val="18"/>
                <w:szCs w:val="18"/>
              </w:rPr>
              <w:t>17,699,944.99</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b/>
                <w:bCs/>
                <w:color w:val="000000"/>
                <w:spacing w:val="0"/>
                <w:w w:val="100"/>
                <w:position w:val="0"/>
                <w:sz w:val="18"/>
                <w:szCs w:val="18"/>
              </w:rPr>
              <w:t>--</w:t>
            </w:r>
          </w:p>
        </w:tc>
      </w:tr>
    </w:tbl>
    <w:p>
      <w:pPr>
        <w:pStyle w:val="Style20"/>
        <w:keepNext w:val="0"/>
        <w:keepLines w:val="0"/>
        <w:widowControl w:val="0"/>
        <w:shd w:val="clear" w:color="auto" w:fill="auto"/>
        <w:bidi w:val="0"/>
        <w:spacing w:before="0" w:after="0" w:line="240" w:lineRule="auto"/>
        <w:ind w:left="91" w:right="0" w:firstLine="0"/>
        <w:jc w:val="left"/>
        <w:rPr>
          <w:sz w:val="17"/>
          <w:szCs w:val="17"/>
        </w:rPr>
      </w:pPr>
      <w:r>
        <w:rPr>
          <w:rFonts w:ascii="SimSun" w:eastAsia="SimSun" w:hAnsi="SimSun" w:cs="SimSun"/>
          <w:b/>
          <w:bCs/>
          <w:color w:val="000000"/>
          <w:spacing w:val="0"/>
          <w:w w:val="100"/>
          <w:position w:val="0"/>
          <w:sz w:val="17"/>
          <w:szCs w:val="17"/>
        </w:rPr>
        <w:t>对公司根据《公开发行证券的公司信息披露解释性公告第</w:t>
      </w:r>
      <w:r>
        <w:rPr>
          <w:rFonts w:ascii="Times New Roman" w:eastAsia="Times New Roman" w:hAnsi="Times New Roman" w:cs="Times New Roman"/>
          <w:b/>
          <w:bCs/>
          <w:color w:val="000000"/>
          <w:spacing w:val="0"/>
          <w:w w:val="100"/>
          <w:position w:val="0"/>
          <w:sz w:val="18"/>
          <w:szCs w:val="18"/>
        </w:rPr>
        <w:t>1</w:t>
      </w:r>
      <w:r>
        <w:rPr>
          <w:rFonts w:ascii="SimSun" w:eastAsia="SimSun" w:hAnsi="SimSun" w:cs="SimSun"/>
          <w:b/>
          <w:bCs/>
          <w:color w:val="000000"/>
          <w:spacing w:val="0"/>
          <w:w w:val="100"/>
          <w:position w:val="0"/>
          <w:sz w:val="17"/>
          <w:szCs w:val="17"/>
        </w:rPr>
        <w:t>号一非经常性损益》定义界定的非经常性损益项目，以及把</w:t>
      </w:r>
    </w:p>
    <w:p>
      <w:pPr>
        <w:pStyle w:val="Style41"/>
        <w:keepNext w:val="0"/>
        <w:keepLines w:val="0"/>
        <w:widowControl w:val="0"/>
        <w:shd w:val="clear" w:color="auto" w:fill="auto"/>
        <w:bidi w:val="0"/>
        <w:spacing w:before="0" w:after="260" w:line="470" w:lineRule="exact"/>
        <w:ind w:left="0" w:right="0" w:firstLine="0"/>
        <w:jc w:val="left"/>
      </w:pPr>
      <w:r>
        <w:rPr>
          <w:b/>
          <w:bCs/>
          <w:color w:val="000000"/>
          <w:spacing w:val="0"/>
          <w:w w:val="100"/>
          <w:position w:val="0"/>
        </w:rPr>
        <w:t>《公开发行证券的公司信息披露解释性公告第</w:t>
      </w:r>
      <w:r>
        <w:rPr>
          <w:rFonts w:ascii="Times New Roman" w:eastAsia="Times New Roman" w:hAnsi="Times New Roman" w:cs="Times New Roman"/>
          <w:b/>
          <w:bCs/>
          <w:color w:val="000000"/>
          <w:spacing w:val="0"/>
          <w:w w:val="100"/>
          <w:position w:val="0"/>
          <w:sz w:val="18"/>
          <w:szCs w:val="18"/>
        </w:rPr>
        <w:t>1</w:t>
      </w:r>
      <w:r>
        <w:rPr>
          <w:b/>
          <w:bCs/>
          <w:color w:val="000000"/>
          <w:spacing w:val="0"/>
          <w:w w:val="100"/>
          <w:position w:val="0"/>
        </w:rPr>
        <w:t>号——非经常性损益》中列举的非经常性损益项目界定为经常性损益的项 目，应说明原因</w:t>
      </w:r>
    </w:p>
    <w:p>
      <w:pPr>
        <w:pStyle w:val="Style41"/>
        <w:keepNext w:val="0"/>
        <w:keepLines w:val="0"/>
        <w:widowControl w:val="0"/>
        <w:shd w:val="clear" w:color="auto" w:fill="auto"/>
        <w:bidi w:val="0"/>
        <w:spacing w:before="0" w:after="0" w:line="545"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b/>
          <w:bCs/>
          <w:color w:val="000000"/>
          <w:spacing w:val="0"/>
          <w:w w:val="100"/>
          <w:position w:val="0"/>
          <w:sz w:val="19"/>
          <w:szCs w:val="19"/>
        </w:rPr>
        <w:t>寸</w:t>
      </w:r>
      <w:r>
        <w:rPr>
          <w:b/>
          <w:bCs/>
          <w:color w:val="000000"/>
          <w:spacing w:val="0"/>
          <w:w w:val="100"/>
          <w:position w:val="0"/>
        </w:rPr>
        <w:t>不适用</w:t>
      </w:r>
    </w:p>
    <w:p>
      <w:pPr>
        <w:pStyle w:val="Style41"/>
        <w:keepNext w:val="0"/>
        <w:keepLines w:val="0"/>
        <w:widowControl w:val="0"/>
        <w:shd w:val="clear" w:color="auto" w:fill="auto"/>
        <w:bidi w:val="0"/>
        <w:spacing w:before="0" w:after="0" w:line="470" w:lineRule="exact"/>
        <w:ind w:left="0" w:right="0" w:firstLine="0"/>
        <w:jc w:val="left"/>
        <w:sectPr>
          <w:headerReference w:type="default" r:id="rId21"/>
          <w:footerReference w:type="default" r:id="rId22"/>
          <w:headerReference w:type="even" r:id="rId23"/>
          <w:footerReference w:type="even" r:id="rId24"/>
          <w:footnotePr>
            <w:pos w:val="pageBottom"/>
            <w:numFmt w:val="decimal"/>
            <w:numRestart w:val="continuous"/>
          </w:footnotePr>
          <w:type w:val="continuous"/>
          <w:pgSz w:w="11904" w:h="17375"/>
          <w:pgMar w:top="1668" w:right="1017" w:bottom="1801" w:left="1018" w:header="0" w:footer="3" w:gutter="0"/>
          <w:cols w:space="720"/>
          <w:noEndnote/>
          <w:rtlGutter w:val="0"/>
          <w:docGrid w:linePitch="360"/>
        </w:sectPr>
      </w:pPr>
      <w:r>
        <w:rPr>
          <w:color w:val="000000"/>
          <w:spacing w:val="0"/>
          <w:w w:val="100"/>
          <w:position w:val="0"/>
        </w:rPr>
        <w:t>公司报告期不存在将根据《公开发行证券的公司信息披露解释性公告第</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号——非经常性损益》定义、列举的非经常性损益 项目界定为经常性损益的项目的情形。</w:t>
      </w:r>
    </w:p>
    <w:p>
      <w:pPr>
        <w:pStyle w:val="Style7"/>
        <w:keepNext/>
        <w:keepLines/>
        <w:widowControl w:val="0"/>
        <w:shd w:val="clear" w:color="auto" w:fill="auto"/>
        <w:bidi w:val="0"/>
        <w:spacing w:before="0" w:after="540" w:line="240" w:lineRule="auto"/>
        <w:ind w:left="0" w:right="0" w:firstLine="0"/>
        <w:jc w:val="center"/>
      </w:pPr>
      <w:bookmarkStart w:id="45" w:name="bookmark45"/>
      <w:bookmarkStart w:id="46" w:name="bookmark46"/>
      <w:bookmarkStart w:id="47" w:name="bookmark47"/>
      <w:r>
        <w:rPr>
          <w:color w:val="000000"/>
          <w:spacing w:val="0"/>
          <w:w w:val="100"/>
          <w:position w:val="0"/>
        </w:rPr>
        <w:t>第三节公司业务概要</w:t>
      </w:r>
      <w:bookmarkEnd w:id="45"/>
      <w:bookmarkEnd w:id="46"/>
      <w:bookmarkEnd w:id="47"/>
    </w:p>
    <w:p>
      <w:pPr>
        <w:pStyle w:val="Style39"/>
        <w:keepNext/>
        <w:keepLines/>
        <w:widowControl w:val="0"/>
        <w:shd w:val="clear" w:color="auto" w:fill="auto"/>
        <w:bidi w:val="0"/>
        <w:spacing w:before="0" w:after="200" w:line="240" w:lineRule="auto"/>
        <w:ind w:left="0" w:right="0" w:firstLine="0"/>
        <w:jc w:val="left"/>
      </w:pPr>
      <w:bookmarkStart w:id="48" w:name="bookmark48"/>
      <w:bookmarkStart w:id="49" w:name="bookmark49"/>
      <w:bookmarkStart w:id="50" w:name="bookmark50"/>
      <w:bookmarkStart w:id="51" w:name="bookmark51"/>
      <w:r>
        <w:rPr>
          <w:color w:val="000000"/>
          <w:spacing w:val="0"/>
          <w:w w:val="100"/>
          <w:position w:val="0"/>
          <w:sz w:val="24"/>
          <w:szCs w:val="24"/>
        </w:rPr>
        <w:t>一</w:t>
      </w:r>
      <w:bookmarkEnd w:id="50"/>
      <w:r>
        <w:rPr>
          <w:color w:val="000000"/>
          <w:spacing w:val="0"/>
          <w:w w:val="100"/>
          <w:position w:val="0"/>
          <w:sz w:val="24"/>
          <w:szCs w:val="24"/>
        </w:rPr>
        <w:t>、报告期内公司从事的主要业务</w:t>
      </w:r>
      <w:bookmarkEnd w:id="48"/>
      <w:bookmarkEnd w:id="49"/>
      <w:bookmarkEnd w:id="51"/>
    </w:p>
    <w:p>
      <w:pPr>
        <w:pStyle w:val="Style47"/>
        <w:keepNext/>
        <w:keepLines/>
        <w:widowControl w:val="0"/>
        <w:shd w:val="clear" w:color="auto" w:fill="auto"/>
        <w:bidi w:val="0"/>
        <w:spacing w:before="0" w:after="0" w:line="468" w:lineRule="exact"/>
        <w:ind w:left="0" w:right="0" w:firstLine="380"/>
        <w:jc w:val="both"/>
        <w:rPr>
          <w:sz w:val="17"/>
          <w:szCs w:val="17"/>
        </w:rPr>
      </w:pPr>
      <w:bookmarkStart w:id="52" w:name="bookmark52"/>
      <w:bookmarkStart w:id="53" w:name="bookmark53"/>
      <w:bookmarkStart w:id="54" w:name="bookmark54"/>
      <w:bookmarkStart w:id="55" w:name="bookmark55"/>
      <w:r>
        <w:rPr>
          <w:color w:val="000000"/>
          <w:spacing w:val="0"/>
          <w:w w:val="100"/>
          <w:position w:val="0"/>
          <w:sz w:val="17"/>
          <w:szCs w:val="17"/>
        </w:rPr>
        <w:t>（</w:t>
      </w:r>
      <w:bookmarkEnd w:id="54"/>
      <w:r>
        <w:rPr>
          <w:color w:val="000000"/>
          <w:spacing w:val="0"/>
          <w:w w:val="100"/>
          <w:position w:val="0"/>
          <w:sz w:val="17"/>
          <w:szCs w:val="17"/>
        </w:rPr>
        <w:t>一）公司主要从事业务</w:t>
      </w:r>
      <w:bookmarkEnd w:id="52"/>
      <w:bookmarkEnd w:id="53"/>
      <w:bookmarkEnd w:id="55"/>
    </w:p>
    <w:p>
      <w:pPr>
        <w:pStyle w:val="Style41"/>
        <w:keepNext w:val="0"/>
        <w:keepLines w:val="0"/>
        <w:widowControl w:val="0"/>
        <w:shd w:val="clear" w:color="auto" w:fill="auto"/>
        <w:bidi w:val="0"/>
        <w:spacing w:before="0" w:after="480" w:line="468" w:lineRule="exact"/>
        <w:ind w:left="0" w:right="0"/>
        <w:jc w:val="both"/>
      </w:pPr>
      <w:r>
        <w:rPr>
          <w:color w:val="000000"/>
          <w:spacing w:val="0"/>
          <w:w w:val="100"/>
          <w:position w:val="0"/>
        </w:rPr>
        <w:t>作为一家以</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价值引领，创新驱动</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 xml:space="preserve">为主旨的民营企业，公司始终致力于用信息技术推动行业发展和社会进步，历经二十 余年来的努力，也已逐渐形成了以通信和数据为核心的技术产品能力，形成了 </w:t>
      </w:r>
      <w:r>
        <w:rPr>
          <w:rFonts w:ascii="Times New Roman" w:eastAsia="Times New Roman" w:hAnsi="Times New Roman" w:cs="Times New Roman"/>
          <w:color w:val="000000"/>
          <w:spacing w:val="0"/>
          <w:w w:val="100"/>
          <w:position w:val="0"/>
          <w:sz w:val="18"/>
          <w:szCs w:val="18"/>
        </w:rPr>
        <w:t>ICT</w:t>
      </w:r>
      <w:r>
        <w:rPr>
          <w:color w:val="000000"/>
          <w:spacing w:val="0"/>
          <w:w w:val="100"/>
          <w:position w:val="0"/>
        </w:rPr>
        <w:t>运营管理、手机游戏、物联网通信、人 工智能大数据等业务板块，并通过数年来的积累，在客户资源、行业认可、市场拓展等方面均打下了夯实的基础。</w:t>
      </w:r>
    </w:p>
    <w:p>
      <w:pPr>
        <w:pStyle w:val="Style47"/>
        <w:keepNext/>
        <w:keepLines/>
        <w:widowControl w:val="0"/>
        <w:shd w:val="clear" w:color="auto" w:fill="auto"/>
        <w:bidi w:val="0"/>
        <w:spacing w:before="0" w:after="0" w:line="472" w:lineRule="exact"/>
        <w:ind w:left="0" w:right="0" w:firstLine="380"/>
        <w:jc w:val="both"/>
      </w:pPr>
      <w:bookmarkStart w:id="56" w:name="bookmark56"/>
      <w:bookmarkStart w:id="57" w:name="bookmark57"/>
      <w:bookmarkStart w:id="58" w:name="bookmark58"/>
      <w:bookmarkStart w:id="59" w:name="bookmark59"/>
      <w:r>
        <w:rPr>
          <w:rFonts w:ascii="Times New Roman" w:eastAsia="Times New Roman" w:hAnsi="Times New Roman" w:cs="Times New Roman"/>
          <w:color w:val="000000"/>
          <w:spacing w:val="0"/>
          <w:w w:val="100"/>
          <w:position w:val="0"/>
        </w:rPr>
        <w:t>1</w:t>
      </w:r>
      <w:bookmarkEnd w:id="58"/>
      <w:r>
        <w:rPr>
          <w:color w:val="000000"/>
          <w:spacing w:val="0"/>
          <w:w w:val="100"/>
          <w:position w:val="0"/>
        </w:rPr>
        <w:t>、</w:t>
      </w:r>
      <w:r>
        <w:rPr>
          <w:rFonts w:ascii="Times New Roman" w:eastAsia="Times New Roman" w:hAnsi="Times New Roman" w:cs="Times New Roman"/>
          <w:color w:val="000000"/>
          <w:spacing w:val="0"/>
          <w:w w:val="100"/>
          <w:position w:val="0"/>
        </w:rPr>
        <w:t>ICT</w:t>
      </w:r>
      <w:r>
        <w:rPr>
          <w:color w:val="000000"/>
          <w:spacing w:val="0"/>
          <w:w w:val="100"/>
          <w:position w:val="0"/>
        </w:rPr>
        <w:t>运营管理业务板块</w:t>
      </w:r>
      <w:bookmarkEnd w:id="56"/>
      <w:bookmarkEnd w:id="57"/>
      <w:bookmarkEnd w:id="59"/>
    </w:p>
    <w:p>
      <w:pPr>
        <w:pStyle w:val="Style41"/>
        <w:keepNext w:val="0"/>
        <w:keepLines w:val="0"/>
        <w:widowControl w:val="0"/>
        <w:shd w:val="clear" w:color="auto" w:fill="auto"/>
        <w:bidi w:val="0"/>
        <w:spacing w:before="0" w:after="0" w:line="472" w:lineRule="exact"/>
        <w:ind w:left="0" w:right="0"/>
        <w:jc w:val="both"/>
      </w:pPr>
      <w:r>
        <w:rPr>
          <w:rFonts w:ascii="Times New Roman" w:eastAsia="Times New Roman" w:hAnsi="Times New Roman" w:cs="Times New Roman"/>
          <w:color w:val="000000"/>
          <w:spacing w:val="0"/>
          <w:w w:val="100"/>
          <w:position w:val="0"/>
          <w:sz w:val="18"/>
          <w:szCs w:val="18"/>
        </w:rPr>
        <w:t>ICT</w:t>
      </w:r>
      <w:r>
        <w:rPr>
          <w:color w:val="000000"/>
          <w:spacing w:val="0"/>
          <w:w w:val="100"/>
          <w:position w:val="0"/>
        </w:rPr>
        <w:t>是信息产业</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IT</w:t>
      </w:r>
      <w:r>
        <w:rPr>
          <w:color w:val="000000"/>
          <w:spacing w:val="0"/>
          <w:w w:val="100"/>
          <w:position w:val="0"/>
        </w:rPr>
        <w:t>）与通信产业</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CT</w:t>
      </w:r>
      <w:r>
        <w:rPr>
          <w:color w:val="000000"/>
          <w:spacing w:val="0"/>
          <w:w w:val="100"/>
          <w:position w:val="0"/>
        </w:rPr>
        <w:t>）</w:t>
      </w:r>
      <w:r>
        <w:rPr>
          <w:color w:val="000000"/>
          <w:spacing w:val="0"/>
          <w:w w:val="100"/>
          <w:position w:val="0"/>
        </w:rPr>
        <w:t>的统称，</w:t>
      </w:r>
      <w:r>
        <w:rPr>
          <w:rFonts w:ascii="Times New Roman" w:eastAsia="Times New Roman" w:hAnsi="Times New Roman" w:cs="Times New Roman"/>
          <w:color w:val="000000"/>
          <w:spacing w:val="0"/>
          <w:w w:val="100"/>
          <w:position w:val="0"/>
          <w:sz w:val="18"/>
          <w:szCs w:val="18"/>
        </w:rPr>
        <w:t>ICT</w:t>
      </w:r>
      <w:r>
        <w:rPr>
          <w:color w:val="000000"/>
          <w:spacing w:val="0"/>
          <w:w w:val="100"/>
          <w:position w:val="0"/>
        </w:rPr>
        <w:t>运营管理即通过提供软件与服务等方式对</w:t>
      </w:r>
      <w:r>
        <w:rPr>
          <w:rFonts w:ascii="Times New Roman" w:eastAsia="Times New Roman" w:hAnsi="Times New Roman" w:cs="Times New Roman"/>
          <w:color w:val="000000"/>
          <w:spacing w:val="0"/>
          <w:w w:val="100"/>
          <w:position w:val="0"/>
          <w:sz w:val="18"/>
          <w:szCs w:val="18"/>
        </w:rPr>
        <w:t>ICT</w:t>
      </w:r>
      <w:r>
        <w:rPr>
          <w:color w:val="000000"/>
          <w:spacing w:val="0"/>
          <w:w w:val="100"/>
          <w:position w:val="0"/>
        </w:rPr>
        <w:t>基础设施、业务 应用和运维体系进行全面的管理。</w:t>
      </w:r>
    </w:p>
    <w:p>
      <w:pPr>
        <w:pStyle w:val="Style41"/>
        <w:keepNext w:val="0"/>
        <w:keepLines w:val="0"/>
        <w:widowControl w:val="0"/>
        <w:shd w:val="clear" w:color="auto" w:fill="auto"/>
        <w:bidi w:val="0"/>
        <w:spacing w:before="0" w:after="0" w:line="472" w:lineRule="exact"/>
        <w:ind w:left="0" w:right="0"/>
        <w:jc w:val="both"/>
      </w:pPr>
      <w:r>
        <w:rPr>
          <w:color w:val="000000"/>
          <w:spacing w:val="0"/>
          <w:w w:val="100"/>
          <w:position w:val="0"/>
        </w:rPr>
        <w:t>公司运营商事业群的主要业务方向即为客户的</w:t>
      </w:r>
      <w:r>
        <w:rPr>
          <w:rFonts w:ascii="Times New Roman" w:eastAsia="Times New Roman" w:hAnsi="Times New Roman" w:cs="Times New Roman"/>
          <w:color w:val="000000"/>
          <w:spacing w:val="0"/>
          <w:w w:val="100"/>
          <w:position w:val="0"/>
          <w:sz w:val="18"/>
          <w:szCs w:val="18"/>
        </w:rPr>
        <w:t>ICT</w:t>
      </w:r>
      <w:r>
        <w:rPr>
          <w:color w:val="000000"/>
          <w:spacing w:val="0"/>
          <w:w w:val="100"/>
          <w:position w:val="0"/>
        </w:rPr>
        <w:t>运营管理业务提供服务</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ICT</w:t>
      </w:r>
      <w:r>
        <w:rPr>
          <w:color w:val="000000"/>
          <w:spacing w:val="0"/>
          <w:w w:val="100"/>
          <w:position w:val="0"/>
        </w:rPr>
        <w:t>运营管理是公司设立以来的传统核心业 务，通过提供软件产品与技术服务等方式对</w:t>
      </w:r>
      <w:r>
        <w:rPr>
          <w:rFonts w:ascii="Times New Roman" w:eastAsia="Times New Roman" w:hAnsi="Times New Roman" w:cs="Times New Roman"/>
          <w:color w:val="000000"/>
          <w:spacing w:val="0"/>
          <w:w w:val="100"/>
          <w:position w:val="0"/>
          <w:sz w:val="18"/>
          <w:szCs w:val="18"/>
        </w:rPr>
        <w:t>ICT</w:t>
      </w:r>
      <w:r>
        <w:rPr>
          <w:color w:val="000000"/>
          <w:spacing w:val="0"/>
          <w:w w:val="100"/>
          <w:position w:val="0"/>
        </w:rPr>
        <w:t>基础设施、业务应用和运维体系进行全面的管理，保障</w:t>
      </w:r>
      <w:r>
        <w:rPr>
          <w:rFonts w:ascii="Times New Roman" w:eastAsia="Times New Roman" w:hAnsi="Times New Roman" w:cs="Times New Roman"/>
          <w:color w:val="000000"/>
          <w:spacing w:val="0"/>
          <w:w w:val="100"/>
          <w:position w:val="0"/>
          <w:sz w:val="18"/>
          <w:szCs w:val="18"/>
        </w:rPr>
        <w:t>ICT</w:t>
      </w:r>
      <w:r>
        <w:rPr>
          <w:color w:val="000000"/>
          <w:spacing w:val="0"/>
          <w:w w:val="100"/>
          <w:position w:val="0"/>
        </w:rPr>
        <w:t>系统安全、稳 定、可靠、高效运行，公司长期服务于电信、金融、能源、交通等领域的大中型企业和政府机构，对</w:t>
      </w:r>
      <w:r>
        <w:rPr>
          <w:rFonts w:ascii="Times New Roman" w:eastAsia="Times New Roman" w:hAnsi="Times New Roman" w:cs="Times New Roman"/>
          <w:color w:val="000000"/>
          <w:spacing w:val="0"/>
          <w:w w:val="100"/>
          <w:position w:val="0"/>
          <w:sz w:val="18"/>
          <w:szCs w:val="18"/>
        </w:rPr>
        <w:t>ICT</w:t>
      </w:r>
      <w:r>
        <w:rPr>
          <w:color w:val="000000"/>
          <w:spacing w:val="0"/>
          <w:w w:val="100"/>
          <w:position w:val="0"/>
        </w:rPr>
        <w:t>运营管理领域有 着深刻理解、定制开发能力突出、项目经验丰富。</w:t>
      </w:r>
    </w:p>
    <w:p>
      <w:pPr>
        <w:pStyle w:val="Style58"/>
        <w:keepNext/>
        <w:keepLines/>
        <w:widowControl w:val="0"/>
        <w:shd w:val="clear" w:color="auto" w:fill="auto"/>
        <w:bidi w:val="0"/>
        <w:spacing w:before="0" w:after="0" w:line="472" w:lineRule="exact"/>
        <w:ind w:left="0" w:right="0"/>
        <w:jc w:val="both"/>
      </w:pPr>
      <w:bookmarkStart w:id="60" w:name="bookmark60"/>
      <w:bookmarkStart w:id="61" w:name="bookmark61"/>
      <w:bookmarkStart w:id="62" w:name="bookmark62"/>
      <w:r>
        <w:rPr>
          <w:rFonts w:ascii="Times New Roman" w:eastAsia="Times New Roman" w:hAnsi="Times New Roman" w:cs="Times New Roman"/>
          <w:b/>
          <w:bCs/>
          <w:color w:val="000000"/>
          <w:spacing w:val="0"/>
          <w:w w:val="100"/>
          <w:position w:val="0"/>
          <w:sz w:val="18"/>
          <w:szCs w:val="18"/>
        </w:rPr>
        <w:t>1.1</w:t>
      </w:r>
      <w:r>
        <w:rPr>
          <w:b/>
          <w:bCs/>
          <w:color w:val="000000"/>
          <w:spacing w:val="0"/>
          <w:w w:val="100"/>
          <w:position w:val="0"/>
        </w:rPr>
        <w:t>公司</w:t>
      </w:r>
      <w:r>
        <w:rPr>
          <w:rFonts w:ascii="Times New Roman" w:eastAsia="Times New Roman" w:hAnsi="Times New Roman" w:cs="Times New Roman"/>
          <w:b/>
          <w:bCs/>
          <w:color w:val="000000"/>
          <w:spacing w:val="0"/>
          <w:w w:val="100"/>
          <w:position w:val="0"/>
          <w:sz w:val="18"/>
          <w:szCs w:val="18"/>
        </w:rPr>
        <w:t>ICT</w:t>
      </w:r>
      <w:r>
        <w:rPr>
          <w:b/>
          <w:bCs/>
          <w:color w:val="000000"/>
          <w:spacing w:val="0"/>
          <w:w w:val="100"/>
          <w:position w:val="0"/>
        </w:rPr>
        <w:t>运营管理业务主要产品线</w:t>
      </w:r>
      <w:bookmarkEnd w:id="60"/>
      <w:bookmarkEnd w:id="61"/>
      <w:bookmarkEnd w:id="62"/>
    </w:p>
    <w:p>
      <w:pPr>
        <w:pStyle w:val="Style41"/>
        <w:keepNext w:val="0"/>
        <w:keepLines w:val="0"/>
        <w:widowControl w:val="0"/>
        <w:shd w:val="clear" w:color="auto" w:fill="auto"/>
        <w:bidi w:val="0"/>
        <w:spacing w:before="0" w:after="100" w:line="472" w:lineRule="exact"/>
        <w:ind w:left="0" w:right="0"/>
        <w:jc w:val="both"/>
        <w:sectPr>
          <w:headerReference w:type="default" r:id="rId25"/>
          <w:footerReference w:type="default" r:id="rId26"/>
          <w:headerReference w:type="even" r:id="rId27"/>
          <w:footerReference w:type="even" r:id="rId28"/>
          <w:footnotePr>
            <w:pos w:val="pageBottom"/>
            <w:numFmt w:val="decimal"/>
            <w:numRestart w:val="continuous"/>
          </w:footnotePr>
          <w:pgSz w:w="11904" w:h="17375"/>
          <w:pgMar w:top="2231" w:right="1013" w:bottom="2231" w:left="1104" w:header="0" w:footer="3" w:gutter="0"/>
          <w:cols w:space="720"/>
          <w:noEndnote/>
          <w:rtlGutter w:val="0"/>
          <w:docGrid w:linePitch="360"/>
        </w:sectPr>
      </w:pPr>
      <w:bookmarkStart w:id="63" w:name="bookmark63"/>
      <w:r>
        <w:rPr>
          <w:rFonts w:ascii="Times New Roman" w:eastAsia="Times New Roman" w:hAnsi="Times New Roman" w:cs="Times New Roman"/>
          <w:color w:val="000000"/>
          <w:spacing w:val="0"/>
          <w:w w:val="100"/>
          <w:position w:val="0"/>
          <w:sz w:val="18"/>
          <w:szCs w:val="18"/>
        </w:rPr>
        <w:t>A</w:t>
      </w:r>
      <w:bookmarkEnd w:id="63"/>
      <w:r>
        <w:rPr>
          <w:color w:val="000000"/>
          <w:spacing w:val="0"/>
          <w:w w:val="100"/>
          <w:position w:val="0"/>
        </w:rPr>
        <w:t>、</w:t>
      </w:r>
      <w:r>
        <w:rPr>
          <w:color w:val="000000"/>
          <w:spacing w:val="0"/>
          <w:w w:val="100"/>
          <w:position w:val="0"/>
        </w:rPr>
        <w:t>公司立足于</w:t>
      </w:r>
      <w:r>
        <w:rPr>
          <w:rFonts w:ascii="Times New Roman" w:eastAsia="Times New Roman" w:hAnsi="Times New Roman" w:cs="Times New Roman"/>
          <w:color w:val="000000"/>
          <w:spacing w:val="0"/>
          <w:w w:val="100"/>
          <w:position w:val="0"/>
          <w:sz w:val="18"/>
          <w:szCs w:val="18"/>
        </w:rPr>
        <w:t>5G</w:t>
      </w:r>
      <w:r>
        <w:rPr>
          <w:color w:val="000000"/>
          <w:spacing w:val="0"/>
          <w:w w:val="100"/>
          <w:position w:val="0"/>
        </w:rPr>
        <w:t>发展新生态，旨在成为数字经济时代智能运营的头部解决方案提供商。通过梳理自身产品结构并结 合自身多年来的项目经验，全新构建了</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大</w:t>
      </w:r>
      <w:r>
        <w:rPr>
          <w:rFonts w:ascii="Times New Roman" w:eastAsia="Times New Roman" w:hAnsi="Times New Roman" w:cs="Times New Roman"/>
          <w:color w:val="000000"/>
          <w:spacing w:val="0"/>
          <w:w w:val="100"/>
          <w:position w:val="0"/>
          <w:sz w:val="18"/>
          <w:szCs w:val="18"/>
        </w:rPr>
        <w:t>IT</w:t>
      </w:r>
      <w:r>
        <w:rPr>
          <w:color w:val="000000"/>
          <w:spacing w:val="0"/>
          <w:w w:val="100"/>
          <w:position w:val="0"/>
        </w:rPr>
        <w:t>运营中台</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产品体系，秉承</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运营即服务</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模式，支撑</w:t>
      </w:r>
      <w:r>
        <w:rPr>
          <w:rFonts w:ascii="Times New Roman" w:eastAsia="Times New Roman" w:hAnsi="Times New Roman" w:cs="Times New Roman"/>
          <w:color w:val="000000"/>
          <w:spacing w:val="0"/>
          <w:w w:val="100"/>
          <w:position w:val="0"/>
          <w:sz w:val="18"/>
          <w:szCs w:val="18"/>
        </w:rPr>
        <w:t>ICT</w:t>
      </w:r>
      <w:r>
        <w:rPr>
          <w:color w:val="000000"/>
          <w:spacing w:val="0"/>
          <w:w w:val="100"/>
          <w:position w:val="0"/>
        </w:rPr>
        <w:t>全域运营场景，协助 客户持续打造新一代数字基础设施的智能化运营管理能力，为电信运营商和大型企业数字经济时代的</w:t>
      </w:r>
      <w:r>
        <w:rPr>
          <w:rFonts w:ascii="Times New Roman" w:eastAsia="Times New Roman" w:hAnsi="Times New Roman" w:cs="Times New Roman"/>
          <w:color w:val="000000"/>
          <w:spacing w:val="0"/>
          <w:w w:val="100"/>
          <w:position w:val="0"/>
          <w:sz w:val="18"/>
          <w:szCs w:val="18"/>
        </w:rPr>
        <w:t>ICT</w:t>
      </w:r>
      <w:r>
        <w:rPr>
          <w:color w:val="000000"/>
          <w:spacing w:val="0"/>
          <w:w w:val="100"/>
          <w:position w:val="0"/>
        </w:rPr>
        <w:t>运营管理智能化、 数字化、互联网化转型赋能。</w:t>
      </w:r>
    </w:p>
    <w:p>
      <w:pPr>
        <w:widowControl w:val="0"/>
        <w:spacing w:line="1" w:lineRule="exact"/>
      </w:pPr>
      <w:r>
        <mc:AlternateContent>
          <mc:Choice Requires="wps">
            <w:drawing>
              <wp:anchor distT="2496185" distB="241300" distL="0" distR="0" simplePos="0" relativeHeight="125829378" behindDoc="0" locked="0" layoutInCell="1" allowOverlap="1">
                <wp:simplePos x="0" y="0"/>
                <wp:positionH relativeFrom="page">
                  <wp:posOffset>871855</wp:posOffset>
                </wp:positionH>
                <wp:positionV relativeFrom="paragraph">
                  <wp:posOffset>2496185</wp:posOffset>
                </wp:positionV>
                <wp:extent cx="128270" cy="530225"/>
                <wp:wrapTopAndBottom/>
                <wp:docPr id="49" name="Shape 49"/>
                <a:graphic xmlns:a="http://schemas.openxmlformats.org/drawingml/2006/main">
                  <a:graphicData uri="http://schemas.microsoft.com/office/word/2010/wordprocessingShape">
                    <wps:wsp>
                      <wps:cNvSpPr txBox="1"/>
                      <wps:spPr>
                        <a:xfrm>
                          <a:ext cx="128270" cy="530225"/>
                        </a:xfrm>
                        <a:prstGeom prst="rect"/>
                        <a:noFill/>
                      </wps:spPr>
                      <wps:txbx>
                        <w:txbxContent>
                          <w:p>
                            <w:pPr>
                              <w:pStyle w:val="Style62"/>
                              <w:keepNext w:val="0"/>
                              <w:keepLines w:val="0"/>
                              <w:widowControl w:val="0"/>
                              <w:pBdr>
                                <w:top w:val="single" w:sz="0" w:space="0" w:color="91CE4D"/>
                                <w:left w:val="single" w:sz="0" w:space="0" w:color="91CE4D"/>
                                <w:bottom w:val="single" w:sz="0" w:space="0" w:color="91CE4D"/>
                                <w:right w:val="single" w:sz="0" w:space="0" w:color="91CE4D"/>
                              </w:pBdr>
                              <w:shd w:val="clear" w:color="auto" w:fill="91CE4D"/>
                              <w:bidi w:val="0"/>
                              <w:spacing w:before="0" w:after="0" w:line="240" w:lineRule="auto"/>
                              <w:ind w:left="0" w:right="0" w:firstLine="0"/>
                              <w:jc w:val="left"/>
                              <w:rPr>
                                <w:sz w:val="18"/>
                                <w:szCs w:val="18"/>
                              </w:rPr>
                            </w:pPr>
                            <w:r>
                              <w:rPr>
                                <w:color w:val="FFFFFF"/>
                                <w:spacing w:val="0"/>
                                <w:w w:val="100"/>
                                <w:position w:val="0"/>
                                <w:sz w:val="18"/>
                                <w:szCs w:val="18"/>
                              </w:rPr>
                              <w:t>数据中台</w:t>
                            </w:r>
                          </w:p>
                        </w:txbxContent>
                      </wps:txbx>
                      <wps:bodyPr upright="1" vert="eaVert" lIns="0" tIns="0" rIns="0" bIns="0">
                        <a:noAutoFit/>
                      </wps:bodyPr>
                    </wps:wsp>
                  </a:graphicData>
                </a:graphic>
              </wp:anchor>
            </w:drawing>
          </mc:Choice>
          <mc:Fallback>
            <w:pict>
              <v:shape id="_x0000_s1075" type="#_x0000_t202" style="position:absolute;margin-left:68.650000000000006pt;margin-top:196.55000000000001pt;width:10.1pt;height:41.75pt;z-index:-125829375;mso-wrap-distance-left:0;mso-wrap-distance-top:196.55000000000001pt;mso-wrap-distance-right:0;mso-wrap-distance-bottom:19.pt;mso-position-horizontal-relative:page" filled="f" stroked="f">
                <v:textbox style="layout-flow:vertical-ideographic" inset="0,0,0,0">
                  <w:txbxContent>
                    <w:p>
                      <w:pPr>
                        <w:pStyle w:val="Style62"/>
                        <w:keepNext w:val="0"/>
                        <w:keepLines w:val="0"/>
                        <w:widowControl w:val="0"/>
                        <w:pBdr>
                          <w:top w:val="single" w:sz="0" w:space="0" w:color="91CE4D"/>
                          <w:left w:val="single" w:sz="0" w:space="0" w:color="91CE4D"/>
                          <w:bottom w:val="single" w:sz="0" w:space="0" w:color="91CE4D"/>
                          <w:right w:val="single" w:sz="0" w:space="0" w:color="91CE4D"/>
                        </w:pBdr>
                        <w:shd w:val="clear" w:color="auto" w:fill="91CE4D"/>
                        <w:bidi w:val="0"/>
                        <w:spacing w:before="0" w:after="0" w:line="240" w:lineRule="auto"/>
                        <w:ind w:left="0" w:right="0" w:firstLine="0"/>
                        <w:jc w:val="left"/>
                        <w:rPr>
                          <w:sz w:val="18"/>
                          <w:szCs w:val="18"/>
                        </w:rPr>
                      </w:pPr>
                      <w:r>
                        <w:rPr>
                          <w:color w:val="FFFFFF"/>
                          <w:spacing w:val="0"/>
                          <w:w w:val="100"/>
                          <w:position w:val="0"/>
                          <w:sz w:val="18"/>
                          <w:szCs w:val="18"/>
                        </w:rPr>
                        <w:t>数据中台</w:t>
                      </w:r>
                    </w:p>
                  </w:txbxContent>
                </v:textbox>
                <w10:wrap type="topAndBottom" anchorx="page"/>
              </v:shape>
            </w:pict>
          </mc:Fallback>
        </mc:AlternateContent>
      </w:r>
      <w:r>
        <w:drawing>
          <wp:anchor distT="0" distB="1774190" distL="252730" distR="475615" simplePos="0" relativeHeight="125829380" behindDoc="0" locked="0" layoutInCell="1" allowOverlap="1">
            <wp:simplePos x="0" y="0"/>
            <wp:positionH relativeFrom="page">
              <wp:posOffset>1124585</wp:posOffset>
            </wp:positionH>
            <wp:positionV relativeFrom="paragraph">
              <wp:posOffset>0</wp:posOffset>
            </wp:positionV>
            <wp:extent cx="2523490" cy="1493520"/>
            <wp:wrapTopAndBottom/>
            <wp:docPr id="51" name="Shape 51"/>
            <a:graphic xmlns:a="http://schemas.openxmlformats.org/drawingml/2006/main">
              <a:graphicData uri="http://schemas.openxmlformats.org/drawingml/2006/picture">
                <pic:pic xmlns:pic="http://schemas.openxmlformats.org/drawingml/2006/picture">
                  <pic:nvPicPr>
                    <pic:cNvPr id="52" name="Picture box 52"/>
                    <pic:cNvPicPr/>
                  </pic:nvPicPr>
                  <pic:blipFill>
                    <a:blip r:embed="rId29"/>
                    <a:stretch/>
                  </pic:blipFill>
                  <pic:spPr>
                    <a:xfrm>
                      <a:ext cx="2523490" cy="1493520"/>
                    </a:xfrm>
                    <a:prstGeom prst="rect"/>
                  </pic:spPr>
                </pic:pic>
              </a:graphicData>
            </a:graphic>
          </wp:anchor>
        </w:drawing>
      </w:r>
      <w:r>
        <mc:AlternateContent>
          <mc:Choice Requires="wps">
            <w:drawing>
              <wp:anchor distT="0" distB="0" distL="0" distR="0" simplePos="0" relativeHeight="503316482" behindDoc="0" locked="0" layoutInCell="1" allowOverlap="1">
                <wp:simplePos x="0" y="0"/>
                <wp:positionH relativeFrom="page">
                  <wp:posOffset>1167130</wp:posOffset>
                </wp:positionH>
                <wp:positionV relativeFrom="paragraph">
                  <wp:posOffset>313690</wp:posOffset>
                </wp:positionV>
                <wp:extent cx="518160" cy="130810"/>
                <wp:wrapNone/>
                <wp:docPr id="53" name="Shape 53"/>
                <a:graphic xmlns:a="http://schemas.openxmlformats.org/drawingml/2006/main">
                  <a:graphicData uri="http://schemas.microsoft.com/office/word/2010/wordprocessingShape">
                    <wps:wsp>
                      <wps:cNvSpPr txBox="1"/>
                      <wps:spPr>
                        <a:xfrm>
                          <a:ext cx="518160" cy="130810"/>
                        </a:xfrm>
                        <a:prstGeom prst="rect"/>
                        <a:noFill/>
                      </wps:spPr>
                      <wps:txbx>
                        <w:txbxContent>
                          <w:p>
                            <w:pPr>
                              <w:pStyle w:val="Style65"/>
                              <w:keepNext w:val="0"/>
                              <w:keepLines w:val="0"/>
                              <w:widowControl w:val="0"/>
                              <w:pBdr>
                                <w:top w:val="single" w:sz="0" w:space="0" w:color="0071C1"/>
                                <w:left w:val="single" w:sz="0" w:space="8" w:color="0071C1"/>
                                <w:bottom w:val="single" w:sz="0" w:space="0" w:color="0071C1"/>
                                <w:right w:val="single" w:sz="0" w:space="8" w:color="0071C1"/>
                              </w:pBdr>
                              <w:shd w:val="clear" w:color="auto" w:fill="0071C1"/>
                              <w:bidi w:val="0"/>
                              <w:spacing w:before="0" w:after="0" w:line="240" w:lineRule="auto"/>
                              <w:ind w:left="0" w:right="0" w:firstLine="0"/>
                              <w:jc w:val="left"/>
                              <w:rPr>
                                <w:sz w:val="13"/>
                                <w:szCs w:val="13"/>
                              </w:rPr>
                            </w:pPr>
                            <w:r>
                              <w:rPr>
                                <w:color w:val="FFFFFF"/>
                                <w:spacing w:val="0"/>
                                <w:w w:val="100"/>
                                <w:position w:val="0"/>
                                <w:sz w:val="13"/>
                                <w:szCs w:val="13"/>
                              </w:rPr>
                              <w:t>全栈智能监控</w:t>
                            </w:r>
                          </w:p>
                        </w:txbxContent>
                      </wps:txbx>
                      <wps:bodyPr lIns="0" tIns="0" rIns="0" bIns="0">
                        <a:noAutoFit/>
                      </wps:bodyPr>
                    </wps:wsp>
                  </a:graphicData>
                </a:graphic>
              </wp:anchor>
            </w:drawing>
          </mc:Choice>
          <mc:Fallback>
            <w:pict>
              <v:shape id="_x0000_s1079" type="#_x0000_t202" style="position:absolute;margin-left:91.900000000000006pt;margin-top:24.699999999999999pt;width:40.800000000000004pt;height:10.300000000000001pt;z-index:251657729;mso-wrap-distance-left:0;mso-wrap-distance-right:0;mso-position-horizontal-relative:page" filled="f" stroked="f">
                <v:textbox inset="0,0,0,0">
                  <w:txbxContent>
                    <w:p>
                      <w:pPr>
                        <w:pStyle w:val="Style65"/>
                        <w:keepNext w:val="0"/>
                        <w:keepLines w:val="0"/>
                        <w:widowControl w:val="0"/>
                        <w:pBdr>
                          <w:top w:val="single" w:sz="0" w:space="0" w:color="0071C1"/>
                          <w:left w:val="single" w:sz="0" w:space="8" w:color="0071C1"/>
                          <w:bottom w:val="single" w:sz="0" w:space="0" w:color="0071C1"/>
                          <w:right w:val="single" w:sz="0" w:space="8" w:color="0071C1"/>
                        </w:pBdr>
                        <w:shd w:val="clear" w:color="auto" w:fill="0071C1"/>
                        <w:bidi w:val="0"/>
                        <w:spacing w:before="0" w:after="0" w:line="240" w:lineRule="auto"/>
                        <w:ind w:left="0" w:right="0" w:firstLine="0"/>
                        <w:jc w:val="left"/>
                        <w:rPr>
                          <w:sz w:val="13"/>
                          <w:szCs w:val="13"/>
                        </w:rPr>
                      </w:pPr>
                      <w:r>
                        <w:rPr>
                          <w:color w:val="FFFFFF"/>
                          <w:spacing w:val="0"/>
                          <w:w w:val="100"/>
                          <w:position w:val="0"/>
                          <w:sz w:val="13"/>
                          <w:szCs w:val="13"/>
                        </w:rPr>
                        <w:t>全栈智能监控</w:t>
                      </w:r>
                    </w:p>
                  </w:txbxContent>
                </v:textbox>
                <w10:wrap anchorx="page"/>
              </v:shape>
            </w:pict>
          </mc:Fallback>
        </mc:AlternateContent>
      </w:r>
      <w:r>
        <mc:AlternateContent>
          <mc:Choice Requires="wps">
            <w:drawing>
              <wp:anchor distT="0" distB="0" distL="0" distR="0" simplePos="0" relativeHeight="503316484" behindDoc="0" locked="0" layoutInCell="1" allowOverlap="1">
                <wp:simplePos x="0" y="0"/>
                <wp:positionH relativeFrom="page">
                  <wp:posOffset>3129915</wp:posOffset>
                </wp:positionH>
                <wp:positionV relativeFrom="paragraph">
                  <wp:posOffset>313690</wp:posOffset>
                </wp:positionV>
                <wp:extent cx="426720" cy="130810"/>
                <wp:wrapNone/>
                <wp:docPr id="55" name="Shape 55"/>
                <a:graphic xmlns:a="http://schemas.openxmlformats.org/drawingml/2006/main">
                  <a:graphicData uri="http://schemas.microsoft.com/office/word/2010/wordprocessingShape">
                    <wps:wsp>
                      <wps:cNvSpPr txBox="1"/>
                      <wps:spPr>
                        <a:xfrm>
                          <a:ext cx="426720" cy="130810"/>
                        </a:xfrm>
                        <a:prstGeom prst="rect"/>
                        <a:noFill/>
                      </wps:spPr>
                      <wps:txbx>
                        <w:txbxContent>
                          <w:p>
                            <w:pPr>
                              <w:pStyle w:val="Style65"/>
                              <w:keepNext w:val="0"/>
                              <w:keepLines w:val="0"/>
                              <w:widowControl w:val="0"/>
                              <w:pBdr>
                                <w:top w:val="single" w:sz="0" w:space="0" w:color="0071C1"/>
                                <w:left w:val="single" w:sz="0" w:space="0" w:color="0071C1"/>
                                <w:bottom w:val="single" w:sz="0" w:space="0" w:color="0071C1"/>
                                <w:right w:val="single" w:sz="0" w:space="0" w:color="0071C1"/>
                              </w:pBdr>
                              <w:shd w:val="clear" w:color="auto" w:fill="0071C1"/>
                              <w:bidi w:val="0"/>
                              <w:spacing w:before="0" w:after="0" w:line="240" w:lineRule="auto"/>
                              <w:ind w:left="0" w:right="0" w:firstLine="0"/>
                              <w:jc w:val="left"/>
                              <w:rPr>
                                <w:sz w:val="13"/>
                                <w:szCs w:val="13"/>
                              </w:rPr>
                            </w:pPr>
                            <w:r>
                              <w:rPr>
                                <w:color w:val="FFFFFF"/>
                                <w:spacing w:val="0"/>
                                <w:w w:val="100"/>
                                <w:position w:val="0"/>
                                <w:sz w:val="13"/>
                                <w:szCs w:val="13"/>
                              </w:rPr>
                              <w:t>自动化运维</w:t>
                            </w:r>
                          </w:p>
                        </w:txbxContent>
                      </wps:txbx>
                      <wps:bodyPr lIns="0" tIns="0" rIns="0" bIns="0">
                        <a:noAutoFit/>
                      </wps:bodyPr>
                    </wps:wsp>
                  </a:graphicData>
                </a:graphic>
              </wp:anchor>
            </w:drawing>
          </mc:Choice>
          <mc:Fallback>
            <w:pict>
              <v:shape id="_x0000_s1081" type="#_x0000_t202" style="position:absolute;margin-left:246.45000000000002pt;margin-top:24.699999999999999pt;width:33.600000000000001pt;height:10.300000000000001pt;z-index:251657731;mso-wrap-distance-left:0;mso-wrap-distance-right:0;mso-position-horizontal-relative:page" filled="f" stroked="f">
                <v:textbox inset="0,0,0,0">
                  <w:txbxContent>
                    <w:p>
                      <w:pPr>
                        <w:pStyle w:val="Style65"/>
                        <w:keepNext w:val="0"/>
                        <w:keepLines w:val="0"/>
                        <w:widowControl w:val="0"/>
                        <w:pBdr>
                          <w:top w:val="single" w:sz="0" w:space="0" w:color="0071C1"/>
                          <w:left w:val="single" w:sz="0" w:space="0" w:color="0071C1"/>
                          <w:bottom w:val="single" w:sz="0" w:space="0" w:color="0071C1"/>
                          <w:right w:val="single" w:sz="0" w:space="0" w:color="0071C1"/>
                        </w:pBdr>
                        <w:shd w:val="clear" w:color="auto" w:fill="0071C1"/>
                        <w:bidi w:val="0"/>
                        <w:spacing w:before="0" w:after="0" w:line="240" w:lineRule="auto"/>
                        <w:ind w:left="0" w:right="0" w:firstLine="0"/>
                        <w:jc w:val="left"/>
                        <w:rPr>
                          <w:sz w:val="13"/>
                          <w:szCs w:val="13"/>
                        </w:rPr>
                      </w:pPr>
                      <w:r>
                        <w:rPr>
                          <w:color w:val="FFFFFF"/>
                          <w:spacing w:val="0"/>
                          <w:w w:val="100"/>
                          <w:position w:val="0"/>
                          <w:sz w:val="13"/>
                          <w:szCs w:val="13"/>
                        </w:rPr>
                        <w:t>自动化运维</w:t>
                      </w:r>
                    </w:p>
                  </w:txbxContent>
                </v:textbox>
                <w10:wrap anchorx="page"/>
              </v:shape>
            </w:pict>
          </mc:Fallback>
        </mc:AlternateContent>
      </w:r>
      <w:r>
        <mc:AlternateContent>
          <mc:Choice Requires="wps">
            <w:drawing>
              <wp:anchor distT="0" distB="0" distL="0" distR="0" simplePos="0" relativeHeight="503316486" behindDoc="0" locked="0" layoutInCell="1" allowOverlap="1">
                <wp:simplePos x="0" y="0"/>
                <wp:positionH relativeFrom="page">
                  <wp:posOffset>3769995</wp:posOffset>
                </wp:positionH>
                <wp:positionV relativeFrom="paragraph">
                  <wp:posOffset>323215</wp:posOffset>
                </wp:positionV>
                <wp:extent cx="146050" cy="133985"/>
                <wp:wrapNone/>
                <wp:docPr id="57" name="Shape 57"/>
                <a:graphic xmlns:a="http://schemas.openxmlformats.org/drawingml/2006/main">
                  <a:graphicData uri="http://schemas.microsoft.com/office/word/2010/wordprocessingShape">
                    <wps:wsp>
                      <wps:cNvSpPr txBox="1"/>
                      <wps:spPr>
                        <a:xfrm>
                          <a:ext cx="146050" cy="133985"/>
                        </a:xfrm>
                        <a:prstGeom prst="rect"/>
                        <a:noFill/>
                      </wps:spPr>
                      <wps:txbx>
                        <w:txbxContent>
                          <w:p>
                            <w:pPr>
                              <w:pStyle w:val="Style65"/>
                              <w:keepNext w:val="0"/>
                              <w:keepLines w:val="0"/>
                              <w:widowControl w:val="0"/>
                              <w:pBdr>
                                <w:top w:val="single" w:sz="0" w:space="0" w:color="0071C1"/>
                                <w:left w:val="single" w:sz="0" w:space="0" w:color="0071C1"/>
                                <w:bottom w:val="single" w:sz="0" w:space="0" w:color="0071C1"/>
                                <w:right w:val="single" w:sz="0" w:space="0" w:color="0071C1"/>
                              </w:pBdr>
                              <w:shd w:val="clear" w:color="auto" w:fill="0071C1"/>
                              <w:bidi w:val="0"/>
                              <w:spacing w:before="0" w:after="0" w:line="240" w:lineRule="auto"/>
                              <w:ind w:left="0" w:right="0" w:firstLine="0"/>
                              <w:jc w:val="left"/>
                              <w:rPr>
                                <w:sz w:val="13"/>
                                <w:szCs w:val="13"/>
                              </w:rPr>
                            </w:pPr>
                            <w:r>
                              <w:rPr>
                                <w:color w:val="FFFFFF"/>
                                <w:spacing w:val="0"/>
                                <w:w w:val="100"/>
                                <w:position w:val="0"/>
                                <w:sz w:val="13"/>
                                <w:szCs w:val="13"/>
                              </w:rPr>
                              <w:t>需</w:t>
                            </w:r>
                          </w:p>
                        </w:txbxContent>
                      </wps:txbx>
                      <wps:bodyPr lIns="0" tIns="0" rIns="0" bIns="0">
                        <a:noAutoFit/>
                      </wps:bodyPr>
                    </wps:wsp>
                  </a:graphicData>
                </a:graphic>
              </wp:anchor>
            </w:drawing>
          </mc:Choice>
          <mc:Fallback>
            <w:pict>
              <v:shape id="_x0000_s1083" type="#_x0000_t202" style="position:absolute;margin-left:296.85000000000002pt;margin-top:25.449999999999999pt;width:11.5pt;height:10.550000000000001pt;z-index:251657733;mso-wrap-distance-left:0;mso-wrap-distance-right:0;mso-position-horizontal-relative:page" filled="f" stroked="f">
                <v:textbox inset="0,0,0,0">
                  <w:txbxContent>
                    <w:p>
                      <w:pPr>
                        <w:pStyle w:val="Style65"/>
                        <w:keepNext w:val="0"/>
                        <w:keepLines w:val="0"/>
                        <w:widowControl w:val="0"/>
                        <w:pBdr>
                          <w:top w:val="single" w:sz="0" w:space="0" w:color="0071C1"/>
                          <w:left w:val="single" w:sz="0" w:space="0" w:color="0071C1"/>
                          <w:bottom w:val="single" w:sz="0" w:space="0" w:color="0071C1"/>
                          <w:right w:val="single" w:sz="0" w:space="0" w:color="0071C1"/>
                        </w:pBdr>
                        <w:shd w:val="clear" w:color="auto" w:fill="0071C1"/>
                        <w:bidi w:val="0"/>
                        <w:spacing w:before="0" w:after="0" w:line="240" w:lineRule="auto"/>
                        <w:ind w:left="0" w:right="0" w:firstLine="0"/>
                        <w:jc w:val="left"/>
                        <w:rPr>
                          <w:sz w:val="13"/>
                          <w:szCs w:val="13"/>
                        </w:rPr>
                      </w:pPr>
                      <w:r>
                        <w:rPr>
                          <w:color w:val="FFFFFF"/>
                          <w:spacing w:val="0"/>
                          <w:w w:val="100"/>
                          <w:position w:val="0"/>
                          <w:sz w:val="13"/>
                          <w:szCs w:val="13"/>
                        </w:rPr>
                        <w:t>需</w:t>
                      </w:r>
                    </w:p>
                  </w:txbxContent>
                </v:textbox>
                <w10:wrap anchorx="page"/>
              </v:shape>
            </w:pict>
          </mc:Fallback>
        </mc:AlternateContent>
      </w:r>
      <w:r>
        <mc:AlternateContent>
          <mc:Choice Requires="wps">
            <w:drawing>
              <wp:anchor distT="0" distB="0" distL="0" distR="0" simplePos="0" relativeHeight="503316488" behindDoc="0" locked="0" layoutInCell="1" allowOverlap="1">
                <wp:simplePos x="0" y="0"/>
                <wp:positionH relativeFrom="page">
                  <wp:posOffset>1167130</wp:posOffset>
                </wp:positionH>
                <wp:positionV relativeFrom="paragraph">
                  <wp:posOffset>618490</wp:posOffset>
                </wp:positionV>
                <wp:extent cx="518160" cy="128270"/>
                <wp:wrapNone/>
                <wp:docPr id="59" name="Shape 59"/>
                <a:graphic xmlns:a="http://schemas.openxmlformats.org/drawingml/2006/main">
                  <a:graphicData uri="http://schemas.microsoft.com/office/word/2010/wordprocessingShape">
                    <wps:wsp>
                      <wps:cNvSpPr txBox="1"/>
                      <wps:spPr>
                        <a:xfrm>
                          <a:ext cx="518160" cy="128270"/>
                        </a:xfrm>
                        <a:prstGeom prst="rect"/>
                        <a:noFill/>
                      </wps:spPr>
                      <wps:txbx>
                        <w:txbxContent>
                          <w:p>
                            <w:pPr>
                              <w:pStyle w:val="Style65"/>
                              <w:keepNext w:val="0"/>
                              <w:keepLines w:val="0"/>
                              <w:widowControl w:val="0"/>
                              <w:pBdr>
                                <w:top w:val="single" w:sz="0" w:space="0" w:color="0071C1"/>
                                <w:left w:val="single" w:sz="0" w:space="8" w:color="0071C1"/>
                                <w:bottom w:val="single" w:sz="0" w:space="0" w:color="0071C1"/>
                                <w:right w:val="single" w:sz="0" w:space="8" w:color="0071C1"/>
                              </w:pBdr>
                              <w:shd w:val="clear" w:color="auto" w:fill="0071C1"/>
                              <w:bidi w:val="0"/>
                              <w:spacing w:before="0" w:after="0" w:line="240" w:lineRule="auto"/>
                              <w:ind w:left="0" w:right="0" w:firstLine="0"/>
                              <w:jc w:val="left"/>
                              <w:rPr>
                                <w:sz w:val="13"/>
                                <w:szCs w:val="13"/>
                              </w:rPr>
                            </w:pPr>
                            <w:r>
                              <w:rPr>
                                <w:color w:val="FFFFFF"/>
                                <w:spacing w:val="0"/>
                                <w:w w:val="100"/>
                                <w:position w:val="0"/>
                                <w:sz w:val="13"/>
                                <w:szCs w:val="13"/>
                              </w:rPr>
                              <w:t>智能日志分析</w:t>
                            </w:r>
                          </w:p>
                        </w:txbxContent>
                      </wps:txbx>
                      <wps:bodyPr lIns="0" tIns="0" rIns="0" bIns="0">
                        <a:noAutoFit/>
                      </wps:bodyPr>
                    </wps:wsp>
                  </a:graphicData>
                </a:graphic>
              </wp:anchor>
            </w:drawing>
          </mc:Choice>
          <mc:Fallback>
            <w:pict>
              <v:shape id="_x0000_s1085" type="#_x0000_t202" style="position:absolute;margin-left:91.900000000000006pt;margin-top:48.700000000000003pt;width:40.800000000000004pt;height:10.1pt;z-index:251657735;mso-wrap-distance-left:0;mso-wrap-distance-right:0;mso-position-horizontal-relative:page" filled="f" stroked="f">
                <v:textbox inset="0,0,0,0">
                  <w:txbxContent>
                    <w:p>
                      <w:pPr>
                        <w:pStyle w:val="Style65"/>
                        <w:keepNext w:val="0"/>
                        <w:keepLines w:val="0"/>
                        <w:widowControl w:val="0"/>
                        <w:pBdr>
                          <w:top w:val="single" w:sz="0" w:space="0" w:color="0071C1"/>
                          <w:left w:val="single" w:sz="0" w:space="8" w:color="0071C1"/>
                          <w:bottom w:val="single" w:sz="0" w:space="0" w:color="0071C1"/>
                          <w:right w:val="single" w:sz="0" w:space="8" w:color="0071C1"/>
                        </w:pBdr>
                        <w:shd w:val="clear" w:color="auto" w:fill="0071C1"/>
                        <w:bidi w:val="0"/>
                        <w:spacing w:before="0" w:after="0" w:line="240" w:lineRule="auto"/>
                        <w:ind w:left="0" w:right="0" w:firstLine="0"/>
                        <w:jc w:val="left"/>
                        <w:rPr>
                          <w:sz w:val="13"/>
                          <w:szCs w:val="13"/>
                        </w:rPr>
                      </w:pPr>
                      <w:r>
                        <w:rPr>
                          <w:color w:val="FFFFFF"/>
                          <w:spacing w:val="0"/>
                          <w:w w:val="100"/>
                          <w:position w:val="0"/>
                          <w:sz w:val="13"/>
                          <w:szCs w:val="13"/>
                        </w:rPr>
                        <w:t>智能日志分析</w:t>
                      </w:r>
                    </w:p>
                  </w:txbxContent>
                </v:textbox>
                <w10:wrap anchorx="page"/>
              </v:shape>
            </w:pict>
          </mc:Fallback>
        </mc:AlternateContent>
      </w:r>
      <w:r>
        <mc:AlternateContent>
          <mc:Choice Requires="wps">
            <w:drawing>
              <wp:anchor distT="0" distB="0" distL="0" distR="0" simplePos="0" relativeHeight="503316490" behindDoc="0" locked="0" layoutInCell="1" allowOverlap="1">
                <wp:simplePos x="0" y="0"/>
                <wp:positionH relativeFrom="page">
                  <wp:posOffset>3157855</wp:posOffset>
                </wp:positionH>
                <wp:positionV relativeFrom="paragraph">
                  <wp:posOffset>618490</wp:posOffset>
                </wp:positionV>
                <wp:extent cx="365760" cy="128270"/>
                <wp:wrapNone/>
                <wp:docPr id="61" name="Shape 61"/>
                <a:graphic xmlns:a="http://schemas.openxmlformats.org/drawingml/2006/main">
                  <a:graphicData uri="http://schemas.microsoft.com/office/word/2010/wordprocessingShape">
                    <wps:wsp>
                      <wps:cNvSpPr txBox="1"/>
                      <wps:spPr>
                        <a:xfrm>
                          <a:ext cx="365760" cy="128270"/>
                        </a:xfrm>
                        <a:prstGeom prst="rect"/>
                        <a:noFill/>
                      </wps:spPr>
                      <wps:txbx>
                        <w:txbxContent>
                          <w:p>
                            <w:pPr>
                              <w:pStyle w:val="Style65"/>
                              <w:keepNext w:val="0"/>
                              <w:keepLines w:val="0"/>
                              <w:widowControl w:val="0"/>
                              <w:pBdr>
                                <w:top w:val="single" w:sz="0" w:space="0" w:color="0071C1"/>
                                <w:left w:val="single" w:sz="0" w:space="0" w:color="0071C1"/>
                                <w:bottom w:val="single" w:sz="0" w:space="0" w:color="0071C1"/>
                                <w:right w:val="single" w:sz="0" w:space="0" w:color="0071C1"/>
                              </w:pBdr>
                              <w:shd w:val="clear" w:color="auto" w:fill="0071C1"/>
                              <w:bidi w:val="0"/>
                              <w:spacing w:before="0" w:after="0" w:line="240" w:lineRule="auto"/>
                              <w:ind w:left="0" w:right="0" w:firstLine="0"/>
                              <w:jc w:val="right"/>
                              <w:rPr>
                                <w:sz w:val="13"/>
                                <w:szCs w:val="13"/>
                              </w:rPr>
                            </w:pPr>
                            <w:r>
                              <w:rPr>
                                <w:rFonts w:ascii="Segoe UI" w:eastAsia="Segoe UI" w:hAnsi="Segoe UI" w:cs="Segoe UI"/>
                                <w:b/>
                                <w:bCs/>
                                <w:color w:val="FFFFFF"/>
                                <w:spacing w:val="0"/>
                                <w:w w:val="100"/>
                                <w:position w:val="0"/>
                                <w:sz w:val="14"/>
                                <w:szCs w:val="14"/>
                              </w:rPr>
                              <w:t>AR+</w:t>
                            </w:r>
                            <w:r>
                              <w:rPr>
                                <w:color w:val="FFFFFF"/>
                                <w:spacing w:val="0"/>
                                <w:w w:val="100"/>
                                <w:position w:val="0"/>
                                <w:sz w:val="13"/>
                                <w:szCs w:val="13"/>
                              </w:rPr>
                              <w:t>运维</w:t>
                            </w:r>
                          </w:p>
                        </w:txbxContent>
                      </wps:txbx>
                      <wps:bodyPr lIns="0" tIns="0" rIns="0" bIns="0">
                        <a:noAutoFit/>
                      </wps:bodyPr>
                    </wps:wsp>
                  </a:graphicData>
                </a:graphic>
              </wp:anchor>
            </w:drawing>
          </mc:Choice>
          <mc:Fallback>
            <w:pict>
              <v:shape id="_x0000_s1087" type="#_x0000_t202" style="position:absolute;margin-left:248.65000000000001pt;margin-top:48.700000000000003pt;width:28.800000000000001pt;height:10.1pt;z-index:251657737;mso-wrap-distance-left:0;mso-wrap-distance-right:0;mso-position-horizontal-relative:page" filled="f" stroked="f">
                <v:textbox inset="0,0,0,0">
                  <w:txbxContent>
                    <w:p>
                      <w:pPr>
                        <w:pStyle w:val="Style65"/>
                        <w:keepNext w:val="0"/>
                        <w:keepLines w:val="0"/>
                        <w:widowControl w:val="0"/>
                        <w:pBdr>
                          <w:top w:val="single" w:sz="0" w:space="0" w:color="0071C1"/>
                          <w:left w:val="single" w:sz="0" w:space="0" w:color="0071C1"/>
                          <w:bottom w:val="single" w:sz="0" w:space="0" w:color="0071C1"/>
                          <w:right w:val="single" w:sz="0" w:space="0" w:color="0071C1"/>
                        </w:pBdr>
                        <w:shd w:val="clear" w:color="auto" w:fill="0071C1"/>
                        <w:bidi w:val="0"/>
                        <w:spacing w:before="0" w:after="0" w:line="240" w:lineRule="auto"/>
                        <w:ind w:left="0" w:right="0" w:firstLine="0"/>
                        <w:jc w:val="right"/>
                        <w:rPr>
                          <w:sz w:val="13"/>
                          <w:szCs w:val="13"/>
                        </w:rPr>
                      </w:pPr>
                      <w:r>
                        <w:rPr>
                          <w:rFonts w:ascii="Segoe UI" w:eastAsia="Segoe UI" w:hAnsi="Segoe UI" w:cs="Segoe UI"/>
                          <w:b/>
                          <w:bCs/>
                          <w:color w:val="FFFFFF"/>
                          <w:spacing w:val="0"/>
                          <w:w w:val="100"/>
                          <w:position w:val="0"/>
                          <w:sz w:val="14"/>
                          <w:szCs w:val="14"/>
                        </w:rPr>
                        <w:t>AR+</w:t>
                      </w:r>
                      <w:r>
                        <w:rPr>
                          <w:color w:val="FFFFFF"/>
                          <w:spacing w:val="0"/>
                          <w:w w:val="100"/>
                          <w:position w:val="0"/>
                          <w:sz w:val="13"/>
                          <w:szCs w:val="13"/>
                        </w:rPr>
                        <w:t>运维</w:t>
                      </w:r>
                    </w:p>
                  </w:txbxContent>
                </v:textbox>
                <w10:wrap anchorx="page"/>
              </v:shape>
            </w:pict>
          </mc:Fallback>
        </mc:AlternateContent>
      </w:r>
      <w:r>
        <mc:AlternateContent>
          <mc:Choice Requires="wps">
            <w:drawing>
              <wp:anchor distT="0" distB="0" distL="0" distR="0" simplePos="0" relativeHeight="503316492" behindDoc="0" locked="0" layoutInCell="1" allowOverlap="1">
                <wp:simplePos x="0" y="0"/>
                <wp:positionH relativeFrom="page">
                  <wp:posOffset>1167130</wp:posOffset>
                </wp:positionH>
                <wp:positionV relativeFrom="paragraph">
                  <wp:posOffset>920750</wp:posOffset>
                </wp:positionV>
                <wp:extent cx="518160" cy="128270"/>
                <wp:wrapNone/>
                <wp:docPr id="63" name="Shape 63"/>
                <a:graphic xmlns:a="http://schemas.openxmlformats.org/drawingml/2006/main">
                  <a:graphicData uri="http://schemas.microsoft.com/office/word/2010/wordprocessingShape">
                    <wps:wsp>
                      <wps:cNvSpPr txBox="1"/>
                      <wps:spPr>
                        <a:xfrm>
                          <a:ext cx="518160" cy="128270"/>
                        </a:xfrm>
                        <a:prstGeom prst="rect"/>
                        <a:noFill/>
                      </wps:spPr>
                      <wps:txbx>
                        <w:txbxContent>
                          <w:p>
                            <w:pPr>
                              <w:pStyle w:val="Style65"/>
                              <w:keepNext w:val="0"/>
                              <w:keepLines w:val="0"/>
                              <w:widowControl w:val="0"/>
                              <w:pBdr>
                                <w:top w:val="single" w:sz="0" w:space="0" w:color="0071C1"/>
                                <w:left w:val="single" w:sz="0" w:space="8" w:color="0071C1"/>
                                <w:bottom w:val="single" w:sz="0" w:space="0" w:color="0071C1"/>
                                <w:right w:val="single" w:sz="0" w:space="8" w:color="0071C1"/>
                              </w:pBdr>
                              <w:shd w:val="clear" w:color="auto" w:fill="0071C1"/>
                              <w:bidi w:val="0"/>
                              <w:spacing w:before="0" w:after="0" w:line="240" w:lineRule="auto"/>
                              <w:ind w:left="0" w:right="0" w:firstLine="0"/>
                              <w:jc w:val="left"/>
                              <w:rPr>
                                <w:sz w:val="13"/>
                                <w:szCs w:val="13"/>
                              </w:rPr>
                            </w:pPr>
                            <w:r>
                              <w:rPr>
                                <w:color w:val="DBE5EE"/>
                                <w:spacing w:val="0"/>
                                <w:w w:val="100"/>
                                <w:position w:val="0"/>
                                <w:sz w:val="13"/>
                                <w:szCs w:val="13"/>
                              </w:rPr>
                              <w:t>应用系</w:t>
                            </w:r>
                            <w:r>
                              <w:rPr>
                                <w:color w:val="FFFFFF"/>
                                <w:spacing w:val="0"/>
                                <w:w w:val="100"/>
                                <w:position w:val="0"/>
                                <w:sz w:val="13"/>
                                <w:szCs w:val="13"/>
                              </w:rPr>
                              <w:t>统分析</w:t>
                            </w:r>
                          </w:p>
                        </w:txbxContent>
                      </wps:txbx>
                      <wps:bodyPr lIns="0" tIns="0" rIns="0" bIns="0">
                        <a:noAutoFit/>
                      </wps:bodyPr>
                    </wps:wsp>
                  </a:graphicData>
                </a:graphic>
              </wp:anchor>
            </w:drawing>
          </mc:Choice>
          <mc:Fallback>
            <w:pict>
              <v:shape id="_x0000_s1089" type="#_x0000_t202" style="position:absolute;margin-left:91.900000000000006pt;margin-top:72.5pt;width:40.800000000000004pt;height:10.1pt;z-index:251657739;mso-wrap-distance-left:0;mso-wrap-distance-right:0;mso-position-horizontal-relative:page" filled="f" stroked="f">
                <v:textbox inset="0,0,0,0">
                  <w:txbxContent>
                    <w:p>
                      <w:pPr>
                        <w:pStyle w:val="Style65"/>
                        <w:keepNext w:val="0"/>
                        <w:keepLines w:val="0"/>
                        <w:widowControl w:val="0"/>
                        <w:pBdr>
                          <w:top w:val="single" w:sz="0" w:space="0" w:color="0071C1"/>
                          <w:left w:val="single" w:sz="0" w:space="8" w:color="0071C1"/>
                          <w:bottom w:val="single" w:sz="0" w:space="0" w:color="0071C1"/>
                          <w:right w:val="single" w:sz="0" w:space="8" w:color="0071C1"/>
                        </w:pBdr>
                        <w:shd w:val="clear" w:color="auto" w:fill="0071C1"/>
                        <w:bidi w:val="0"/>
                        <w:spacing w:before="0" w:after="0" w:line="240" w:lineRule="auto"/>
                        <w:ind w:left="0" w:right="0" w:firstLine="0"/>
                        <w:jc w:val="left"/>
                        <w:rPr>
                          <w:sz w:val="13"/>
                          <w:szCs w:val="13"/>
                        </w:rPr>
                      </w:pPr>
                      <w:r>
                        <w:rPr>
                          <w:color w:val="DBE5EE"/>
                          <w:spacing w:val="0"/>
                          <w:w w:val="100"/>
                          <w:position w:val="0"/>
                          <w:sz w:val="13"/>
                          <w:szCs w:val="13"/>
                        </w:rPr>
                        <w:t>应用系</w:t>
                      </w:r>
                      <w:r>
                        <w:rPr>
                          <w:color w:val="FFFFFF"/>
                          <w:spacing w:val="0"/>
                          <w:w w:val="100"/>
                          <w:position w:val="0"/>
                          <w:sz w:val="13"/>
                          <w:szCs w:val="13"/>
                        </w:rPr>
                        <w:t>统分析</w:t>
                      </w:r>
                    </w:p>
                  </w:txbxContent>
                </v:textbox>
                <w10:wrap anchorx="page"/>
              </v:shape>
            </w:pict>
          </mc:Fallback>
        </mc:AlternateContent>
      </w:r>
      <w:r>
        <mc:AlternateContent>
          <mc:Choice Requires="wps">
            <w:drawing>
              <wp:anchor distT="0" distB="0" distL="0" distR="0" simplePos="0" relativeHeight="503316494" behindDoc="0" locked="0" layoutInCell="1" allowOverlap="1">
                <wp:simplePos x="0" y="0"/>
                <wp:positionH relativeFrom="page">
                  <wp:posOffset>3769995</wp:posOffset>
                </wp:positionH>
                <wp:positionV relativeFrom="paragraph">
                  <wp:posOffset>920750</wp:posOffset>
                </wp:positionV>
                <wp:extent cx="353695" cy="133985"/>
                <wp:wrapNone/>
                <wp:docPr id="65" name="Shape 65"/>
                <a:graphic xmlns:a="http://schemas.openxmlformats.org/drawingml/2006/main">
                  <a:graphicData uri="http://schemas.microsoft.com/office/word/2010/wordprocessingShape">
                    <wps:wsp>
                      <wps:cNvSpPr txBox="1"/>
                      <wps:spPr>
                        <a:xfrm>
                          <a:ext cx="353695" cy="133985"/>
                        </a:xfrm>
                        <a:prstGeom prst="rect"/>
                        <a:noFill/>
                      </wps:spPr>
                      <wps:txbx>
                        <w:txbxContent>
                          <w:p>
                            <w:pPr>
                              <w:pStyle w:val="Style65"/>
                              <w:keepNext w:val="0"/>
                              <w:keepLines w:val="0"/>
                              <w:widowControl w:val="0"/>
                              <w:pBdr>
                                <w:top w:val="single" w:sz="0" w:space="0" w:color="0071C1"/>
                                <w:left w:val="single" w:sz="0" w:space="0" w:color="0071C1"/>
                                <w:bottom w:val="single" w:sz="0" w:space="0" w:color="0071C1"/>
                                <w:right w:val="single" w:sz="0" w:space="0" w:color="0071C1"/>
                              </w:pBdr>
                              <w:shd w:val="clear" w:color="auto" w:fill="0071C1"/>
                              <w:bidi w:val="0"/>
                              <w:spacing w:before="0" w:after="0" w:line="240" w:lineRule="auto"/>
                              <w:ind w:left="0" w:right="0" w:firstLine="0"/>
                              <w:jc w:val="left"/>
                              <w:rPr>
                                <w:sz w:val="13"/>
                                <w:szCs w:val="13"/>
                              </w:rPr>
                            </w:pPr>
                            <w:r>
                              <w:rPr>
                                <w:color w:val="FFFFFF"/>
                                <w:spacing w:val="0"/>
                                <w:w w:val="100"/>
                                <w:position w:val="0"/>
                                <w:sz w:val="13"/>
                                <w:szCs w:val="13"/>
                              </w:rPr>
                              <w:t>睡客服</w:t>
                            </w:r>
                          </w:p>
                        </w:txbxContent>
                      </wps:txbx>
                      <wps:bodyPr lIns="0" tIns="0" rIns="0" bIns="0">
                        <a:noAutoFit/>
                      </wps:bodyPr>
                    </wps:wsp>
                  </a:graphicData>
                </a:graphic>
              </wp:anchor>
            </w:drawing>
          </mc:Choice>
          <mc:Fallback>
            <w:pict>
              <v:shape id="_x0000_s1091" type="#_x0000_t202" style="position:absolute;margin-left:296.85000000000002pt;margin-top:72.5pt;width:27.850000000000001pt;height:10.550000000000001pt;z-index:251657741;mso-wrap-distance-left:0;mso-wrap-distance-right:0;mso-position-horizontal-relative:page" filled="f" stroked="f">
                <v:textbox inset="0,0,0,0">
                  <w:txbxContent>
                    <w:p>
                      <w:pPr>
                        <w:pStyle w:val="Style65"/>
                        <w:keepNext w:val="0"/>
                        <w:keepLines w:val="0"/>
                        <w:widowControl w:val="0"/>
                        <w:pBdr>
                          <w:top w:val="single" w:sz="0" w:space="0" w:color="0071C1"/>
                          <w:left w:val="single" w:sz="0" w:space="0" w:color="0071C1"/>
                          <w:bottom w:val="single" w:sz="0" w:space="0" w:color="0071C1"/>
                          <w:right w:val="single" w:sz="0" w:space="0" w:color="0071C1"/>
                        </w:pBdr>
                        <w:shd w:val="clear" w:color="auto" w:fill="0071C1"/>
                        <w:bidi w:val="0"/>
                        <w:spacing w:before="0" w:after="0" w:line="240" w:lineRule="auto"/>
                        <w:ind w:left="0" w:right="0" w:firstLine="0"/>
                        <w:jc w:val="left"/>
                        <w:rPr>
                          <w:sz w:val="13"/>
                          <w:szCs w:val="13"/>
                        </w:rPr>
                      </w:pPr>
                      <w:r>
                        <w:rPr>
                          <w:color w:val="FFFFFF"/>
                          <w:spacing w:val="0"/>
                          <w:w w:val="100"/>
                          <w:position w:val="0"/>
                          <w:sz w:val="13"/>
                          <w:szCs w:val="13"/>
                        </w:rPr>
                        <w:t>睡客服</w:t>
                      </w:r>
                    </w:p>
                  </w:txbxContent>
                </v:textbox>
                <w10:wrap anchorx="page"/>
              </v:shape>
            </w:pict>
          </mc:Fallback>
        </mc:AlternateContent>
      </w:r>
      <w:r>
        <mc:AlternateContent>
          <mc:Choice Requires="wps">
            <w:drawing>
              <wp:anchor distT="0" distB="0" distL="0" distR="0" simplePos="0" relativeHeight="503316496" behindDoc="0" locked="0" layoutInCell="1" allowOverlap="1">
                <wp:simplePos x="0" y="0"/>
                <wp:positionH relativeFrom="page">
                  <wp:posOffset>3160395</wp:posOffset>
                </wp:positionH>
                <wp:positionV relativeFrom="paragraph">
                  <wp:posOffset>929640</wp:posOffset>
                </wp:positionV>
                <wp:extent cx="356870" cy="128270"/>
                <wp:wrapNone/>
                <wp:docPr id="67" name="Shape 67"/>
                <a:graphic xmlns:a="http://schemas.openxmlformats.org/drawingml/2006/main">
                  <a:graphicData uri="http://schemas.microsoft.com/office/word/2010/wordprocessingShape">
                    <wps:wsp>
                      <wps:cNvSpPr txBox="1"/>
                      <wps:spPr>
                        <a:xfrm>
                          <a:ext cx="356870" cy="128270"/>
                        </a:xfrm>
                        <a:prstGeom prst="rect"/>
                        <a:noFill/>
                      </wps:spPr>
                      <wps:txbx>
                        <w:txbxContent>
                          <w:p>
                            <w:pPr>
                              <w:pStyle w:val="Style65"/>
                              <w:keepNext w:val="0"/>
                              <w:keepLines w:val="0"/>
                              <w:widowControl w:val="0"/>
                              <w:pBdr>
                                <w:top w:val="single" w:sz="0" w:space="0" w:color="0071C1"/>
                                <w:left w:val="single" w:sz="0" w:space="0" w:color="0071C1"/>
                                <w:bottom w:val="single" w:sz="0" w:space="0" w:color="0071C1"/>
                                <w:right w:val="single" w:sz="0" w:space="0" w:color="0071C1"/>
                              </w:pBdr>
                              <w:shd w:val="clear" w:color="auto" w:fill="0071C1"/>
                              <w:bidi w:val="0"/>
                              <w:spacing w:before="0" w:after="0" w:line="240" w:lineRule="auto"/>
                              <w:ind w:left="0" w:right="0" w:firstLine="0"/>
                              <w:jc w:val="both"/>
                              <w:rPr>
                                <w:sz w:val="13"/>
                                <w:szCs w:val="13"/>
                              </w:rPr>
                            </w:pPr>
                            <w:r>
                              <w:rPr>
                                <w:color w:val="FFFFFF"/>
                                <w:spacing w:val="0"/>
                                <w:w w:val="100"/>
                                <w:position w:val="0"/>
                                <w:sz w:val="13"/>
                                <w:szCs w:val="13"/>
                              </w:rPr>
                              <w:t>智虢维</w:t>
                            </w:r>
                          </w:p>
                        </w:txbxContent>
                      </wps:txbx>
                      <wps:bodyPr lIns="0" tIns="0" rIns="0" bIns="0">
                        <a:noAutoFit/>
                      </wps:bodyPr>
                    </wps:wsp>
                  </a:graphicData>
                </a:graphic>
              </wp:anchor>
            </w:drawing>
          </mc:Choice>
          <mc:Fallback>
            <w:pict>
              <v:shape id="_x0000_s1093" type="#_x0000_t202" style="position:absolute;margin-left:248.84999999999999pt;margin-top:73.200000000000003pt;width:28.100000000000001pt;height:10.1pt;z-index:251657743;mso-wrap-distance-left:0;mso-wrap-distance-right:0;mso-position-horizontal-relative:page" filled="f" stroked="f">
                <v:textbox inset="0,0,0,0">
                  <w:txbxContent>
                    <w:p>
                      <w:pPr>
                        <w:pStyle w:val="Style65"/>
                        <w:keepNext w:val="0"/>
                        <w:keepLines w:val="0"/>
                        <w:widowControl w:val="0"/>
                        <w:pBdr>
                          <w:top w:val="single" w:sz="0" w:space="0" w:color="0071C1"/>
                          <w:left w:val="single" w:sz="0" w:space="0" w:color="0071C1"/>
                          <w:bottom w:val="single" w:sz="0" w:space="0" w:color="0071C1"/>
                          <w:right w:val="single" w:sz="0" w:space="0" w:color="0071C1"/>
                        </w:pBdr>
                        <w:shd w:val="clear" w:color="auto" w:fill="0071C1"/>
                        <w:bidi w:val="0"/>
                        <w:spacing w:before="0" w:after="0" w:line="240" w:lineRule="auto"/>
                        <w:ind w:left="0" w:right="0" w:firstLine="0"/>
                        <w:jc w:val="both"/>
                        <w:rPr>
                          <w:sz w:val="13"/>
                          <w:szCs w:val="13"/>
                        </w:rPr>
                      </w:pPr>
                      <w:r>
                        <w:rPr>
                          <w:color w:val="FFFFFF"/>
                          <w:spacing w:val="0"/>
                          <w:w w:val="100"/>
                          <w:position w:val="0"/>
                          <w:sz w:val="13"/>
                          <w:szCs w:val="13"/>
                        </w:rPr>
                        <w:t>智虢维</w:t>
                      </w:r>
                    </w:p>
                  </w:txbxContent>
                </v:textbox>
                <w10:wrap anchorx="page"/>
              </v:shape>
            </w:pict>
          </mc:Fallback>
        </mc:AlternateContent>
      </w:r>
      <w:r>
        <mc:AlternateContent>
          <mc:Choice Requires="wps">
            <w:drawing>
              <wp:anchor distT="0" distB="0" distL="0" distR="0" simplePos="0" relativeHeight="503316498" behindDoc="0" locked="0" layoutInCell="1" allowOverlap="1">
                <wp:simplePos x="0" y="0"/>
                <wp:positionH relativeFrom="page">
                  <wp:posOffset>1859280</wp:posOffset>
                </wp:positionH>
                <wp:positionV relativeFrom="paragraph">
                  <wp:posOffset>975360</wp:posOffset>
                </wp:positionV>
                <wp:extent cx="353695" cy="140335"/>
                <wp:wrapNone/>
                <wp:docPr id="69" name="Shape 69"/>
                <a:graphic xmlns:a="http://schemas.openxmlformats.org/drawingml/2006/main">
                  <a:graphicData uri="http://schemas.microsoft.com/office/word/2010/wordprocessingShape">
                    <wps:wsp>
                      <wps:cNvSpPr txBox="1"/>
                      <wps:spPr>
                        <a:xfrm>
                          <a:ext cx="353695" cy="140335"/>
                        </a:xfrm>
                        <a:prstGeom prst="rect"/>
                        <a:noFill/>
                      </wps:spPr>
                      <wps:txbx>
                        <w:txbxContent>
                          <w:p>
                            <w:pPr>
                              <w:pStyle w:val="Style65"/>
                              <w:keepNext w:val="0"/>
                              <w:keepLines w:val="0"/>
                              <w:widowControl w:val="0"/>
                              <w:pBdr>
                                <w:top w:val="single" w:sz="0" w:space="0" w:color="0071C1"/>
                                <w:left w:val="single" w:sz="0" w:space="8" w:color="0071C1"/>
                                <w:bottom w:val="single" w:sz="0" w:space="0" w:color="0071C1"/>
                                <w:right w:val="single" w:sz="0" w:space="8" w:color="0071C1"/>
                              </w:pBdr>
                              <w:shd w:val="clear" w:color="auto" w:fill="0071C1"/>
                              <w:bidi w:val="0"/>
                              <w:spacing w:before="0" w:after="0" w:line="240" w:lineRule="auto"/>
                              <w:ind w:left="0" w:right="0" w:firstLine="0"/>
                              <w:jc w:val="left"/>
                              <w:rPr>
                                <w:sz w:val="14"/>
                                <w:szCs w:val="14"/>
                              </w:rPr>
                            </w:pPr>
                            <w:r>
                              <w:rPr>
                                <w:color w:val="FFFFFF"/>
                                <w:spacing w:val="0"/>
                                <w:w w:val="100"/>
                                <w:position w:val="0"/>
                                <w:sz w:val="13"/>
                                <w:szCs w:val="13"/>
                              </w:rPr>
                              <w:t>运营</w:t>
                            </w:r>
                            <w:r>
                              <w:rPr>
                                <w:rFonts w:ascii="Segoe UI" w:eastAsia="Segoe UI" w:hAnsi="Segoe UI" w:cs="Segoe UI"/>
                                <w:b/>
                                <w:bCs/>
                                <w:color w:val="FFFFFF"/>
                                <w:spacing w:val="0"/>
                                <w:w w:val="100"/>
                                <w:position w:val="0"/>
                                <w:sz w:val="14"/>
                                <w:szCs w:val="14"/>
                              </w:rPr>
                              <w:t>ts</w:t>
                            </w:r>
                          </w:p>
                        </w:txbxContent>
                      </wps:txbx>
                      <wps:bodyPr lIns="0" tIns="0" rIns="0" bIns="0">
                        <a:noAutoFit/>
                      </wps:bodyPr>
                    </wps:wsp>
                  </a:graphicData>
                </a:graphic>
              </wp:anchor>
            </w:drawing>
          </mc:Choice>
          <mc:Fallback>
            <w:pict>
              <v:shape id="_x0000_s1095" type="#_x0000_t202" style="position:absolute;margin-left:146.40000000000001pt;margin-top:76.799999999999997pt;width:27.850000000000001pt;height:11.050000000000001pt;z-index:251657745;mso-wrap-distance-left:0;mso-wrap-distance-right:0;mso-position-horizontal-relative:page" filled="f" stroked="f">
                <v:textbox inset="0,0,0,0">
                  <w:txbxContent>
                    <w:p>
                      <w:pPr>
                        <w:pStyle w:val="Style65"/>
                        <w:keepNext w:val="0"/>
                        <w:keepLines w:val="0"/>
                        <w:widowControl w:val="0"/>
                        <w:pBdr>
                          <w:top w:val="single" w:sz="0" w:space="0" w:color="0071C1"/>
                          <w:left w:val="single" w:sz="0" w:space="8" w:color="0071C1"/>
                          <w:bottom w:val="single" w:sz="0" w:space="0" w:color="0071C1"/>
                          <w:right w:val="single" w:sz="0" w:space="8" w:color="0071C1"/>
                        </w:pBdr>
                        <w:shd w:val="clear" w:color="auto" w:fill="0071C1"/>
                        <w:bidi w:val="0"/>
                        <w:spacing w:before="0" w:after="0" w:line="240" w:lineRule="auto"/>
                        <w:ind w:left="0" w:right="0" w:firstLine="0"/>
                        <w:jc w:val="left"/>
                        <w:rPr>
                          <w:sz w:val="14"/>
                          <w:szCs w:val="14"/>
                        </w:rPr>
                      </w:pPr>
                      <w:r>
                        <w:rPr>
                          <w:color w:val="FFFFFF"/>
                          <w:spacing w:val="0"/>
                          <w:w w:val="100"/>
                          <w:position w:val="0"/>
                          <w:sz w:val="13"/>
                          <w:szCs w:val="13"/>
                        </w:rPr>
                        <w:t>运营</w:t>
                      </w:r>
                      <w:r>
                        <w:rPr>
                          <w:rFonts w:ascii="Segoe UI" w:eastAsia="Segoe UI" w:hAnsi="Segoe UI" w:cs="Segoe UI"/>
                          <w:b/>
                          <w:bCs/>
                          <w:color w:val="FFFFFF"/>
                          <w:spacing w:val="0"/>
                          <w:w w:val="100"/>
                          <w:position w:val="0"/>
                          <w:sz w:val="14"/>
                          <w:szCs w:val="14"/>
                        </w:rPr>
                        <w:t>ts</w:t>
                      </w:r>
                    </w:p>
                  </w:txbxContent>
                </v:textbox>
                <w10:wrap anchorx="page"/>
              </v:shape>
            </w:pict>
          </mc:Fallback>
        </mc:AlternateContent>
      </w:r>
      <w:r>
        <mc:AlternateContent>
          <mc:Choice Requires="wps">
            <w:drawing>
              <wp:anchor distT="0" distB="0" distL="0" distR="0" simplePos="0" relativeHeight="503316500" behindDoc="0" locked="0" layoutInCell="1" allowOverlap="1">
                <wp:simplePos x="0" y="0"/>
                <wp:positionH relativeFrom="page">
                  <wp:posOffset>1264920</wp:posOffset>
                </wp:positionH>
                <wp:positionV relativeFrom="paragraph">
                  <wp:posOffset>1222375</wp:posOffset>
                </wp:positionV>
                <wp:extent cx="326390" cy="130810"/>
                <wp:wrapNone/>
                <wp:docPr id="71" name="Shape 71"/>
                <a:graphic xmlns:a="http://schemas.openxmlformats.org/drawingml/2006/main">
                  <a:graphicData uri="http://schemas.microsoft.com/office/word/2010/wordprocessingShape">
                    <wps:wsp>
                      <wps:cNvSpPr txBox="1"/>
                      <wps:spPr>
                        <a:xfrm>
                          <a:ext cx="326390" cy="130810"/>
                        </a:xfrm>
                        <a:prstGeom prst="rect"/>
                        <a:noFill/>
                      </wps:spPr>
                      <wps:txbx>
                        <w:txbxContent>
                          <w:p>
                            <w:pPr>
                              <w:pStyle w:val="Style65"/>
                              <w:keepNext w:val="0"/>
                              <w:keepLines w:val="0"/>
                              <w:widowControl w:val="0"/>
                              <w:pBdr>
                                <w:top w:val="single" w:sz="0" w:space="0" w:color="0071C1"/>
                                <w:left w:val="single" w:sz="0" w:space="8" w:color="0071C1"/>
                                <w:bottom w:val="single" w:sz="0" w:space="0" w:color="0071C1"/>
                                <w:right w:val="single" w:sz="0" w:space="8" w:color="0071C1"/>
                              </w:pBdr>
                              <w:shd w:val="clear" w:color="auto" w:fill="0071C1"/>
                              <w:bidi w:val="0"/>
                              <w:spacing w:before="0" w:after="0" w:line="240" w:lineRule="auto"/>
                              <w:ind w:left="0" w:right="0" w:firstLine="0"/>
                              <w:jc w:val="left"/>
                              <w:rPr>
                                <w:sz w:val="13"/>
                                <w:szCs w:val="13"/>
                              </w:rPr>
                            </w:pPr>
                            <w:r>
                              <w:rPr>
                                <w:rFonts w:ascii="Segoe UI" w:eastAsia="Segoe UI" w:hAnsi="Segoe UI" w:cs="Segoe UI"/>
                                <w:b/>
                                <w:bCs/>
                                <w:color w:val="FFFFFF"/>
                                <w:spacing w:val="0"/>
                                <w:w w:val="100"/>
                                <w:position w:val="0"/>
                                <w:sz w:val="14"/>
                                <w:szCs w:val="14"/>
                              </w:rPr>
                              <w:t>MV</w:t>
                            </w:r>
                            <w:r>
                              <w:rPr>
                                <w:color w:val="FFFFFF"/>
                                <w:spacing w:val="0"/>
                                <w:w w:val="100"/>
                                <w:position w:val="0"/>
                                <w:sz w:val="13"/>
                                <w:szCs w:val="13"/>
                              </w:rPr>
                              <w:t>网管</w:t>
                            </w:r>
                          </w:p>
                        </w:txbxContent>
                      </wps:txbx>
                      <wps:bodyPr lIns="0" tIns="0" rIns="0" bIns="0">
                        <a:noAutoFit/>
                      </wps:bodyPr>
                    </wps:wsp>
                  </a:graphicData>
                </a:graphic>
              </wp:anchor>
            </w:drawing>
          </mc:Choice>
          <mc:Fallback>
            <w:pict>
              <v:shape id="_x0000_s1097" type="#_x0000_t202" style="position:absolute;margin-left:99.600000000000009pt;margin-top:96.25pt;width:25.699999999999999pt;height:10.300000000000001pt;z-index:251657747;mso-wrap-distance-left:0;mso-wrap-distance-right:0;mso-position-horizontal-relative:page" filled="f" stroked="f">
                <v:textbox inset="0,0,0,0">
                  <w:txbxContent>
                    <w:p>
                      <w:pPr>
                        <w:pStyle w:val="Style65"/>
                        <w:keepNext w:val="0"/>
                        <w:keepLines w:val="0"/>
                        <w:widowControl w:val="0"/>
                        <w:pBdr>
                          <w:top w:val="single" w:sz="0" w:space="0" w:color="0071C1"/>
                          <w:left w:val="single" w:sz="0" w:space="8" w:color="0071C1"/>
                          <w:bottom w:val="single" w:sz="0" w:space="0" w:color="0071C1"/>
                          <w:right w:val="single" w:sz="0" w:space="8" w:color="0071C1"/>
                        </w:pBdr>
                        <w:shd w:val="clear" w:color="auto" w:fill="0071C1"/>
                        <w:bidi w:val="0"/>
                        <w:spacing w:before="0" w:after="0" w:line="240" w:lineRule="auto"/>
                        <w:ind w:left="0" w:right="0" w:firstLine="0"/>
                        <w:jc w:val="left"/>
                        <w:rPr>
                          <w:sz w:val="13"/>
                          <w:szCs w:val="13"/>
                        </w:rPr>
                      </w:pPr>
                      <w:r>
                        <w:rPr>
                          <w:rFonts w:ascii="Segoe UI" w:eastAsia="Segoe UI" w:hAnsi="Segoe UI" w:cs="Segoe UI"/>
                          <w:b/>
                          <w:bCs/>
                          <w:color w:val="FFFFFF"/>
                          <w:spacing w:val="0"/>
                          <w:w w:val="100"/>
                          <w:position w:val="0"/>
                          <w:sz w:val="14"/>
                          <w:szCs w:val="14"/>
                        </w:rPr>
                        <w:t>MV</w:t>
                      </w:r>
                      <w:r>
                        <w:rPr>
                          <w:color w:val="FFFFFF"/>
                          <w:spacing w:val="0"/>
                          <w:w w:val="100"/>
                          <w:position w:val="0"/>
                          <w:sz w:val="13"/>
                          <w:szCs w:val="13"/>
                        </w:rPr>
                        <w:t>网管</w:t>
                      </w:r>
                    </w:p>
                  </w:txbxContent>
                </v:textbox>
                <w10:wrap anchorx="page"/>
              </v:shape>
            </w:pict>
          </mc:Fallback>
        </mc:AlternateContent>
      </w:r>
      <w:r>
        <mc:AlternateContent>
          <mc:Choice Requires="wps">
            <w:drawing>
              <wp:anchor distT="0" distB="0" distL="0" distR="0" simplePos="0" relativeHeight="503316502" behindDoc="0" locked="0" layoutInCell="1" allowOverlap="1">
                <wp:simplePos x="0" y="0"/>
                <wp:positionH relativeFrom="page">
                  <wp:posOffset>1859280</wp:posOffset>
                </wp:positionH>
                <wp:positionV relativeFrom="paragraph">
                  <wp:posOffset>1222375</wp:posOffset>
                </wp:positionV>
                <wp:extent cx="350520" cy="130810"/>
                <wp:wrapNone/>
                <wp:docPr id="73" name="Shape 73"/>
                <a:graphic xmlns:a="http://schemas.openxmlformats.org/drawingml/2006/main">
                  <a:graphicData uri="http://schemas.microsoft.com/office/word/2010/wordprocessingShape">
                    <wps:wsp>
                      <wps:cNvSpPr txBox="1"/>
                      <wps:spPr>
                        <a:xfrm>
                          <a:ext cx="350520" cy="130810"/>
                        </a:xfrm>
                        <a:prstGeom prst="rect"/>
                        <a:noFill/>
                      </wps:spPr>
                      <wps:txbx>
                        <w:txbxContent>
                          <w:p>
                            <w:pPr>
                              <w:pStyle w:val="Style65"/>
                              <w:keepNext w:val="0"/>
                              <w:keepLines w:val="0"/>
                              <w:widowControl w:val="0"/>
                              <w:pBdr>
                                <w:top w:val="single" w:sz="0" w:space="0" w:color="0071C1"/>
                                <w:left w:val="single" w:sz="0" w:space="8" w:color="0071C1"/>
                                <w:bottom w:val="single" w:sz="0" w:space="0" w:color="0071C1"/>
                                <w:right w:val="single" w:sz="0" w:space="8" w:color="0071C1"/>
                              </w:pBdr>
                              <w:shd w:val="clear" w:color="auto" w:fill="0071C1"/>
                              <w:bidi w:val="0"/>
                              <w:spacing w:before="0" w:after="0" w:line="240" w:lineRule="auto"/>
                              <w:ind w:left="0" w:right="0" w:firstLine="0"/>
                              <w:jc w:val="left"/>
                              <w:rPr>
                                <w:sz w:val="13"/>
                                <w:szCs w:val="13"/>
                              </w:rPr>
                            </w:pPr>
                            <w:r>
                              <w:rPr>
                                <w:color w:val="FFFFFF"/>
                                <w:spacing w:val="0"/>
                                <w:w w:val="100"/>
                                <w:position w:val="0"/>
                                <w:sz w:val="13"/>
                                <w:szCs w:val="13"/>
                              </w:rPr>
                              <w:t>运维门户</w:t>
                            </w:r>
                          </w:p>
                        </w:txbxContent>
                      </wps:txbx>
                      <wps:bodyPr lIns="0" tIns="0" rIns="0" bIns="0">
                        <a:noAutoFit/>
                      </wps:bodyPr>
                    </wps:wsp>
                  </a:graphicData>
                </a:graphic>
              </wp:anchor>
            </w:drawing>
          </mc:Choice>
          <mc:Fallback>
            <w:pict>
              <v:shape id="_x0000_s1099" type="#_x0000_t202" style="position:absolute;margin-left:146.40000000000001pt;margin-top:96.25pt;width:27.600000000000001pt;height:10.300000000000001pt;z-index:251657749;mso-wrap-distance-left:0;mso-wrap-distance-right:0;mso-position-horizontal-relative:page" filled="f" stroked="f">
                <v:textbox inset="0,0,0,0">
                  <w:txbxContent>
                    <w:p>
                      <w:pPr>
                        <w:pStyle w:val="Style65"/>
                        <w:keepNext w:val="0"/>
                        <w:keepLines w:val="0"/>
                        <w:widowControl w:val="0"/>
                        <w:pBdr>
                          <w:top w:val="single" w:sz="0" w:space="0" w:color="0071C1"/>
                          <w:left w:val="single" w:sz="0" w:space="8" w:color="0071C1"/>
                          <w:bottom w:val="single" w:sz="0" w:space="0" w:color="0071C1"/>
                          <w:right w:val="single" w:sz="0" w:space="8" w:color="0071C1"/>
                        </w:pBdr>
                        <w:shd w:val="clear" w:color="auto" w:fill="0071C1"/>
                        <w:bidi w:val="0"/>
                        <w:spacing w:before="0" w:after="0" w:line="240" w:lineRule="auto"/>
                        <w:ind w:left="0" w:right="0" w:firstLine="0"/>
                        <w:jc w:val="left"/>
                        <w:rPr>
                          <w:sz w:val="13"/>
                          <w:szCs w:val="13"/>
                        </w:rPr>
                      </w:pPr>
                      <w:r>
                        <w:rPr>
                          <w:color w:val="FFFFFF"/>
                          <w:spacing w:val="0"/>
                          <w:w w:val="100"/>
                          <w:position w:val="0"/>
                          <w:sz w:val="13"/>
                          <w:szCs w:val="13"/>
                        </w:rPr>
                        <w:t>运维门户</w:t>
                      </w:r>
                    </w:p>
                  </w:txbxContent>
                </v:textbox>
                <w10:wrap anchorx="page"/>
              </v:shape>
            </w:pict>
          </mc:Fallback>
        </mc:AlternateContent>
      </w:r>
      <w:r>
        <mc:AlternateContent>
          <mc:Choice Requires="wps">
            <w:drawing>
              <wp:anchor distT="0" distB="0" distL="0" distR="0" simplePos="0" relativeHeight="503316504" behindDoc="0" locked="0" layoutInCell="1" allowOverlap="1">
                <wp:simplePos x="0" y="0"/>
                <wp:positionH relativeFrom="page">
                  <wp:posOffset>3197225</wp:posOffset>
                </wp:positionH>
                <wp:positionV relativeFrom="paragraph">
                  <wp:posOffset>1222375</wp:posOffset>
                </wp:positionV>
                <wp:extent cx="283210" cy="130810"/>
                <wp:wrapNone/>
                <wp:docPr id="75" name="Shape 75"/>
                <a:graphic xmlns:a="http://schemas.openxmlformats.org/drawingml/2006/main">
                  <a:graphicData uri="http://schemas.microsoft.com/office/word/2010/wordprocessingShape">
                    <wps:wsp>
                      <wps:cNvSpPr txBox="1"/>
                      <wps:spPr>
                        <a:xfrm>
                          <a:ext cx="283210" cy="130810"/>
                        </a:xfrm>
                        <a:prstGeom prst="rect"/>
                        <a:noFill/>
                      </wps:spPr>
                      <wps:txbx>
                        <w:txbxContent>
                          <w:p>
                            <w:pPr>
                              <w:pStyle w:val="Style65"/>
                              <w:keepNext w:val="0"/>
                              <w:keepLines w:val="0"/>
                              <w:widowControl w:val="0"/>
                              <w:pBdr>
                                <w:top w:val="single" w:sz="0" w:space="0" w:color="0071C1"/>
                                <w:left w:val="single" w:sz="0" w:space="0" w:color="0071C1"/>
                                <w:bottom w:val="single" w:sz="0" w:space="0" w:color="0071C1"/>
                                <w:right w:val="single" w:sz="0" w:space="0" w:color="0071C1"/>
                              </w:pBdr>
                              <w:shd w:val="clear" w:color="auto" w:fill="0071C1"/>
                              <w:bidi w:val="0"/>
                              <w:spacing w:before="0" w:after="0" w:line="240" w:lineRule="auto"/>
                              <w:ind w:left="0" w:right="0" w:firstLine="0"/>
                              <w:jc w:val="left"/>
                              <w:rPr>
                                <w:sz w:val="13"/>
                                <w:szCs w:val="13"/>
                              </w:rPr>
                            </w:pPr>
                            <w:r>
                              <w:rPr>
                                <w:color w:val="FFFFFF"/>
                                <w:spacing w:val="0"/>
                                <w:w w:val="100"/>
                                <w:position w:val="0"/>
                                <w:sz w:val="13"/>
                                <w:szCs w:val="13"/>
                              </w:rPr>
                              <w:t>供应链</w:t>
                            </w:r>
                          </w:p>
                        </w:txbxContent>
                      </wps:txbx>
                      <wps:bodyPr lIns="0" tIns="0" rIns="0" bIns="0">
                        <a:noAutoFit/>
                      </wps:bodyPr>
                    </wps:wsp>
                  </a:graphicData>
                </a:graphic>
              </wp:anchor>
            </w:drawing>
          </mc:Choice>
          <mc:Fallback>
            <w:pict>
              <v:shape id="_x0000_s1101" type="#_x0000_t202" style="position:absolute;margin-left:251.75pt;margin-top:96.25pt;width:22.300000000000001pt;height:10.300000000000001pt;z-index:251657751;mso-wrap-distance-left:0;mso-wrap-distance-right:0;mso-position-horizontal-relative:page" filled="f" stroked="f">
                <v:textbox inset="0,0,0,0">
                  <w:txbxContent>
                    <w:p>
                      <w:pPr>
                        <w:pStyle w:val="Style65"/>
                        <w:keepNext w:val="0"/>
                        <w:keepLines w:val="0"/>
                        <w:widowControl w:val="0"/>
                        <w:pBdr>
                          <w:top w:val="single" w:sz="0" w:space="0" w:color="0071C1"/>
                          <w:left w:val="single" w:sz="0" w:space="0" w:color="0071C1"/>
                          <w:bottom w:val="single" w:sz="0" w:space="0" w:color="0071C1"/>
                          <w:right w:val="single" w:sz="0" w:space="0" w:color="0071C1"/>
                        </w:pBdr>
                        <w:shd w:val="clear" w:color="auto" w:fill="0071C1"/>
                        <w:bidi w:val="0"/>
                        <w:spacing w:before="0" w:after="0" w:line="240" w:lineRule="auto"/>
                        <w:ind w:left="0" w:right="0" w:firstLine="0"/>
                        <w:jc w:val="left"/>
                        <w:rPr>
                          <w:sz w:val="13"/>
                          <w:szCs w:val="13"/>
                        </w:rPr>
                      </w:pPr>
                      <w:r>
                        <w:rPr>
                          <w:color w:val="FFFFFF"/>
                          <w:spacing w:val="0"/>
                          <w:w w:val="100"/>
                          <w:position w:val="0"/>
                          <w:sz w:val="13"/>
                          <w:szCs w:val="13"/>
                        </w:rPr>
                        <w:t>供应链</w:t>
                      </w:r>
                    </w:p>
                  </w:txbxContent>
                </v:textbox>
                <w10:wrap anchorx="page"/>
              </v:shape>
            </w:pict>
          </mc:Fallback>
        </mc:AlternateContent>
      </w:r>
      <w:r>
        <mc:AlternateContent>
          <mc:Choice Requires="wps">
            <w:drawing>
              <wp:anchor distT="0" distB="0" distL="0" distR="0" simplePos="0" relativeHeight="503316506" behindDoc="0" locked="0" layoutInCell="1" allowOverlap="1">
                <wp:simplePos x="0" y="0"/>
                <wp:positionH relativeFrom="page">
                  <wp:posOffset>3769995</wp:posOffset>
                </wp:positionH>
                <wp:positionV relativeFrom="paragraph">
                  <wp:posOffset>1225550</wp:posOffset>
                </wp:positionV>
                <wp:extent cx="353695" cy="128270"/>
                <wp:wrapNone/>
                <wp:docPr id="77" name="Shape 77"/>
                <a:graphic xmlns:a="http://schemas.openxmlformats.org/drawingml/2006/main">
                  <a:graphicData uri="http://schemas.microsoft.com/office/word/2010/wordprocessingShape">
                    <wps:wsp>
                      <wps:cNvSpPr txBox="1"/>
                      <wps:spPr>
                        <a:xfrm>
                          <a:ext cx="353695" cy="128270"/>
                        </a:xfrm>
                        <a:prstGeom prst="rect"/>
                        <a:noFill/>
                      </wps:spPr>
                      <wps:txbx>
                        <w:txbxContent>
                          <w:p>
                            <w:pPr>
                              <w:pStyle w:val="Style65"/>
                              <w:keepNext w:val="0"/>
                              <w:keepLines w:val="0"/>
                              <w:widowControl w:val="0"/>
                              <w:pBdr>
                                <w:top w:val="single" w:sz="0" w:space="0" w:color="0071C1"/>
                                <w:left w:val="single" w:sz="0" w:space="0" w:color="0071C1"/>
                                <w:bottom w:val="single" w:sz="0" w:space="0" w:color="0071C1"/>
                                <w:right w:val="single" w:sz="0" w:space="0" w:color="0071C1"/>
                              </w:pBdr>
                              <w:shd w:val="clear" w:color="auto" w:fill="0071C1"/>
                              <w:bidi w:val="0"/>
                              <w:spacing w:before="0" w:after="0" w:line="240" w:lineRule="auto"/>
                              <w:ind w:left="0" w:right="0" w:firstLine="0"/>
                              <w:jc w:val="left"/>
                              <w:rPr>
                                <w:sz w:val="13"/>
                                <w:szCs w:val="13"/>
                              </w:rPr>
                            </w:pPr>
                            <w:r>
                              <w:rPr>
                                <w:color w:val="FFFFFF"/>
                                <w:spacing w:val="0"/>
                                <w:w w:val="100"/>
                                <w:position w:val="0"/>
                                <w:sz w:val="13"/>
                                <w:szCs w:val="13"/>
                              </w:rPr>
                              <w:t>^^公</w:t>
                            </w:r>
                          </w:p>
                        </w:txbxContent>
                      </wps:txbx>
                      <wps:bodyPr lIns="0" tIns="0" rIns="0" bIns="0">
                        <a:noAutoFit/>
                      </wps:bodyPr>
                    </wps:wsp>
                  </a:graphicData>
                </a:graphic>
              </wp:anchor>
            </w:drawing>
          </mc:Choice>
          <mc:Fallback>
            <w:pict>
              <v:shape id="_x0000_s1103" type="#_x0000_t202" style="position:absolute;margin-left:296.85000000000002pt;margin-top:96.5pt;width:27.850000000000001pt;height:10.1pt;z-index:251657753;mso-wrap-distance-left:0;mso-wrap-distance-right:0;mso-position-horizontal-relative:page" filled="f" stroked="f">
                <v:textbox inset="0,0,0,0">
                  <w:txbxContent>
                    <w:p>
                      <w:pPr>
                        <w:pStyle w:val="Style65"/>
                        <w:keepNext w:val="0"/>
                        <w:keepLines w:val="0"/>
                        <w:widowControl w:val="0"/>
                        <w:pBdr>
                          <w:top w:val="single" w:sz="0" w:space="0" w:color="0071C1"/>
                          <w:left w:val="single" w:sz="0" w:space="0" w:color="0071C1"/>
                          <w:bottom w:val="single" w:sz="0" w:space="0" w:color="0071C1"/>
                          <w:right w:val="single" w:sz="0" w:space="0" w:color="0071C1"/>
                        </w:pBdr>
                        <w:shd w:val="clear" w:color="auto" w:fill="0071C1"/>
                        <w:bidi w:val="0"/>
                        <w:spacing w:before="0" w:after="0" w:line="240" w:lineRule="auto"/>
                        <w:ind w:left="0" w:right="0" w:firstLine="0"/>
                        <w:jc w:val="left"/>
                        <w:rPr>
                          <w:sz w:val="13"/>
                          <w:szCs w:val="13"/>
                        </w:rPr>
                      </w:pPr>
                      <w:r>
                        <w:rPr>
                          <w:color w:val="FFFFFF"/>
                          <w:spacing w:val="0"/>
                          <w:w w:val="100"/>
                          <w:position w:val="0"/>
                          <w:sz w:val="13"/>
                          <w:szCs w:val="13"/>
                        </w:rPr>
                        <w:t>^^公</w:t>
                      </w:r>
                    </w:p>
                  </w:txbxContent>
                </v:textbox>
                <w10:wrap anchorx="page"/>
              </v:shape>
            </w:pict>
          </mc:Fallback>
        </mc:AlternateContent>
      </w:r>
      <w:r>
        <mc:AlternateContent>
          <mc:Choice Requires="wps">
            <w:drawing>
              <wp:anchor distT="0" distB="0" distL="0" distR="0" simplePos="0" relativeHeight="503316508" behindDoc="0" locked="0" layoutInCell="1" allowOverlap="1">
                <wp:simplePos x="0" y="0"/>
                <wp:positionH relativeFrom="page">
                  <wp:posOffset>2472055</wp:posOffset>
                </wp:positionH>
                <wp:positionV relativeFrom="paragraph">
                  <wp:posOffset>1231265</wp:posOffset>
                </wp:positionV>
                <wp:extent cx="521335" cy="128270"/>
                <wp:wrapNone/>
                <wp:docPr id="79" name="Shape 79"/>
                <a:graphic xmlns:a="http://schemas.openxmlformats.org/drawingml/2006/main">
                  <a:graphicData uri="http://schemas.microsoft.com/office/word/2010/wordprocessingShape">
                    <wps:wsp>
                      <wps:cNvSpPr txBox="1"/>
                      <wps:spPr>
                        <a:xfrm>
                          <a:ext cx="521335" cy="128270"/>
                        </a:xfrm>
                        <a:prstGeom prst="rect"/>
                        <a:noFill/>
                      </wps:spPr>
                      <wps:txbx>
                        <w:txbxContent>
                          <w:p>
                            <w:pPr>
                              <w:pStyle w:val="Style65"/>
                              <w:keepNext w:val="0"/>
                              <w:keepLines w:val="0"/>
                              <w:widowControl w:val="0"/>
                              <w:pBdr>
                                <w:top w:val="single" w:sz="0" w:space="0" w:color="0071C1"/>
                                <w:left w:val="single" w:sz="0" w:space="0" w:color="0071C1"/>
                                <w:bottom w:val="single" w:sz="0" w:space="0" w:color="0071C1"/>
                                <w:right w:val="single" w:sz="0" w:space="0" w:color="0071C1"/>
                              </w:pBdr>
                              <w:shd w:val="clear" w:color="auto" w:fill="0071C1"/>
                              <w:bidi w:val="0"/>
                              <w:spacing w:before="0" w:after="0" w:line="240" w:lineRule="auto"/>
                              <w:ind w:left="0" w:right="0" w:firstLine="0"/>
                              <w:jc w:val="left"/>
                              <w:rPr>
                                <w:sz w:val="13"/>
                                <w:szCs w:val="13"/>
                              </w:rPr>
                            </w:pPr>
                            <w:r>
                              <w:rPr>
                                <w:color w:val="FFFFFF"/>
                                <w:spacing w:val="0"/>
                                <w:w w:val="100"/>
                                <w:position w:val="0"/>
                                <w:sz w:val="13"/>
                                <w:szCs w:val="13"/>
                              </w:rPr>
                              <w:t>智能电子运维</w:t>
                            </w:r>
                          </w:p>
                        </w:txbxContent>
                      </wps:txbx>
                      <wps:bodyPr lIns="0" tIns="0" rIns="0" bIns="0">
                        <a:noAutoFit/>
                      </wps:bodyPr>
                    </wps:wsp>
                  </a:graphicData>
                </a:graphic>
              </wp:anchor>
            </w:drawing>
          </mc:Choice>
          <mc:Fallback>
            <w:pict>
              <v:shape id="_x0000_s1105" type="#_x0000_t202" style="position:absolute;margin-left:194.65000000000001pt;margin-top:96.950000000000003pt;width:41.050000000000004pt;height:10.1pt;z-index:251657755;mso-wrap-distance-left:0;mso-wrap-distance-right:0;mso-position-horizontal-relative:page" filled="f" stroked="f">
                <v:textbox inset="0,0,0,0">
                  <w:txbxContent>
                    <w:p>
                      <w:pPr>
                        <w:pStyle w:val="Style65"/>
                        <w:keepNext w:val="0"/>
                        <w:keepLines w:val="0"/>
                        <w:widowControl w:val="0"/>
                        <w:pBdr>
                          <w:top w:val="single" w:sz="0" w:space="0" w:color="0071C1"/>
                          <w:left w:val="single" w:sz="0" w:space="0" w:color="0071C1"/>
                          <w:bottom w:val="single" w:sz="0" w:space="0" w:color="0071C1"/>
                          <w:right w:val="single" w:sz="0" w:space="0" w:color="0071C1"/>
                        </w:pBdr>
                        <w:shd w:val="clear" w:color="auto" w:fill="0071C1"/>
                        <w:bidi w:val="0"/>
                        <w:spacing w:before="0" w:after="0" w:line="240" w:lineRule="auto"/>
                        <w:ind w:left="0" w:right="0" w:firstLine="0"/>
                        <w:jc w:val="left"/>
                        <w:rPr>
                          <w:sz w:val="13"/>
                          <w:szCs w:val="13"/>
                        </w:rPr>
                      </w:pPr>
                      <w:r>
                        <w:rPr>
                          <w:color w:val="FFFFFF"/>
                          <w:spacing w:val="0"/>
                          <w:w w:val="100"/>
                          <w:position w:val="0"/>
                          <w:sz w:val="13"/>
                          <w:szCs w:val="13"/>
                        </w:rPr>
                        <w:t>智能电子运维</w:t>
                      </w:r>
                    </w:p>
                  </w:txbxContent>
                </v:textbox>
                <w10:wrap anchorx="page"/>
              </v:shape>
            </w:pict>
          </mc:Fallback>
        </mc:AlternateContent>
      </w:r>
      <w:r>
        <mc:AlternateContent>
          <mc:Choice Requires="wps">
            <w:drawing>
              <wp:anchor distT="0" distB="0" distL="0" distR="0" simplePos="0" relativeHeight="503316510" behindDoc="0" locked="0" layoutInCell="1" allowOverlap="1">
                <wp:simplePos x="0" y="0"/>
                <wp:positionH relativeFrom="page">
                  <wp:posOffset>1779905</wp:posOffset>
                </wp:positionH>
                <wp:positionV relativeFrom="paragraph">
                  <wp:posOffset>1520825</wp:posOffset>
                </wp:positionV>
                <wp:extent cx="514985" cy="137160"/>
                <wp:wrapNone/>
                <wp:docPr id="81" name="Shape 81"/>
                <a:graphic xmlns:a="http://schemas.openxmlformats.org/drawingml/2006/main">
                  <a:graphicData uri="http://schemas.microsoft.com/office/word/2010/wordprocessingShape">
                    <wps:wsp>
                      <wps:cNvSpPr txBox="1"/>
                      <wps:spPr>
                        <a:xfrm>
                          <a:ext cx="514985" cy="137160"/>
                        </a:xfrm>
                        <a:prstGeom prst="rect"/>
                        <a:noFill/>
                      </wps:spPr>
                      <wps:txbx>
                        <w:txbxContent>
                          <w:p>
                            <w:pPr>
                              <w:pStyle w:val="Style65"/>
                              <w:keepNext w:val="0"/>
                              <w:keepLines w:val="0"/>
                              <w:widowControl w:val="0"/>
                              <w:pBdr>
                                <w:top w:val="single" w:sz="0" w:space="0" w:color="0071C1"/>
                                <w:left w:val="single" w:sz="0" w:space="8" w:color="0071C1"/>
                                <w:bottom w:val="single" w:sz="0" w:space="0" w:color="0071C1"/>
                                <w:right w:val="single" w:sz="0" w:space="8" w:color="0071C1"/>
                              </w:pBdr>
                              <w:shd w:val="clear" w:color="auto" w:fill="0071C1"/>
                              <w:bidi w:val="0"/>
                              <w:spacing w:before="0" w:after="0" w:line="240" w:lineRule="auto"/>
                              <w:ind w:left="0" w:right="0" w:firstLine="0"/>
                              <w:jc w:val="both"/>
                              <w:rPr>
                                <w:sz w:val="14"/>
                                <w:szCs w:val="14"/>
                              </w:rPr>
                            </w:pPr>
                            <w:r>
                              <w:rPr>
                                <w:color w:val="FFFFFF"/>
                                <w:spacing w:val="0"/>
                                <w:w w:val="100"/>
                                <w:position w:val="0"/>
                                <w:sz w:val="13"/>
                                <w:szCs w:val="13"/>
                              </w:rPr>
                              <w:t>资源运营</w:t>
                            </w:r>
                            <w:r>
                              <w:rPr>
                                <w:rFonts w:ascii="Segoe UI" w:eastAsia="Segoe UI" w:hAnsi="Segoe UI" w:cs="Segoe UI"/>
                                <w:b/>
                                <w:bCs/>
                                <w:color w:val="FFFFFF"/>
                                <w:spacing w:val="0"/>
                                <w:w w:val="100"/>
                                <w:position w:val="0"/>
                                <w:sz w:val="14"/>
                                <w:szCs w:val="14"/>
                              </w:rPr>
                              <w:t>IS</w:t>
                            </w:r>
                          </w:p>
                        </w:txbxContent>
                      </wps:txbx>
                      <wps:bodyPr lIns="0" tIns="0" rIns="0" bIns="0">
                        <a:noAutoFit/>
                      </wps:bodyPr>
                    </wps:wsp>
                  </a:graphicData>
                </a:graphic>
              </wp:anchor>
            </w:drawing>
          </mc:Choice>
          <mc:Fallback>
            <w:pict>
              <v:shape id="_x0000_s1107" type="#_x0000_t202" style="position:absolute;margin-left:140.15000000000001pt;margin-top:119.75pt;width:40.550000000000004pt;height:10.800000000000001pt;z-index:251657757;mso-wrap-distance-left:0;mso-wrap-distance-right:0;mso-position-horizontal-relative:page" filled="f" stroked="f">
                <v:textbox inset="0,0,0,0">
                  <w:txbxContent>
                    <w:p>
                      <w:pPr>
                        <w:pStyle w:val="Style65"/>
                        <w:keepNext w:val="0"/>
                        <w:keepLines w:val="0"/>
                        <w:widowControl w:val="0"/>
                        <w:pBdr>
                          <w:top w:val="single" w:sz="0" w:space="0" w:color="0071C1"/>
                          <w:left w:val="single" w:sz="0" w:space="8" w:color="0071C1"/>
                          <w:bottom w:val="single" w:sz="0" w:space="0" w:color="0071C1"/>
                          <w:right w:val="single" w:sz="0" w:space="8" w:color="0071C1"/>
                        </w:pBdr>
                        <w:shd w:val="clear" w:color="auto" w:fill="0071C1"/>
                        <w:bidi w:val="0"/>
                        <w:spacing w:before="0" w:after="0" w:line="240" w:lineRule="auto"/>
                        <w:ind w:left="0" w:right="0" w:firstLine="0"/>
                        <w:jc w:val="both"/>
                        <w:rPr>
                          <w:sz w:val="14"/>
                          <w:szCs w:val="14"/>
                        </w:rPr>
                      </w:pPr>
                      <w:r>
                        <w:rPr>
                          <w:color w:val="FFFFFF"/>
                          <w:spacing w:val="0"/>
                          <w:w w:val="100"/>
                          <w:position w:val="0"/>
                          <w:sz w:val="13"/>
                          <w:szCs w:val="13"/>
                        </w:rPr>
                        <w:t>资源运营</w:t>
                      </w:r>
                      <w:r>
                        <w:rPr>
                          <w:rFonts w:ascii="Segoe UI" w:eastAsia="Segoe UI" w:hAnsi="Segoe UI" w:cs="Segoe UI"/>
                          <w:b/>
                          <w:bCs/>
                          <w:color w:val="FFFFFF"/>
                          <w:spacing w:val="0"/>
                          <w:w w:val="100"/>
                          <w:position w:val="0"/>
                          <w:sz w:val="14"/>
                          <w:szCs w:val="14"/>
                        </w:rPr>
                        <w:t>IS</w:t>
                      </w:r>
                    </w:p>
                  </w:txbxContent>
                </v:textbox>
                <w10:wrap anchorx="page"/>
              </v:shape>
            </w:pict>
          </mc:Fallback>
        </mc:AlternateContent>
      </w:r>
      <w:r>
        <mc:AlternateContent>
          <mc:Choice Requires="wps">
            <w:drawing>
              <wp:anchor distT="0" distB="0" distL="0" distR="0" simplePos="0" relativeHeight="503316512" behindDoc="0" locked="0" layoutInCell="1" allowOverlap="1">
                <wp:simplePos x="0" y="0"/>
                <wp:positionH relativeFrom="page">
                  <wp:posOffset>2550795</wp:posOffset>
                </wp:positionH>
                <wp:positionV relativeFrom="paragraph">
                  <wp:posOffset>1520825</wp:posOffset>
                </wp:positionV>
                <wp:extent cx="362585" cy="133985"/>
                <wp:wrapNone/>
                <wp:docPr id="83" name="Shape 83"/>
                <a:graphic xmlns:a="http://schemas.openxmlformats.org/drawingml/2006/main">
                  <a:graphicData uri="http://schemas.microsoft.com/office/word/2010/wordprocessingShape">
                    <wps:wsp>
                      <wps:cNvSpPr txBox="1"/>
                      <wps:spPr>
                        <a:xfrm>
                          <a:ext cx="362585" cy="133985"/>
                        </a:xfrm>
                        <a:prstGeom prst="rect"/>
                        <a:noFill/>
                      </wps:spPr>
                      <wps:txbx>
                        <w:txbxContent>
                          <w:p>
                            <w:pPr>
                              <w:pStyle w:val="Style65"/>
                              <w:keepNext w:val="0"/>
                              <w:keepLines w:val="0"/>
                              <w:widowControl w:val="0"/>
                              <w:pBdr>
                                <w:top w:val="single" w:sz="0" w:space="0" w:color="0071C1"/>
                                <w:left w:val="single" w:sz="0" w:space="0" w:color="0071C1"/>
                                <w:bottom w:val="single" w:sz="0" w:space="0" w:color="0071C1"/>
                                <w:right w:val="single" w:sz="0" w:space="0" w:color="0071C1"/>
                              </w:pBdr>
                              <w:shd w:val="clear" w:color="auto" w:fill="0071C1"/>
                              <w:bidi w:val="0"/>
                              <w:spacing w:before="0" w:after="0" w:line="240" w:lineRule="auto"/>
                              <w:ind w:left="0" w:right="0" w:firstLine="0"/>
                              <w:jc w:val="left"/>
                              <w:rPr>
                                <w:sz w:val="13"/>
                                <w:szCs w:val="13"/>
                              </w:rPr>
                            </w:pPr>
                            <w:r>
                              <w:rPr>
                                <w:color w:val="FFFFFF"/>
                                <w:spacing w:val="0"/>
                                <w:w w:val="100"/>
                                <w:position w:val="0"/>
                                <w:sz w:val="13"/>
                                <w:szCs w:val="13"/>
                              </w:rPr>
                              <w:t>项目管理</w:t>
                            </w:r>
                          </w:p>
                        </w:txbxContent>
                      </wps:txbx>
                      <wps:bodyPr lIns="0" tIns="0" rIns="0" bIns="0">
                        <a:noAutoFit/>
                      </wps:bodyPr>
                    </wps:wsp>
                  </a:graphicData>
                </a:graphic>
              </wp:anchor>
            </w:drawing>
          </mc:Choice>
          <mc:Fallback>
            <w:pict>
              <v:shape id="_x0000_s1109" type="#_x0000_t202" style="position:absolute;margin-left:200.84999999999999pt;margin-top:119.75pt;width:28.550000000000001pt;height:10.550000000000001pt;z-index:251657759;mso-wrap-distance-left:0;mso-wrap-distance-right:0;mso-position-horizontal-relative:page" filled="f" stroked="f">
                <v:textbox inset="0,0,0,0">
                  <w:txbxContent>
                    <w:p>
                      <w:pPr>
                        <w:pStyle w:val="Style65"/>
                        <w:keepNext w:val="0"/>
                        <w:keepLines w:val="0"/>
                        <w:widowControl w:val="0"/>
                        <w:pBdr>
                          <w:top w:val="single" w:sz="0" w:space="0" w:color="0071C1"/>
                          <w:left w:val="single" w:sz="0" w:space="0" w:color="0071C1"/>
                          <w:bottom w:val="single" w:sz="0" w:space="0" w:color="0071C1"/>
                          <w:right w:val="single" w:sz="0" w:space="0" w:color="0071C1"/>
                        </w:pBdr>
                        <w:shd w:val="clear" w:color="auto" w:fill="0071C1"/>
                        <w:bidi w:val="0"/>
                        <w:spacing w:before="0" w:after="0" w:line="240" w:lineRule="auto"/>
                        <w:ind w:left="0" w:right="0" w:firstLine="0"/>
                        <w:jc w:val="left"/>
                        <w:rPr>
                          <w:sz w:val="13"/>
                          <w:szCs w:val="13"/>
                        </w:rPr>
                      </w:pPr>
                      <w:r>
                        <w:rPr>
                          <w:color w:val="FFFFFF"/>
                          <w:spacing w:val="0"/>
                          <w:w w:val="100"/>
                          <w:position w:val="0"/>
                          <w:sz w:val="13"/>
                          <w:szCs w:val="13"/>
                        </w:rPr>
                        <w:t>项目管理</w:t>
                      </w:r>
                    </w:p>
                  </w:txbxContent>
                </v:textbox>
                <w10:wrap anchorx="page"/>
              </v:shape>
            </w:pict>
          </mc:Fallback>
        </mc:AlternateContent>
      </w:r>
      <w:r>
        <mc:AlternateContent>
          <mc:Choice Requires="wps">
            <w:drawing>
              <wp:anchor distT="0" distB="0" distL="0" distR="0" simplePos="0" relativeHeight="503316514" behindDoc="0" locked="0" layoutInCell="1" allowOverlap="1">
                <wp:simplePos x="0" y="0"/>
                <wp:positionH relativeFrom="page">
                  <wp:posOffset>1246505</wp:posOffset>
                </wp:positionH>
                <wp:positionV relativeFrom="paragraph">
                  <wp:posOffset>1466215</wp:posOffset>
                </wp:positionV>
                <wp:extent cx="356870" cy="252730"/>
                <wp:wrapNone/>
                <wp:docPr id="85" name="Shape 85"/>
                <a:graphic xmlns:a="http://schemas.openxmlformats.org/drawingml/2006/main">
                  <a:graphicData uri="http://schemas.microsoft.com/office/word/2010/wordprocessingShape">
                    <wps:wsp>
                      <wps:cNvSpPr txBox="1"/>
                      <wps:spPr>
                        <a:xfrm>
                          <a:ext cx="356870" cy="252730"/>
                        </a:xfrm>
                        <a:prstGeom prst="rect"/>
                        <a:noFill/>
                      </wps:spPr>
                      <wps:txbx>
                        <w:txbxContent>
                          <w:p>
                            <w:pPr>
                              <w:pStyle w:val="Style65"/>
                              <w:keepNext w:val="0"/>
                              <w:keepLines w:val="0"/>
                              <w:widowControl w:val="0"/>
                              <w:pBdr>
                                <w:top w:val="single" w:sz="0" w:space="1" w:color="0071C1"/>
                                <w:left w:val="single" w:sz="0" w:space="7" w:color="0071C1"/>
                                <w:bottom w:val="single" w:sz="0" w:space="2" w:color="0071C1"/>
                                <w:right w:val="single" w:sz="0" w:space="7" w:color="0071C1"/>
                              </w:pBdr>
                              <w:shd w:val="clear" w:color="auto" w:fill="0071C1"/>
                              <w:bidi w:val="0"/>
                              <w:spacing w:before="0" w:after="0" w:line="240" w:lineRule="auto"/>
                              <w:ind w:left="0" w:right="0" w:firstLine="0"/>
                              <w:jc w:val="left"/>
                              <w:rPr>
                                <w:sz w:val="13"/>
                                <w:szCs w:val="13"/>
                              </w:rPr>
                            </w:pPr>
                            <w:r>
                              <w:rPr>
                                <w:color w:val="FFFFFF"/>
                                <w:spacing w:val="0"/>
                                <w:w w:val="100"/>
                                <w:position w:val="0"/>
                                <w:sz w:val="13"/>
                                <w:szCs w:val="13"/>
                              </w:rPr>
                              <w:t>智能融</w:t>
                            </w:r>
                          </w:p>
                          <w:p>
                            <w:pPr>
                              <w:pStyle w:val="Style65"/>
                              <w:keepNext w:val="0"/>
                              <w:keepLines w:val="0"/>
                              <w:widowControl w:val="0"/>
                              <w:pBdr>
                                <w:top w:val="single" w:sz="0" w:space="1" w:color="0071C1"/>
                                <w:left w:val="single" w:sz="0" w:space="7" w:color="0071C1"/>
                                <w:bottom w:val="single" w:sz="0" w:space="2" w:color="0071C1"/>
                                <w:right w:val="single" w:sz="0" w:space="7" w:color="0071C1"/>
                              </w:pBdr>
                              <w:shd w:val="clear" w:color="auto" w:fill="0071C1"/>
                              <w:bidi w:val="0"/>
                              <w:spacing w:before="0" w:after="0" w:line="199" w:lineRule="auto"/>
                              <w:ind w:left="0" w:right="0" w:firstLine="0"/>
                              <w:jc w:val="left"/>
                              <w:rPr>
                                <w:sz w:val="18"/>
                                <w:szCs w:val="18"/>
                              </w:rPr>
                            </w:pPr>
                            <w:r>
                              <w:rPr>
                                <w:rFonts w:ascii="Times New Roman" w:eastAsia="Times New Roman" w:hAnsi="Times New Roman" w:cs="Times New Roman"/>
                                <w:b/>
                                <w:bCs/>
                                <w:color w:val="FFFFFF"/>
                                <w:spacing w:val="0"/>
                                <w:w w:val="100"/>
                                <w:position w:val="0"/>
                                <w:sz w:val="18"/>
                                <w:szCs w:val="18"/>
                              </w:rPr>
                              <w:t>(AlQps)</w:t>
                            </w:r>
                          </w:p>
                        </w:txbxContent>
                      </wps:txbx>
                      <wps:bodyPr lIns="0" tIns="0" rIns="0" bIns="0">
                        <a:noAutoFit/>
                      </wps:bodyPr>
                    </wps:wsp>
                  </a:graphicData>
                </a:graphic>
              </wp:anchor>
            </w:drawing>
          </mc:Choice>
          <mc:Fallback>
            <w:pict>
              <v:shape id="_x0000_s1111" type="#_x0000_t202" style="position:absolute;margin-left:98.150000000000006pt;margin-top:115.45pt;width:28.100000000000001pt;height:19.900000000000002pt;z-index:251657761;mso-wrap-distance-left:0;mso-wrap-distance-right:0;mso-position-horizontal-relative:page" filled="f" stroked="f">
                <v:textbox inset="0,0,0,0">
                  <w:txbxContent>
                    <w:p>
                      <w:pPr>
                        <w:pStyle w:val="Style65"/>
                        <w:keepNext w:val="0"/>
                        <w:keepLines w:val="0"/>
                        <w:widowControl w:val="0"/>
                        <w:pBdr>
                          <w:top w:val="single" w:sz="0" w:space="1" w:color="0071C1"/>
                          <w:left w:val="single" w:sz="0" w:space="7" w:color="0071C1"/>
                          <w:bottom w:val="single" w:sz="0" w:space="2" w:color="0071C1"/>
                          <w:right w:val="single" w:sz="0" w:space="7" w:color="0071C1"/>
                        </w:pBdr>
                        <w:shd w:val="clear" w:color="auto" w:fill="0071C1"/>
                        <w:bidi w:val="0"/>
                        <w:spacing w:before="0" w:after="0" w:line="240" w:lineRule="auto"/>
                        <w:ind w:left="0" w:right="0" w:firstLine="0"/>
                        <w:jc w:val="left"/>
                        <w:rPr>
                          <w:sz w:val="13"/>
                          <w:szCs w:val="13"/>
                        </w:rPr>
                      </w:pPr>
                      <w:r>
                        <w:rPr>
                          <w:color w:val="FFFFFF"/>
                          <w:spacing w:val="0"/>
                          <w:w w:val="100"/>
                          <w:position w:val="0"/>
                          <w:sz w:val="13"/>
                          <w:szCs w:val="13"/>
                        </w:rPr>
                        <w:t>智能融</w:t>
                      </w:r>
                    </w:p>
                    <w:p>
                      <w:pPr>
                        <w:pStyle w:val="Style65"/>
                        <w:keepNext w:val="0"/>
                        <w:keepLines w:val="0"/>
                        <w:widowControl w:val="0"/>
                        <w:pBdr>
                          <w:top w:val="single" w:sz="0" w:space="1" w:color="0071C1"/>
                          <w:left w:val="single" w:sz="0" w:space="7" w:color="0071C1"/>
                          <w:bottom w:val="single" w:sz="0" w:space="2" w:color="0071C1"/>
                          <w:right w:val="single" w:sz="0" w:space="7" w:color="0071C1"/>
                        </w:pBdr>
                        <w:shd w:val="clear" w:color="auto" w:fill="0071C1"/>
                        <w:bidi w:val="0"/>
                        <w:spacing w:before="0" w:after="0" w:line="199" w:lineRule="auto"/>
                        <w:ind w:left="0" w:right="0" w:firstLine="0"/>
                        <w:jc w:val="left"/>
                        <w:rPr>
                          <w:sz w:val="18"/>
                          <w:szCs w:val="18"/>
                        </w:rPr>
                      </w:pPr>
                      <w:r>
                        <w:rPr>
                          <w:rFonts w:ascii="Times New Roman" w:eastAsia="Times New Roman" w:hAnsi="Times New Roman" w:cs="Times New Roman"/>
                          <w:b/>
                          <w:bCs/>
                          <w:color w:val="FFFFFF"/>
                          <w:spacing w:val="0"/>
                          <w:w w:val="100"/>
                          <w:position w:val="0"/>
                          <w:sz w:val="18"/>
                          <w:szCs w:val="18"/>
                        </w:rPr>
                        <w:t>(AlQps)</w:t>
                      </w:r>
                    </w:p>
                  </w:txbxContent>
                </v:textbox>
                <w10:wrap anchorx="page"/>
              </v:shape>
            </w:pict>
          </mc:Fallback>
        </mc:AlternateContent>
      </w:r>
      <w:r>
        <mc:AlternateContent>
          <mc:Choice Requires="wps">
            <w:drawing>
              <wp:anchor distT="0" distB="0" distL="0" distR="0" simplePos="0" relativeHeight="503316516" behindDoc="0" locked="0" layoutInCell="1" allowOverlap="1">
                <wp:simplePos x="0" y="0"/>
                <wp:positionH relativeFrom="page">
                  <wp:posOffset>871855</wp:posOffset>
                </wp:positionH>
                <wp:positionV relativeFrom="paragraph">
                  <wp:posOffset>551815</wp:posOffset>
                </wp:positionV>
                <wp:extent cx="130810" cy="530225"/>
                <wp:wrapNone/>
                <wp:docPr id="87" name="Shape 87"/>
                <a:graphic xmlns:a="http://schemas.openxmlformats.org/drawingml/2006/main">
                  <a:graphicData uri="http://schemas.microsoft.com/office/word/2010/wordprocessingShape">
                    <wps:wsp>
                      <wps:cNvSpPr txBox="1"/>
                      <wps:spPr>
                        <a:xfrm>
                          <a:ext cx="130810" cy="530225"/>
                        </a:xfrm>
                        <a:prstGeom prst="rect"/>
                        <a:noFill/>
                      </wps:spPr>
                      <wps:txbx>
                        <w:txbxContent>
                          <w:p>
                            <w:pPr>
                              <w:pStyle w:val="Style71"/>
                              <w:keepNext w:val="0"/>
                              <w:keepLines w:val="0"/>
                              <w:widowControl w:val="0"/>
                              <w:pBdr>
                                <w:top w:val="single" w:sz="0" w:space="0" w:color="01548C"/>
                                <w:left w:val="single" w:sz="0" w:space="0" w:color="01548C"/>
                                <w:bottom w:val="single" w:sz="0" w:space="0" w:color="01548C"/>
                                <w:right w:val="single" w:sz="0" w:space="0" w:color="01548C"/>
                              </w:pBdr>
                              <w:shd w:val="clear" w:color="auto" w:fill="01548C"/>
                              <w:bidi w:val="0"/>
                              <w:spacing w:before="0" w:after="0" w:line="240" w:lineRule="auto"/>
                              <w:ind w:left="0" w:right="0" w:firstLine="0"/>
                              <w:jc w:val="left"/>
                            </w:pPr>
                            <w:r>
                              <w:rPr>
                                <w:color w:val="FFFFFF"/>
                                <w:spacing w:val="0"/>
                                <w:w w:val="100"/>
                                <w:position w:val="0"/>
                              </w:rPr>
                              <w:t>轻载前台</w:t>
                            </w:r>
                          </w:p>
                        </w:txbxContent>
                      </wps:txbx>
                      <wps:bodyPr upright="1" vert="eaVert" lIns="0" tIns="0" rIns="0" bIns="0">
                        <a:noAutoFit/>
                      </wps:bodyPr>
                    </wps:wsp>
                  </a:graphicData>
                </a:graphic>
              </wp:anchor>
            </w:drawing>
          </mc:Choice>
          <mc:Fallback>
            <w:pict>
              <v:shape id="_x0000_s1113" type="#_x0000_t202" style="position:absolute;margin-left:68.650000000000006pt;margin-top:43.450000000000003pt;width:10.300000000000001pt;height:41.75pt;z-index:251657763;mso-wrap-distance-left:0;mso-wrap-distance-right:0;mso-position-horizontal-relative:page" filled="f" stroked="f">
                <v:textbox style="layout-flow:vertical-ideographic" inset="0,0,0,0">
                  <w:txbxContent>
                    <w:p>
                      <w:pPr>
                        <w:pStyle w:val="Style71"/>
                        <w:keepNext w:val="0"/>
                        <w:keepLines w:val="0"/>
                        <w:widowControl w:val="0"/>
                        <w:pBdr>
                          <w:top w:val="single" w:sz="0" w:space="0" w:color="01548C"/>
                          <w:left w:val="single" w:sz="0" w:space="0" w:color="01548C"/>
                          <w:bottom w:val="single" w:sz="0" w:space="0" w:color="01548C"/>
                          <w:right w:val="single" w:sz="0" w:space="0" w:color="01548C"/>
                        </w:pBdr>
                        <w:shd w:val="clear" w:color="auto" w:fill="01548C"/>
                        <w:bidi w:val="0"/>
                        <w:spacing w:before="0" w:after="0" w:line="240" w:lineRule="auto"/>
                        <w:ind w:left="0" w:right="0" w:firstLine="0"/>
                        <w:jc w:val="left"/>
                      </w:pPr>
                      <w:r>
                        <w:rPr>
                          <w:color w:val="FFFFFF"/>
                          <w:spacing w:val="0"/>
                          <w:w w:val="100"/>
                          <w:position w:val="0"/>
                        </w:rPr>
                        <w:t>轻载前台</w:t>
                      </w:r>
                    </w:p>
                  </w:txbxContent>
                </v:textbox>
                <w10:wrap anchorx="page"/>
              </v:shape>
            </w:pict>
          </mc:Fallback>
        </mc:AlternateContent>
      </w:r>
      <w:r>
        <mc:AlternateContent>
          <mc:Choice Requires="wps">
            <w:drawing>
              <wp:anchor distT="570230" distB="2572385" distL="0" distR="0" simplePos="0" relativeHeight="125829381" behindDoc="0" locked="0" layoutInCell="1" allowOverlap="1">
                <wp:simplePos x="0" y="0"/>
                <wp:positionH relativeFrom="page">
                  <wp:posOffset>1859280</wp:posOffset>
                </wp:positionH>
                <wp:positionV relativeFrom="paragraph">
                  <wp:posOffset>570230</wp:posOffset>
                </wp:positionV>
                <wp:extent cx="353695" cy="125095"/>
                <wp:wrapTopAndBottom/>
                <wp:docPr id="89" name="Shape 89"/>
                <a:graphic xmlns:a="http://schemas.openxmlformats.org/drawingml/2006/main">
                  <a:graphicData uri="http://schemas.microsoft.com/office/word/2010/wordprocessingShape">
                    <wps:wsp>
                      <wps:cNvSpPr txBox="1"/>
                      <wps:spPr>
                        <a:xfrm>
                          <a:ext cx="353695" cy="125095"/>
                        </a:xfrm>
                        <a:prstGeom prst="rect"/>
                        <a:noFill/>
                      </wps:spPr>
                      <wps:txbx>
                        <w:txbxContent>
                          <w:p>
                            <w:pPr>
                              <w:pStyle w:val="Style2"/>
                              <w:keepNext w:val="0"/>
                              <w:keepLines w:val="0"/>
                              <w:widowControl w:val="0"/>
                              <w:pBdr>
                                <w:top w:val="single" w:sz="0" w:space="0" w:color="0071C1"/>
                                <w:left w:val="single" w:sz="0" w:space="8" w:color="0071C1"/>
                                <w:bottom w:val="single" w:sz="0" w:space="0" w:color="0071C1"/>
                                <w:right w:val="single" w:sz="0" w:space="8" w:color="0071C1"/>
                              </w:pBdr>
                              <w:shd w:val="clear" w:color="auto" w:fill="0071C1"/>
                              <w:bidi w:val="0"/>
                              <w:spacing w:before="0" w:after="0" w:line="240" w:lineRule="auto"/>
                              <w:ind w:left="0" w:right="0" w:firstLine="0"/>
                              <w:jc w:val="left"/>
                              <w:rPr>
                                <w:sz w:val="13"/>
                                <w:szCs w:val="13"/>
                              </w:rPr>
                            </w:pPr>
                            <w:r>
                              <w:rPr>
                                <w:rFonts w:ascii="SimHei" w:eastAsia="SimHei" w:hAnsi="SimHei" w:cs="SimHei"/>
                                <w:color w:val="FFFFFF"/>
                                <w:spacing w:val="0"/>
                                <w:w w:val="100"/>
                                <w:position w:val="0"/>
                                <w:sz w:val="13"/>
                                <w:szCs w:val="13"/>
                              </w:rPr>
                              <w:t>魄中心</w:t>
                            </w:r>
                          </w:p>
                        </w:txbxContent>
                      </wps:txbx>
                      <wps:bodyPr wrap="none" lIns="0" tIns="0" rIns="0" bIns="0">
                        <a:noAutoFit/>
                      </wps:bodyPr>
                    </wps:wsp>
                  </a:graphicData>
                </a:graphic>
              </wp:anchor>
            </w:drawing>
          </mc:Choice>
          <mc:Fallback>
            <w:pict>
              <v:shape id="_x0000_s1115" type="#_x0000_t202" style="position:absolute;margin-left:146.40000000000001pt;margin-top:44.899999999999999pt;width:27.850000000000001pt;height:9.8499999999999996pt;z-index:-125829372;mso-wrap-distance-left:0;mso-wrap-distance-top:44.899999999999999pt;mso-wrap-distance-right:0;mso-wrap-distance-bottom:202.55000000000001pt;mso-position-horizontal-relative:page" filled="f" stroked="f">
                <v:textbox inset="0,0,0,0">
                  <w:txbxContent>
                    <w:p>
                      <w:pPr>
                        <w:pStyle w:val="Style2"/>
                        <w:keepNext w:val="0"/>
                        <w:keepLines w:val="0"/>
                        <w:widowControl w:val="0"/>
                        <w:pBdr>
                          <w:top w:val="single" w:sz="0" w:space="0" w:color="0071C1"/>
                          <w:left w:val="single" w:sz="0" w:space="8" w:color="0071C1"/>
                          <w:bottom w:val="single" w:sz="0" w:space="0" w:color="0071C1"/>
                          <w:right w:val="single" w:sz="0" w:space="8" w:color="0071C1"/>
                        </w:pBdr>
                        <w:shd w:val="clear" w:color="auto" w:fill="0071C1"/>
                        <w:bidi w:val="0"/>
                        <w:spacing w:before="0" w:after="0" w:line="240" w:lineRule="auto"/>
                        <w:ind w:left="0" w:right="0" w:firstLine="0"/>
                        <w:jc w:val="left"/>
                        <w:rPr>
                          <w:sz w:val="13"/>
                          <w:szCs w:val="13"/>
                        </w:rPr>
                      </w:pPr>
                      <w:r>
                        <w:rPr>
                          <w:rFonts w:ascii="SimHei" w:eastAsia="SimHei" w:hAnsi="SimHei" w:cs="SimHei"/>
                          <w:color w:val="FFFFFF"/>
                          <w:spacing w:val="0"/>
                          <w:w w:val="100"/>
                          <w:position w:val="0"/>
                          <w:sz w:val="13"/>
                          <w:szCs w:val="13"/>
                        </w:rPr>
                        <w:t>魄中心</w:t>
                      </w:r>
                    </w:p>
                  </w:txbxContent>
                </v:textbox>
                <w10:wrap type="topAndBottom" anchorx="page"/>
              </v:shape>
            </w:pict>
          </mc:Fallback>
        </mc:AlternateContent>
      </w:r>
      <w:r>
        <w:drawing>
          <wp:anchor distT="6350" distB="2487295" distL="478790" distR="0" simplePos="0" relativeHeight="125829383" behindDoc="0" locked="0" layoutInCell="1" allowOverlap="1">
            <wp:simplePos x="0" y="0"/>
            <wp:positionH relativeFrom="page">
              <wp:posOffset>4206875</wp:posOffset>
            </wp:positionH>
            <wp:positionV relativeFrom="paragraph">
              <wp:posOffset>6350</wp:posOffset>
            </wp:positionV>
            <wp:extent cx="2682240" cy="774065"/>
            <wp:wrapTopAndBottom/>
            <wp:docPr id="91" name="Shape 91"/>
            <a:graphic xmlns:a="http://schemas.openxmlformats.org/drawingml/2006/main">
              <a:graphicData uri="http://schemas.openxmlformats.org/drawingml/2006/picture">
                <pic:pic xmlns:pic="http://schemas.openxmlformats.org/drawingml/2006/picture">
                  <pic:nvPicPr>
                    <pic:cNvPr id="92" name="Picture box 92"/>
                    <pic:cNvPicPr/>
                  </pic:nvPicPr>
                  <pic:blipFill>
                    <a:blip r:embed="rId31"/>
                    <a:stretch/>
                  </pic:blipFill>
                  <pic:spPr>
                    <a:xfrm>
                      <a:ext cx="2682240" cy="774065"/>
                    </a:xfrm>
                    <a:prstGeom prst="rect"/>
                  </pic:spPr>
                </pic:pic>
              </a:graphicData>
            </a:graphic>
          </wp:anchor>
        </w:drawing>
      </w:r>
      <w:r>
        <mc:AlternateContent>
          <mc:Choice Requires="wps">
            <w:drawing>
              <wp:anchor distT="0" distB="0" distL="0" distR="0" simplePos="0" relativeHeight="503316518" behindDoc="0" locked="0" layoutInCell="1" allowOverlap="1">
                <wp:simplePos x="0" y="0"/>
                <wp:positionH relativeFrom="page">
                  <wp:posOffset>6392545</wp:posOffset>
                </wp:positionH>
                <wp:positionV relativeFrom="paragraph">
                  <wp:posOffset>378460</wp:posOffset>
                </wp:positionV>
                <wp:extent cx="341630" cy="128270"/>
                <wp:wrapNone/>
                <wp:docPr id="93" name="Shape 93"/>
                <a:graphic xmlns:a="http://schemas.openxmlformats.org/drawingml/2006/main">
                  <a:graphicData uri="http://schemas.microsoft.com/office/word/2010/wordprocessingShape">
                    <wps:wsp>
                      <wps:cNvSpPr txBox="1"/>
                      <wps:spPr>
                        <a:xfrm>
                          <a:ext cx="341630" cy="128270"/>
                        </a:xfrm>
                        <a:prstGeom prst="rect"/>
                        <a:noFill/>
                      </wps:spPr>
                      <wps:txbx>
                        <w:txbxContent>
                          <w:p>
                            <w:pPr>
                              <w:pStyle w:val="Style65"/>
                              <w:keepNext w:val="0"/>
                              <w:keepLines w:val="0"/>
                              <w:widowControl w:val="0"/>
                              <w:pBdr>
                                <w:top w:val="single" w:sz="0" w:space="0" w:color="0071C1"/>
                                <w:left w:val="single" w:sz="0" w:space="0" w:color="0071C1"/>
                                <w:bottom w:val="single" w:sz="0" w:space="0" w:color="0071C1"/>
                                <w:right w:val="single" w:sz="0" w:space="0" w:color="0071C1"/>
                              </w:pBdr>
                              <w:shd w:val="clear" w:color="auto" w:fill="0071C1"/>
                              <w:bidi w:val="0"/>
                              <w:spacing w:before="0" w:after="0" w:line="240" w:lineRule="auto"/>
                              <w:ind w:left="0" w:right="0" w:firstLine="0"/>
                              <w:jc w:val="right"/>
                              <w:rPr>
                                <w:sz w:val="13"/>
                                <w:szCs w:val="13"/>
                              </w:rPr>
                            </w:pPr>
                            <w:r>
                              <w:rPr>
                                <w:rFonts w:ascii="Segoe UI" w:eastAsia="Segoe UI" w:hAnsi="Segoe UI" w:cs="Segoe UI"/>
                                <w:b/>
                                <w:bCs/>
                                <w:color w:val="FFFFFF"/>
                                <w:spacing w:val="0"/>
                                <w:w w:val="100"/>
                                <w:position w:val="0"/>
                                <w:sz w:val="14"/>
                                <w:szCs w:val="14"/>
                              </w:rPr>
                              <w:t>CSP</w:t>
                            </w:r>
                            <w:r>
                              <w:rPr>
                                <w:color w:val="DBE5EE"/>
                                <w:spacing w:val="0"/>
                                <w:w w:val="100"/>
                                <w:position w:val="0"/>
                                <w:sz w:val="13"/>
                                <w:szCs w:val="13"/>
                              </w:rPr>
                              <w:t>平台</w:t>
                            </w:r>
                          </w:p>
                        </w:txbxContent>
                      </wps:txbx>
                      <wps:bodyPr lIns="0" tIns="0" rIns="0" bIns="0">
                        <a:noAutoFit/>
                      </wps:bodyPr>
                    </wps:wsp>
                  </a:graphicData>
                </a:graphic>
              </wp:anchor>
            </w:drawing>
          </mc:Choice>
          <mc:Fallback>
            <w:pict>
              <v:shape id="_x0000_s1119" type="#_x0000_t202" style="position:absolute;margin-left:503.35000000000002pt;margin-top:29.800000000000001pt;width:26.900000000000002pt;height:10.1pt;z-index:251657765;mso-wrap-distance-left:0;mso-wrap-distance-right:0;mso-position-horizontal-relative:page" filled="f" stroked="f">
                <v:textbox inset="0,0,0,0">
                  <w:txbxContent>
                    <w:p>
                      <w:pPr>
                        <w:pStyle w:val="Style65"/>
                        <w:keepNext w:val="0"/>
                        <w:keepLines w:val="0"/>
                        <w:widowControl w:val="0"/>
                        <w:pBdr>
                          <w:top w:val="single" w:sz="0" w:space="0" w:color="0071C1"/>
                          <w:left w:val="single" w:sz="0" w:space="0" w:color="0071C1"/>
                          <w:bottom w:val="single" w:sz="0" w:space="0" w:color="0071C1"/>
                          <w:right w:val="single" w:sz="0" w:space="0" w:color="0071C1"/>
                        </w:pBdr>
                        <w:shd w:val="clear" w:color="auto" w:fill="0071C1"/>
                        <w:bidi w:val="0"/>
                        <w:spacing w:before="0" w:after="0" w:line="240" w:lineRule="auto"/>
                        <w:ind w:left="0" w:right="0" w:firstLine="0"/>
                        <w:jc w:val="right"/>
                        <w:rPr>
                          <w:sz w:val="13"/>
                          <w:szCs w:val="13"/>
                        </w:rPr>
                      </w:pPr>
                      <w:r>
                        <w:rPr>
                          <w:rFonts w:ascii="Segoe UI" w:eastAsia="Segoe UI" w:hAnsi="Segoe UI" w:cs="Segoe UI"/>
                          <w:b/>
                          <w:bCs/>
                          <w:color w:val="FFFFFF"/>
                          <w:spacing w:val="0"/>
                          <w:w w:val="100"/>
                          <w:position w:val="0"/>
                          <w:sz w:val="14"/>
                          <w:szCs w:val="14"/>
                        </w:rPr>
                        <w:t>CSP</w:t>
                      </w:r>
                      <w:r>
                        <w:rPr>
                          <w:color w:val="DBE5EE"/>
                          <w:spacing w:val="0"/>
                          <w:w w:val="100"/>
                          <w:position w:val="0"/>
                          <w:sz w:val="13"/>
                          <w:szCs w:val="13"/>
                        </w:rPr>
                        <w:t>平台</w:t>
                      </w:r>
                    </w:p>
                  </w:txbxContent>
                </v:textbox>
                <w10:wrap anchorx="page"/>
              </v:shape>
            </w:pict>
          </mc:Fallback>
        </mc:AlternateContent>
      </w:r>
      <w:r>
        <mc:AlternateContent>
          <mc:Choice Requires="wps">
            <w:drawing>
              <wp:anchor distT="0" distB="0" distL="0" distR="0" simplePos="0" relativeHeight="503316520" behindDoc="0" locked="0" layoutInCell="1" allowOverlap="1">
                <wp:simplePos x="0" y="0"/>
                <wp:positionH relativeFrom="page">
                  <wp:posOffset>3728085</wp:posOffset>
                </wp:positionH>
                <wp:positionV relativeFrom="paragraph">
                  <wp:posOffset>619125</wp:posOffset>
                </wp:positionV>
                <wp:extent cx="435610" cy="128270"/>
                <wp:wrapNone/>
                <wp:docPr id="95" name="Shape 95"/>
                <a:graphic xmlns:a="http://schemas.openxmlformats.org/drawingml/2006/main">
                  <a:graphicData uri="http://schemas.microsoft.com/office/word/2010/wordprocessingShape">
                    <wps:wsp>
                      <wps:cNvSpPr txBox="1"/>
                      <wps:spPr>
                        <a:xfrm>
                          <a:ext cx="435610" cy="128270"/>
                        </a:xfrm>
                        <a:prstGeom prst="rect"/>
                        <a:noFill/>
                      </wps:spPr>
                      <wps:txbx>
                        <w:txbxContent>
                          <w:p>
                            <w:pPr>
                              <w:pStyle w:val="Style65"/>
                              <w:keepNext w:val="0"/>
                              <w:keepLines w:val="0"/>
                              <w:widowControl w:val="0"/>
                              <w:pBdr>
                                <w:top w:val="single" w:sz="0" w:space="0" w:color="0071C1"/>
                                <w:left w:val="single" w:sz="0" w:space="0" w:color="0071C1"/>
                                <w:bottom w:val="single" w:sz="0" w:space="0" w:color="0071C1"/>
                                <w:right w:val="single" w:sz="0" w:space="0" w:color="0071C1"/>
                              </w:pBdr>
                              <w:shd w:val="clear" w:color="auto" w:fill="0071C1"/>
                              <w:bidi w:val="0"/>
                              <w:spacing w:before="0" w:after="0" w:line="240" w:lineRule="auto"/>
                              <w:ind w:left="0" w:right="0" w:firstLine="0"/>
                              <w:jc w:val="left"/>
                              <w:rPr>
                                <w:sz w:val="13"/>
                                <w:szCs w:val="13"/>
                              </w:rPr>
                            </w:pPr>
                            <w:r>
                              <w:rPr>
                                <w:color w:val="FFFFFF"/>
                                <w:spacing w:val="0"/>
                                <w:w w:val="100"/>
                                <w:position w:val="0"/>
                                <w:sz w:val="13"/>
                                <w:szCs w:val="13"/>
                              </w:rPr>
                              <w:t>智能机器人</w:t>
                            </w:r>
                          </w:p>
                        </w:txbxContent>
                      </wps:txbx>
                      <wps:bodyPr lIns="0" tIns="0" rIns="0" bIns="0">
                        <a:noAutoFit/>
                      </wps:bodyPr>
                    </wps:wsp>
                  </a:graphicData>
                </a:graphic>
              </wp:anchor>
            </w:drawing>
          </mc:Choice>
          <mc:Fallback>
            <w:pict>
              <v:shape id="_x0000_s1121" type="#_x0000_t202" style="position:absolute;margin-left:293.55000000000001pt;margin-top:48.75pt;width:34.300000000000004pt;height:10.1pt;z-index:251657767;mso-wrap-distance-left:0;mso-wrap-distance-right:0;mso-position-horizontal-relative:page" filled="f" stroked="f">
                <v:textbox inset="0,0,0,0">
                  <w:txbxContent>
                    <w:p>
                      <w:pPr>
                        <w:pStyle w:val="Style65"/>
                        <w:keepNext w:val="0"/>
                        <w:keepLines w:val="0"/>
                        <w:widowControl w:val="0"/>
                        <w:pBdr>
                          <w:top w:val="single" w:sz="0" w:space="0" w:color="0071C1"/>
                          <w:left w:val="single" w:sz="0" w:space="0" w:color="0071C1"/>
                          <w:bottom w:val="single" w:sz="0" w:space="0" w:color="0071C1"/>
                          <w:right w:val="single" w:sz="0" w:space="0" w:color="0071C1"/>
                        </w:pBdr>
                        <w:shd w:val="clear" w:color="auto" w:fill="0071C1"/>
                        <w:bidi w:val="0"/>
                        <w:spacing w:before="0" w:after="0" w:line="240" w:lineRule="auto"/>
                        <w:ind w:left="0" w:right="0" w:firstLine="0"/>
                        <w:jc w:val="left"/>
                        <w:rPr>
                          <w:sz w:val="13"/>
                          <w:szCs w:val="13"/>
                        </w:rPr>
                      </w:pPr>
                      <w:r>
                        <w:rPr>
                          <w:color w:val="FFFFFF"/>
                          <w:spacing w:val="0"/>
                          <w:w w:val="100"/>
                          <w:position w:val="0"/>
                          <w:sz w:val="13"/>
                          <w:szCs w:val="13"/>
                        </w:rPr>
                        <w:t>智能机器人</w:t>
                      </w:r>
                    </w:p>
                  </w:txbxContent>
                </v:textbox>
                <w10:wrap anchorx="page"/>
              </v:shape>
            </w:pict>
          </mc:Fallback>
        </mc:AlternateContent>
      </w:r>
      <w:r>
        <mc:AlternateContent>
          <mc:Choice Requires="wps">
            <w:drawing>
              <wp:anchor distT="0" distB="0" distL="0" distR="0" simplePos="0" relativeHeight="503316522" behindDoc="0" locked="0" layoutInCell="1" allowOverlap="1">
                <wp:simplePos x="0" y="0"/>
                <wp:positionH relativeFrom="page">
                  <wp:posOffset>5596890</wp:posOffset>
                </wp:positionH>
                <wp:positionV relativeFrom="paragraph">
                  <wp:posOffset>719455</wp:posOffset>
                </wp:positionV>
                <wp:extent cx="511810" cy="128270"/>
                <wp:wrapNone/>
                <wp:docPr id="97" name="Shape 97"/>
                <a:graphic xmlns:a="http://schemas.openxmlformats.org/drawingml/2006/main">
                  <a:graphicData uri="http://schemas.microsoft.com/office/word/2010/wordprocessingShape">
                    <wps:wsp>
                      <wps:cNvSpPr txBox="1"/>
                      <wps:spPr>
                        <a:xfrm>
                          <a:ext cx="511810" cy="128270"/>
                        </a:xfrm>
                        <a:prstGeom prst="rect"/>
                        <a:noFill/>
                      </wps:spPr>
                      <wps:txbx>
                        <w:txbxContent>
                          <w:p>
                            <w:pPr>
                              <w:pStyle w:val="Style65"/>
                              <w:keepNext w:val="0"/>
                              <w:keepLines w:val="0"/>
                              <w:widowControl w:val="0"/>
                              <w:pBdr>
                                <w:top w:val="single" w:sz="0" w:space="0" w:color="D5DCE6"/>
                                <w:left w:val="single" w:sz="0" w:space="9" w:color="D5DCE6"/>
                                <w:bottom w:val="single" w:sz="0" w:space="0" w:color="D5DCE6"/>
                                <w:right w:val="single" w:sz="0" w:space="9" w:color="D5DCE6"/>
                              </w:pBdr>
                              <w:shd w:val="clear" w:color="auto" w:fill="D5DCE6"/>
                              <w:bidi w:val="0"/>
                              <w:spacing w:before="0" w:after="0" w:line="240" w:lineRule="auto"/>
                              <w:ind w:left="0" w:right="0" w:firstLine="0"/>
                              <w:jc w:val="left"/>
                              <w:rPr>
                                <w:sz w:val="13"/>
                                <w:szCs w:val="13"/>
                              </w:rPr>
                            </w:pPr>
                            <w:r>
                              <w:rPr>
                                <w:color w:val="FFFFFF"/>
                                <w:spacing w:val="0"/>
                                <w:w w:val="100"/>
                                <w:position w:val="0"/>
                                <w:sz w:val="13"/>
                                <w:szCs w:val="13"/>
                              </w:rPr>
                              <w:t>集中指挥调度</w:t>
                            </w:r>
                          </w:p>
                        </w:txbxContent>
                      </wps:txbx>
                      <wps:bodyPr lIns="0" tIns="0" rIns="0" bIns="0">
                        <a:noAutoFit/>
                      </wps:bodyPr>
                    </wps:wsp>
                  </a:graphicData>
                </a:graphic>
              </wp:anchor>
            </w:drawing>
          </mc:Choice>
          <mc:Fallback>
            <w:pict>
              <v:shape id="_x0000_s1123" type="#_x0000_t202" style="position:absolute;margin-left:440.69999999999999pt;margin-top:56.649999999999999pt;width:40.300000000000004pt;height:10.1pt;z-index:251657769;mso-wrap-distance-left:0;mso-wrap-distance-right:0;mso-position-horizontal-relative:page" filled="f" stroked="f">
                <v:textbox inset="0,0,0,0">
                  <w:txbxContent>
                    <w:p>
                      <w:pPr>
                        <w:pStyle w:val="Style65"/>
                        <w:keepNext w:val="0"/>
                        <w:keepLines w:val="0"/>
                        <w:widowControl w:val="0"/>
                        <w:pBdr>
                          <w:top w:val="single" w:sz="0" w:space="0" w:color="D5DCE6"/>
                          <w:left w:val="single" w:sz="0" w:space="9" w:color="D5DCE6"/>
                          <w:bottom w:val="single" w:sz="0" w:space="0" w:color="D5DCE6"/>
                          <w:right w:val="single" w:sz="0" w:space="9" w:color="D5DCE6"/>
                        </w:pBdr>
                        <w:shd w:val="clear" w:color="auto" w:fill="D5DCE6"/>
                        <w:bidi w:val="0"/>
                        <w:spacing w:before="0" w:after="0" w:line="240" w:lineRule="auto"/>
                        <w:ind w:left="0" w:right="0" w:firstLine="0"/>
                        <w:jc w:val="left"/>
                        <w:rPr>
                          <w:sz w:val="13"/>
                          <w:szCs w:val="13"/>
                        </w:rPr>
                      </w:pPr>
                      <w:r>
                        <w:rPr>
                          <w:color w:val="FFFFFF"/>
                          <w:spacing w:val="0"/>
                          <w:w w:val="100"/>
                          <w:position w:val="0"/>
                          <w:sz w:val="13"/>
                          <w:szCs w:val="13"/>
                        </w:rPr>
                        <w:t>集中指挥调度</w:t>
                      </w:r>
                    </w:p>
                  </w:txbxContent>
                </v:textbox>
                <w10:wrap anchorx="page"/>
              </v:shape>
            </w:pict>
          </mc:Fallback>
        </mc:AlternateContent>
      </w:r>
      <w:r>
        <mc:AlternateContent>
          <mc:Choice Requires="wps">
            <w:drawing>
              <wp:anchor distT="0" distB="0" distL="0" distR="0" simplePos="0" relativeHeight="503316524" behindDoc="0" locked="0" layoutInCell="1" allowOverlap="1">
                <wp:simplePos x="0" y="0"/>
                <wp:positionH relativeFrom="page">
                  <wp:posOffset>5063490</wp:posOffset>
                </wp:positionH>
                <wp:positionV relativeFrom="paragraph">
                  <wp:posOffset>774700</wp:posOffset>
                </wp:positionV>
                <wp:extent cx="356870" cy="137160"/>
                <wp:wrapNone/>
                <wp:docPr id="99" name="Shape 99"/>
                <a:graphic xmlns:a="http://schemas.openxmlformats.org/drawingml/2006/main">
                  <a:graphicData uri="http://schemas.microsoft.com/office/word/2010/wordprocessingShape">
                    <wps:wsp>
                      <wps:cNvSpPr txBox="1"/>
                      <wps:spPr>
                        <a:xfrm>
                          <a:ext cx="356870" cy="137160"/>
                        </a:xfrm>
                        <a:prstGeom prst="rect"/>
                        <a:noFill/>
                      </wps:spPr>
                      <wps:txbx>
                        <w:txbxContent>
                          <w:p>
                            <w:pPr>
                              <w:pStyle w:val="Style65"/>
                              <w:keepNext w:val="0"/>
                              <w:keepLines w:val="0"/>
                              <w:widowControl w:val="0"/>
                              <w:pBdr>
                                <w:top w:val="single" w:sz="0" w:space="0" w:color="D5DCE6"/>
                                <w:left w:val="single" w:sz="0" w:space="9" w:color="D5DCE6"/>
                                <w:bottom w:val="single" w:sz="0" w:space="0" w:color="D5DCE6"/>
                                <w:right w:val="single" w:sz="0" w:space="9" w:color="D5DCE6"/>
                              </w:pBdr>
                              <w:shd w:val="clear" w:color="auto" w:fill="D5DCE6"/>
                              <w:bidi w:val="0"/>
                              <w:spacing w:before="0" w:after="0" w:line="240" w:lineRule="auto"/>
                              <w:ind w:left="0" w:right="0" w:firstLine="0"/>
                              <w:jc w:val="left"/>
                              <w:rPr>
                                <w:sz w:val="14"/>
                                <w:szCs w:val="14"/>
                              </w:rPr>
                            </w:pPr>
                            <w:r>
                              <w:rPr>
                                <w:color w:val="FFFFFF"/>
                                <w:spacing w:val="0"/>
                                <w:w w:val="100"/>
                                <w:position w:val="0"/>
                                <w:sz w:val="13"/>
                                <w:szCs w:val="13"/>
                              </w:rPr>
                              <w:t>智能</w:t>
                            </w:r>
                            <w:r>
                              <w:rPr>
                                <w:rFonts w:ascii="Segoe UI" w:eastAsia="Segoe UI" w:hAnsi="Segoe UI" w:cs="Segoe UI"/>
                                <w:b/>
                                <w:bCs/>
                                <w:color w:val="FFFFFF"/>
                                <w:spacing w:val="0"/>
                                <w:w w:val="100"/>
                                <w:position w:val="0"/>
                                <w:sz w:val="14"/>
                                <w:szCs w:val="14"/>
                              </w:rPr>
                              <w:t>IS</w:t>
                            </w:r>
                          </w:p>
                        </w:txbxContent>
                      </wps:txbx>
                      <wps:bodyPr lIns="0" tIns="0" rIns="0" bIns="0">
                        <a:noAutoFit/>
                      </wps:bodyPr>
                    </wps:wsp>
                  </a:graphicData>
                </a:graphic>
              </wp:anchor>
            </w:drawing>
          </mc:Choice>
          <mc:Fallback>
            <w:pict>
              <v:shape id="_x0000_s1125" type="#_x0000_t202" style="position:absolute;margin-left:398.69999999999999pt;margin-top:61.pt;width:28.100000000000001pt;height:10.800000000000001pt;z-index:251657771;mso-wrap-distance-left:0;mso-wrap-distance-right:0;mso-position-horizontal-relative:page" filled="f" stroked="f">
                <v:textbox inset="0,0,0,0">
                  <w:txbxContent>
                    <w:p>
                      <w:pPr>
                        <w:pStyle w:val="Style65"/>
                        <w:keepNext w:val="0"/>
                        <w:keepLines w:val="0"/>
                        <w:widowControl w:val="0"/>
                        <w:pBdr>
                          <w:top w:val="single" w:sz="0" w:space="0" w:color="D5DCE6"/>
                          <w:left w:val="single" w:sz="0" w:space="9" w:color="D5DCE6"/>
                          <w:bottom w:val="single" w:sz="0" w:space="0" w:color="D5DCE6"/>
                          <w:right w:val="single" w:sz="0" w:space="9" w:color="D5DCE6"/>
                        </w:pBdr>
                        <w:shd w:val="clear" w:color="auto" w:fill="D5DCE6"/>
                        <w:bidi w:val="0"/>
                        <w:spacing w:before="0" w:after="0" w:line="240" w:lineRule="auto"/>
                        <w:ind w:left="0" w:right="0" w:firstLine="0"/>
                        <w:jc w:val="left"/>
                        <w:rPr>
                          <w:sz w:val="14"/>
                          <w:szCs w:val="14"/>
                        </w:rPr>
                      </w:pPr>
                      <w:r>
                        <w:rPr>
                          <w:color w:val="FFFFFF"/>
                          <w:spacing w:val="0"/>
                          <w:w w:val="100"/>
                          <w:position w:val="0"/>
                          <w:sz w:val="13"/>
                          <w:szCs w:val="13"/>
                        </w:rPr>
                        <w:t>智能</w:t>
                      </w:r>
                      <w:r>
                        <w:rPr>
                          <w:rFonts w:ascii="Segoe UI" w:eastAsia="Segoe UI" w:hAnsi="Segoe UI" w:cs="Segoe UI"/>
                          <w:b/>
                          <w:bCs/>
                          <w:color w:val="FFFFFF"/>
                          <w:spacing w:val="0"/>
                          <w:w w:val="100"/>
                          <w:position w:val="0"/>
                          <w:sz w:val="14"/>
                          <w:szCs w:val="14"/>
                        </w:rPr>
                        <w:t>IS</w:t>
                      </w:r>
                    </w:p>
                  </w:txbxContent>
                </v:textbox>
                <w10:wrap anchorx="page"/>
              </v:shape>
            </w:pict>
          </mc:Fallback>
        </mc:AlternateContent>
      </w:r>
      <w:r>
        <mc:AlternateContent>
          <mc:Choice Requires="wps">
            <w:drawing>
              <wp:anchor distT="0" distB="0" distL="0" distR="0" simplePos="0" relativeHeight="503316526" behindDoc="0" locked="0" layoutInCell="1" allowOverlap="1">
                <wp:simplePos x="0" y="0"/>
                <wp:positionH relativeFrom="page">
                  <wp:posOffset>5676265</wp:posOffset>
                </wp:positionH>
                <wp:positionV relativeFrom="paragraph">
                  <wp:posOffset>1061085</wp:posOffset>
                </wp:positionV>
                <wp:extent cx="356870" cy="250190"/>
                <wp:wrapNone/>
                <wp:docPr id="101" name="Shape 101"/>
                <a:graphic xmlns:a="http://schemas.openxmlformats.org/drawingml/2006/main">
                  <a:graphicData uri="http://schemas.microsoft.com/office/word/2010/wordprocessingShape">
                    <wps:wsp>
                      <wps:cNvSpPr txBox="1"/>
                      <wps:spPr>
                        <a:xfrm>
                          <a:ext cx="356870" cy="250190"/>
                        </a:xfrm>
                        <a:prstGeom prst="rect"/>
                        <a:noFill/>
                      </wps:spPr>
                      <wps:txbx>
                        <w:txbxContent>
                          <w:p>
                            <w:pPr>
                              <w:pStyle w:val="Style65"/>
                              <w:keepNext w:val="0"/>
                              <w:keepLines w:val="0"/>
                              <w:widowControl w:val="0"/>
                              <w:pBdr>
                                <w:top w:val="single" w:sz="0" w:space="0" w:color="D5DCE6"/>
                                <w:left w:val="single" w:sz="0" w:space="9" w:color="D5DCE6"/>
                                <w:bottom w:val="single" w:sz="0" w:space="0" w:color="D5DCE6"/>
                                <w:right w:val="single" w:sz="0" w:space="9" w:color="D5DCE6"/>
                              </w:pBdr>
                              <w:shd w:val="clear" w:color="auto" w:fill="D5DCE6"/>
                              <w:bidi w:val="0"/>
                              <w:spacing w:before="0" w:after="0" w:line="187" w:lineRule="exact"/>
                              <w:ind w:left="0" w:right="0" w:firstLine="0"/>
                              <w:jc w:val="left"/>
                              <w:rPr>
                                <w:sz w:val="13"/>
                                <w:szCs w:val="13"/>
                              </w:rPr>
                            </w:pPr>
                            <w:r>
                              <w:rPr>
                                <w:color w:val="FFFFFF"/>
                                <w:spacing w:val="0"/>
                                <w:w w:val="100"/>
                                <w:position w:val="0"/>
                                <w:sz w:val="13"/>
                                <w:szCs w:val="13"/>
                              </w:rPr>
                              <w:t>政企业务 运哉撑</w:t>
                            </w:r>
                          </w:p>
                        </w:txbxContent>
                      </wps:txbx>
                      <wps:bodyPr lIns="0" tIns="0" rIns="0" bIns="0">
                        <a:noAutoFit/>
                      </wps:bodyPr>
                    </wps:wsp>
                  </a:graphicData>
                </a:graphic>
              </wp:anchor>
            </w:drawing>
          </mc:Choice>
          <mc:Fallback>
            <w:pict>
              <v:shape id="_x0000_s1127" type="#_x0000_t202" style="position:absolute;margin-left:446.94999999999999pt;margin-top:83.549999999999997pt;width:28.100000000000001pt;height:19.699999999999999pt;z-index:251657773;mso-wrap-distance-left:0;mso-wrap-distance-right:0;mso-position-horizontal-relative:page" filled="f" stroked="f">
                <v:textbox inset="0,0,0,0">
                  <w:txbxContent>
                    <w:p>
                      <w:pPr>
                        <w:pStyle w:val="Style65"/>
                        <w:keepNext w:val="0"/>
                        <w:keepLines w:val="0"/>
                        <w:widowControl w:val="0"/>
                        <w:pBdr>
                          <w:top w:val="single" w:sz="0" w:space="0" w:color="D5DCE6"/>
                          <w:left w:val="single" w:sz="0" w:space="9" w:color="D5DCE6"/>
                          <w:bottom w:val="single" w:sz="0" w:space="0" w:color="D5DCE6"/>
                          <w:right w:val="single" w:sz="0" w:space="9" w:color="D5DCE6"/>
                        </w:pBdr>
                        <w:shd w:val="clear" w:color="auto" w:fill="D5DCE6"/>
                        <w:bidi w:val="0"/>
                        <w:spacing w:before="0" w:after="0" w:line="187" w:lineRule="exact"/>
                        <w:ind w:left="0" w:right="0" w:firstLine="0"/>
                        <w:jc w:val="left"/>
                        <w:rPr>
                          <w:sz w:val="13"/>
                          <w:szCs w:val="13"/>
                        </w:rPr>
                      </w:pPr>
                      <w:r>
                        <w:rPr>
                          <w:color w:val="FFFFFF"/>
                          <w:spacing w:val="0"/>
                          <w:w w:val="100"/>
                          <w:position w:val="0"/>
                          <w:sz w:val="13"/>
                          <w:szCs w:val="13"/>
                        </w:rPr>
                        <w:t>政企业务 运哉撑</w:t>
                      </w:r>
                    </w:p>
                  </w:txbxContent>
                </v:textbox>
                <w10:wrap anchorx="page"/>
              </v:shape>
            </w:pict>
          </mc:Fallback>
        </mc:AlternateContent>
      </w:r>
      <w:r>
        <mc:AlternateContent>
          <mc:Choice Requires="wps">
            <w:drawing>
              <wp:anchor distT="0" distB="0" distL="0" distR="0" simplePos="0" relativeHeight="503316528" behindDoc="0" locked="0" layoutInCell="1" allowOverlap="1">
                <wp:simplePos x="0" y="0"/>
                <wp:positionH relativeFrom="page">
                  <wp:posOffset>6343650</wp:posOffset>
                </wp:positionH>
                <wp:positionV relativeFrom="paragraph">
                  <wp:posOffset>658495</wp:posOffset>
                </wp:positionV>
                <wp:extent cx="438785" cy="247015"/>
                <wp:wrapNone/>
                <wp:docPr id="103" name="Shape 103"/>
                <a:graphic xmlns:a="http://schemas.openxmlformats.org/drawingml/2006/main">
                  <a:graphicData uri="http://schemas.microsoft.com/office/word/2010/wordprocessingShape">
                    <wps:wsp>
                      <wps:cNvSpPr txBox="1"/>
                      <wps:spPr>
                        <a:xfrm>
                          <a:ext cx="438785" cy="247015"/>
                        </a:xfrm>
                        <a:prstGeom prst="rect"/>
                        <a:noFill/>
                      </wps:spPr>
                      <wps:txbx>
                        <w:txbxContent>
                          <w:p>
                            <w:pPr>
                              <w:pStyle w:val="Style65"/>
                              <w:keepNext w:val="0"/>
                              <w:keepLines w:val="0"/>
                              <w:widowControl w:val="0"/>
                              <w:pBdr>
                                <w:top w:val="single" w:sz="0" w:space="0" w:color="0071C1"/>
                                <w:left w:val="single" w:sz="0" w:space="0" w:color="0071C1"/>
                                <w:bottom w:val="single" w:sz="0" w:space="0" w:color="0071C1"/>
                                <w:right w:val="single" w:sz="0" w:space="0" w:color="0071C1"/>
                              </w:pBdr>
                              <w:shd w:val="clear" w:color="auto" w:fill="0071C1"/>
                              <w:bidi w:val="0"/>
                              <w:spacing w:before="0" w:after="0" w:line="192" w:lineRule="exact"/>
                              <w:ind w:left="0" w:right="0" w:firstLine="0"/>
                              <w:jc w:val="center"/>
                              <w:rPr>
                                <w:sz w:val="13"/>
                                <w:szCs w:val="13"/>
                              </w:rPr>
                            </w:pPr>
                            <w:r>
                              <w:rPr>
                                <w:rFonts w:ascii="Segoe UI" w:eastAsia="Segoe UI" w:hAnsi="Segoe UI" w:cs="Segoe UI"/>
                                <w:b/>
                                <w:bCs/>
                                <w:color w:val="FFFFFF"/>
                                <w:spacing w:val="0"/>
                                <w:w w:val="100"/>
                                <w:position w:val="0"/>
                                <w:sz w:val="14"/>
                                <w:szCs w:val="14"/>
                              </w:rPr>
                              <w:t>5G</w:t>
                            </w:r>
                            <w:r>
                              <w:rPr>
                                <w:color w:val="FFFFFF"/>
                                <w:spacing w:val="0"/>
                                <w:w w:val="100"/>
                                <w:position w:val="0"/>
                                <w:sz w:val="13"/>
                                <w:szCs w:val="13"/>
                              </w:rPr>
                              <w:t>消息 触用平台</w:t>
                            </w:r>
                          </w:p>
                        </w:txbxContent>
                      </wps:txbx>
                      <wps:bodyPr lIns="0" tIns="0" rIns="0" bIns="0">
                        <a:noAutoFit/>
                      </wps:bodyPr>
                    </wps:wsp>
                  </a:graphicData>
                </a:graphic>
              </wp:anchor>
            </w:drawing>
          </mc:Choice>
          <mc:Fallback>
            <w:pict>
              <v:shape id="_x0000_s1129" type="#_x0000_t202" style="position:absolute;margin-left:499.5pt;margin-top:51.850000000000001pt;width:34.550000000000004pt;height:19.449999999999999pt;z-index:251657775;mso-wrap-distance-left:0;mso-wrap-distance-right:0;mso-position-horizontal-relative:page" filled="f" stroked="f">
                <v:textbox inset="0,0,0,0">
                  <w:txbxContent>
                    <w:p>
                      <w:pPr>
                        <w:pStyle w:val="Style65"/>
                        <w:keepNext w:val="0"/>
                        <w:keepLines w:val="0"/>
                        <w:widowControl w:val="0"/>
                        <w:pBdr>
                          <w:top w:val="single" w:sz="0" w:space="0" w:color="0071C1"/>
                          <w:left w:val="single" w:sz="0" w:space="0" w:color="0071C1"/>
                          <w:bottom w:val="single" w:sz="0" w:space="0" w:color="0071C1"/>
                          <w:right w:val="single" w:sz="0" w:space="0" w:color="0071C1"/>
                        </w:pBdr>
                        <w:shd w:val="clear" w:color="auto" w:fill="0071C1"/>
                        <w:bidi w:val="0"/>
                        <w:spacing w:before="0" w:after="0" w:line="192" w:lineRule="exact"/>
                        <w:ind w:left="0" w:right="0" w:firstLine="0"/>
                        <w:jc w:val="center"/>
                        <w:rPr>
                          <w:sz w:val="13"/>
                          <w:szCs w:val="13"/>
                        </w:rPr>
                      </w:pPr>
                      <w:r>
                        <w:rPr>
                          <w:rFonts w:ascii="Segoe UI" w:eastAsia="Segoe UI" w:hAnsi="Segoe UI" w:cs="Segoe UI"/>
                          <w:b/>
                          <w:bCs/>
                          <w:color w:val="FFFFFF"/>
                          <w:spacing w:val="0"/>
                          <w:w w:val="100"/>
                          <w:position w:val="0"/>
                          <w:sz w:val="14"/>
                          <w:szCs w:val="14"/>
                        </w:rPr>
                        <w:t>5G</w:t>
                      </w:r>
                      <w:r>
                        <w:rPr>
                          <w:color w:val="FFFFFF"/>
                          <w:spacing w:val="0"/>
                          <w:w w:val="100"/>
                          <w:position w:val="0"/>
                          <w:sz w:val="13"/>
                          <w:szCs w:val="13"/>
                        </w:rPr>
                        <w:t>消息 触用平台</w:t>
                      </w:r>
                    </w:p>
                  </w:txbxContent>
                </v:textbox>
                <w10:wrap anchorx="page"/>
              </v:shape>
            </w:pict>
          </mc:Fallback>
        </mc:AlternateContent>
      </w:r>
      <w:r>
        <mc:AlternateContent>
          <mc:Choice Requires="wps">
            <w:drawing>
              <wp:anchor distT="0" distB="0" distL="0" distR="0" simplePos="0" relativeHeight="503316530" behindDoc="0" locked="0" layoutInCell="1" allowOverlap="1">
                <wp:simplePos x="0" y="0"/>
                <wp:positionH relativeFrom="page">
                  <wp:posOffset>4984115</wp:posOffset>
                </wp:positionH>
                <wp:positionV relativeFrom="paragraph">
                  <wp:posOffset>1069975</wp:posOffset>
                </wp:positionV>
                <wp:extent cx="514985" cy="237490"/>
                <wp:wrapNone/>
                <wp:docPr id="105" name="Shape 105"/>
                <a:graphic xmlns:a="http://schemas.openxmlformats.org/drawingml/2006/main">
                  <a:graphicData uri="http://schemas.microsoft.com/office/word/2010/wordprocessingShape">
                    <wps:wsp>
                      <wps:cNvSpPr txBox="1"/>
                      <wps:spPr>
                        <a:xfrm>
                          <a:ext cx="514985" cy="237490"/>
                        </a:xfrm>
                        <a:prstGeom prst="rect"/>
                        <a:noFill/>
                      </wps:spPr>
                      <wps:txbx>
                        <w:txbxContent>
                          <w:p>
                            <w:pPr>
                              <w:pStyle w:val="Style65"/>
                              <w:keepNext w:val="0"/>
                              <w:keepLines w:val="0"/>
                              <w:widowControl w:val="0"/>
                              <w:pBdr>
                                <w:top w:val="single" w:sz="0" w:space="0" w:color="D5DCE6"/>
                                <w:left w:val="single" w:sz="0" w:space="9" w:color="D5DCE6"/>
                                <w:bottom w:val="single" w:sz="0" w:space="0" w:color="D5DCE6"/>
                                <w:right w:val="single" w:sz="0" w:space="9" w:color="D5DCE6"/>
                              </w:pBdr>
                              <w:shd w:val="clear" w:color="auto" w:fill="D5DCE6"/>
                              <w:bidi w:val="0"/>
                              <w:spacing w:before="0" w:after="0" w:line="178" w:lineRule="exact"/>
                              <w:ind w:left="0" w:right="0" w:firstLine="0"/>
                              <w:jc w:val="center"/>
                              <w:rPr>
                                <w:sz w:val="13"/>
                                <w:szCs w:val="13"/>
                              </w:rPr>
                            </w:pPr>
                            <w:r>
                              <w:rPr>
                                <w:color w:val="FFFFFF"/>
                                <w:spacing w:val="0"/>
                                <w:w w:val="100"/>
                                <w:position w:val="0"/>
                                <w:sz w:val="13"/>
                                <w:szCs w:val="13"/>
                              </w:rPr>
                              <w:t>互联网 嶂智能运营</w:t>
                            </w:r>
                          </w:p>
                        </w:txbxContent>
                      </wps:txbx>
                      <wps:bodyPr lIns="0" tIns="0" rIns="0" bIns="0">
                        <a:noAutoFit/>
                      </wps:bodyPr>
                    </wps:wsp>
                  </a:graphicData>
                </a:graphic>
              </wp:anchor>
            </w:drawing>
          </mc:Choice>
          <mc:Fallback>
            <w:pict>
              <v:shape id="_x0000_s1131" type="#_x0000_t202" style="position:absolute;margin-left:392.44999999999999pt;margin-top:84.25pt;width:40.550000000000004pt;height:18.699999999999999pt;z-index:251657777;mso-wrap-distance-left:0;mso-wrap-distance-right:0;mso-position-horizontal-relative:page" filled="f" stroked="f">
                <v:textbox inset="0,0,0,0">
                  <w:txbxContent>
                    <w:p>
                      <w:pPr>
                        <w:pStyle w:val="Style65"/>
                        <w:keepNext w:val="0"/>
                        <w:keepLines w:val="0"/>
                        <w:widowControl w:val="0"/>
                        <w:pBdr>
                          <w:top w:val="single" w:sz="0" w:space="0" w:color="D5DCE6"/>
                          <w:left w:val="single" w:sz="0" w:space="9" w:color="D5DCE6"/>
                          <w:bottom w:val="single" w:sz="0" w:space="0" w:color="D5DCE6"/>
                          <w:right w:val="single" w:sz="0" w:space="9" w:color="D5DCE6"/>
                        </w:pBdr>
                        <w:shd w:val="clear" w:color="auto" w:fill="D5DCE6"/>
                        <w:bidi w:val="0"/>
                        <w:spacing w:before="0" w:after="0" w:line="178" w:lineRule="exact"/>
                        <w:ind w:left="0" w:right="0" w:firstLine="0"/>
                        <w:jc w:val="center"/>
                        <w:rPr>
                          <w:sz w:val="13"/>
                          <w:szCs w:val="13"/>
                        </w:rPr>
                      </w:pPr>
                      <w:r>
                        <w:rPr>
                          <w:color w:val="FFFFFF"/>
                          <w:spacing w:val="0"/>
                          <w:w w:val="100"/>
                          <w:position w:val="0"/>
                          <w:sz w:val="13"/>
                          <w:szCs w:val="13"/>
                        </w:rPr>
                        <w:t>互联网 嶂智能运营</w:t>
                      </w:r>
                    </w:p>
                  </w:txbxContent>
                </v:textbox>
                <w10:wrap anchorx="page"/>
              </v:shape>
            </w:pict>
          </mc:Fallback>
        </mc:AlternateContent>
      </w:r>
      <w:r>
        <mc:AlternateContent>
          <mc:Choice Requires="wps">
            <w:drawing>
              <wp:anchor distT="0" distB="0" distL="0" distR="0" simplePos="0" relativeHeight="503316532" behindDoc="0" locked="0" layoutInCell="1" allowOverlap="1">
                <wp:simplePos x="0" y="0"/>
                <wp:positionH relativeFrom="page">
                  <wp:posOffset>4423410</wp:posOffset>
                </wp:positionH>
                <wp:positionV relativeFrom="paragraph">
                  <wp:posOffset>661670</wp:posOffset>
                </wp:positionV>
                <wp:extent cx="435610" cy="247015"/>
                <wp:wrapNone/>
                <wp:docPr id="107" name="Shape 107"/>
                <a:graphic xmlns:a="http://schemas.openxmlformats.org/drawingml/2006/main">
                  <a:graphicData uri="http://schemas.microsoft.com/office/word/2010/wordprocessingShape">
                    <wps:wsp>
                      <wps:cNvSpPr txBox="1"/>
                      <wps:spPr>
                        <a:xfrm>
                          <a:ext cx="435610" cy="247015"/>
                        </a:xfrm>
                        <a:prstGeom prst="rect"/>
                        <a:noFill/>
                      </wps:spPr>
                      <wps:txbx>
                        <w:txbxContent>
                          <w:p>
                            <w:pPr>
                              <w:pStyle w:val="Style65"/>
                              <w:keepNext w:val="0"/>
                              <w:keepLines w:val="0"/>
                              <w:widowControl w:val="0"/>
                              <w:pBdr>
                                <w:top w:val="single" w:sz="0" w:space="0" w:color="D5DCE6"/>
                                <w:left w:val="single" w:sz="0" w:space="9" w:color="D5DCE6"/>
                                <w:bottom w:val="single" w:sz="0" w:space="0" w:color="D5DCE6"/>
                                <w:right w:val="single" w:sz="0" w:space="9" w:color="D5DCE6"/>
                              </w:pBdr>
                              <w:shd w:val="clear" w:color="auto" w:fill="D5DCE6"/>
                              <w:bidi w:val="0"/>
                              <w:spacing w:before="0" w:after="0" w:line="182" w:lineRule="exact"/>
                              <w:ind w:left="0" w:right="0" w:firstLine="0"/>
                              <w:jc w:val="right"/>
                              <w:rPr>
                                <w:sz w:val="13"/>
                                <w:szCs w:val="13"/>
                              </w:rPr>
                            </w:pPr>
                            <w:r>
                              <w:rPr>
                                <w:color w:val="FFFFFF"/>
                                <w:spacing w:val="0"/>
                                <w:w w:val="100"/>
                                <w:position w:val="0"/>
                                <w:sz w:val="13"/>
                                <w:szCs w:val="13"/>
                              </w:rPr>
                              <w:t>互联网性能 析</w:t>
                            </w:r>
                          </w:p>
                        </w:txbxContent>
                      </wps:txbx>
                      <wps:bodyPr lIns="0" tIns="0" rIns="0" bIns="0">
                        <a:noAutoFit/>
                      </wps:bodyPr>
                    </wps:wsp>
                  </a:graphicData>
                </a:graphic>
              </wp:anchor>
            </w:drawing>
          </mc:Choice>
          <mc:Fallback>
            <w:pict>
              <v:shape id="_x0000_s1133" type="#_x0000_t202" style="position:absolute;margin-left:348.30000000000001pt;margin-top:52.100000000000001pt;width:34.300000000000004pt;height:19.449999999999999pt;z-index:251657779;mso-wrap-distance-left:0;mso-wrap-distance-right:0;mso-position-horizontal-relative:page" filled="f" stroked="f">
                <v:textbox inset="0,0,0,0">
                  <w:txbxContent>
                    <w:p>
                      <w:pPr>
                        <w:pStyle w:val="Style65"/>
                        <w:keepNext w:val="0"/>
                        <w:keepLines w:val="0"/>
                        <w:widowControl w:val="0"/>
                        <w:pBdr>
                          <w:top w:val="single" w:sz="0" w:space="0" w:color="D5DCE6"/>
                          <w:left w:val="single" w:sz="0" w:space="9" w:color="D5DCE6"/>
                          <w:bottom w:val="single" w:sz="0" w:space="0" w:color="D5DCE6"/>
                          <w:right w:val="single" w:sz="0" w:space="9" w:color="D5DCE6"/>
                        </w:pBdr>
                        <w:shd w:val="clear" w:color="auto" w:fill="D5DCE6"/>
                        <w:bidi w:val="0"/>
                        <w:spacing w:before="0" w:after="0" w:line="182" w:lineRule="exact"/>
                        <w:ind w:left="0" w:right="0" w:firstLine="0"/>
                        <w:jc w:val="right"/>
                        <w:rPr>
                          <w:sz w:val="13"/>
                          <w:szCs w:val="13"/>
                        </w:rPr>
                      </w:pPr>
                      <w:r>
                        <w:rPr>
                          <w:color w:val="FFFFFF"/>
                          <w:spacing w:val="0"/>
                          <w:w w:val="100"/>
                          <w:position w:val="0"/>
                          <w:sz w:val="13"/>
                          <w:szCs w:val="13"/>
                        </w:rPr>
                        <w:t>互联网性能 析</w:t>
                      </w:r>
                    </w:p>
                  </w:txbxContent>
                </v:textbox>
                <w10:wrap anchorx="page"/>
              </v:shape>
            </w:pict>
          </mc:Fallback>
        </mc:AlternateContent>
      </w:r>
      <w:r>
        <mc:AlternateContent>
          <mc:Choice Requires="wps">
            <w:drawing>
              <wp:anchor distT="0" distB="0" distL="0" distR="0" simplePos="0" relativeHeight="503316534" behindDoc="0" locked="0" layoutInCell="1" allowOverlap="1">
                <wp:simplePos x="0" y="0"/>
                <wp:positionH relativeFrom="page">
                  <wp:posOffset>4462780</wp:posOffset>
                </wp:positionH>
                <wp:positionV relativeFrom="paragraph">
                  <wp:posOffset>259080</wp:posOffset>
                </wp:positionV>
                <wp:extent cx="356870" cy="247015"/>
                <wp:wrapNone/>
                <wp:docPr id="109" name="Shape 109"/>
                <a:graphic xmlns:a="http://schemas.openxmlformats.org/drawingml/2006/main">
                  <a:graphicData uri="http://schemas.microsoft.com/office/word/2010/wordprocessingShape">
                    <wps:wsp>
                      <wps:cNvSpPr txBox="1"/>
                      <wps:spPr>
                        <a:xfrm>
                          <a:ext cx="356870" cy="247015"/>
                        </a:xfrm>
                        <a:prstGeom prst="rect"/>
                        <a:noFill/>
                      </wps:spPr>
                      <wps:txbx>
                        <w:txbxContent>
                          <w:p>
                            <w:pPr>
                              <w:pStyle w:val="Style65"/>
                              <w:keepNext w:val="0"/>
                              <w:keepLines w:val="0"/>
                              <w:widowControl w:val="0"/>
                              <w:pBdr>
                                <w:top w:val="single" w:sz="0" w:space="0" w:color="D5DCE6"/>
                                <w:left w:val="single" w:sz="0" w:space="9" w:color="D5DCE6"/>
                                <w:bottom w:val="single" w:sz="0" w:space="0" w:color="D5DCE6"/>
                                <w:right w:val="single" w:sz="0" w:space="9" w:color="D5DCE6"/>
                              </w:pBdr>
                              <w:shd w:val="clear" w:color="auto" w:fill="D5DCE6"/>
                              <w:bidi w:val="0"/>
                              <w:spacing w:before="0" w:after="0" w:line="192" w:lineRule="exact"/>
                              <w:ind w:left="0" w:right="0" w:firstLine="0"/>
                              <w:jc w:val="center"/>
                              <w:rPr>
                                <w:sz w:val="13"/>
                                <w:szCs w:val="13"/>
                              </w:rPr>
                            </w:pPr>
                            <w:r>
                              <w:rPr>
                                <w:rFonts w:ascii="Segoe UI" w:eastAsia="Segoe UI" w:hAnsi="Segoe UI" w:cs="Segoe UI"/>
                                <w:b/>
                                <w:bCs/>
                                <w:color w:val="FFFFFF"/>
                                <w:spacing w:val="0"/>
                                <w:w w:val="100"/>
                                <w:position w:val="0"/>
                                <w:sz w:val="14"/>
                                <w:szCs w:val="14"/>
                              </w:rPr>
                              <w:t>5G</w:t>
                            </w:r>
                            <w:r>
                              <w:rPr>
                                <w:color w:val="FFFFFF"/>
                                <w:spacing w:val="0"/>
                                <w:w w:val="100"/>
                                <w:position w:val="0"/>
                                <w:sz w:val="13"/>
                                <w:szCs w:val="13"/>
                              </w:rPr>
                              <w:t>匹网 智能监控</w:t>
                            </w:r>
                          </w:p>
                        </w:txbxContent>
                      </wps:txbx>
                      <wps:bodyPr lIns="0" tIns="0" rIns="0" bIns="0">
                        <a:noAutoFit/>
                      </wps:bodyPr>
                    </wps:wsp>
                  </a:graphicData>
                </a:graphic>
              </wp:anchor>
            </w:drawing>
          </mc:Choice>
          <mc:Fallback>
            <w:pict>
              <v:shape id="_x0000_s1135" type="#_x0000_t202" style="position:absolute;margin-left:351.40000000000003pt;margin-top:20.400000000000002pt;width:28.100000000000001pt;height:19.449999999999999pt;z-index:251657781;mso-wrap-distance-left:0;mso-wrap-distance-right:0;mso-position-horizontal-relative:page" filled="f" stroked="f">
                <v:textbox inset="0,0,0,0">
                  <w:txbxContent>
                    <w:p>
                      <w:pPr>
                        <w:pStyle w:val="Style65"/>
                        <w:keepNext w:val="0"/>
                        <w:keepLines w:val="0"/>
                        <w:widowControl w:val="0"/>
                        <w:pBdr>
                          <w:top w:val="single" w:sz="0" w:space="0" w:color="D5DCE6"/>
                          <w:left w:val="single" w:sz="0" w:space="9" w:color="D5DCE6"/>
                          <w:bottom w:val="single" w:sz="0" w:space="0" w:color="D5DCE6"/>
                          <w:right w:val="single" w:sz="0" w:space="9" w:color="D5DCE6"/>
                        </w:pBdr>
                        <w:shd w:val="clear" w:color="auto" w:fill="D5DCE6"/>
                        <w:bidi w:val="0"/>
                        <w:spacing w:before="0" w:after="0" w:line="192" w:lineRule="exact"/>
                        <w:ind w:left="0" w:right="0" w:firstLine="0"/>
                        <w:jc w:val="center"/>
                        <w:rPr>
                          <w:sz w:val="13"/>
                          <w:szCs w:val="13"/>
                        </w:rPr>
                      </w:pPr>
                      <w:r>
                        <w:rPr>
                          <w:rFonts w:ascii="Segoe UI" w:eastAsia="Segoe UI" w:hAnsi="Segoe UI" w:cs="Segoe UI"/>
                          <w:b/>
                          <w:bCs/>
                          <w:color w:val="FFFFFF"/>
                          <w:spacing w:val="0"/>
                          <w:w w:val="100"/>
                          <w:position w:val="0"/>
                          <w:sz w:val="14"/>
                          <w:szCs w:val="14"/>
                        </w:rPr>
                        <w:t>5G</w:t>
                      </w:r>
                      <w:r>
                        <w:rPr>
                          <w:color w:val="FFFFFF"/>
                          <w:spacing w:val="0"/>
                          <w:w w:val="100"/>
                          <w:position w:val="0"/>
                          <w:sz w:val="13"/>
                          <w:szCs w:val="13"/>
                        </w:rPr>
                        <w:t>匹网 智能监控</w:t>
                      </w:r>
                    </w:p>
                  </w:txbxContent>
                </v:textbox>
                <w10:wrap anchorx="page"/>
              </v:shape>
            </w:pict>
          </mc:Fallback>
        </mc:AlternateContent>
      </w:r>
      <w:r>
        <mc:AlternateContent>
          <mc:Choice Requires="wps">
            <w:drawing>
              <wp:anchor distT="0" distB="0" distL="0" distR="0" simplePos="0" relativeHeight="503316536" behindDoc="0" locked="0" layoutInCell="1" allowOverlap="1">
                <wp:simplePos x="0" y="0"/>
                <wp:positionH relativeFrom="page">
                  <wp:posOffset>4462780</wp:posOffset>
                </wp:positionH>
                <wp:positionV relativeFrom="paragraph">
                  <wp:posOffset>1064260</wp:posOffset>
                </wp:positionV>
                <wp:extent cx="356870" cy="243840"/>
                <wp:wrapNone/>
                <wp:docPr id="111" name="Shape 111"/>
                <a:graphic xmlns:a="http://schemas.openxmlformats.org/drawingml/2006/main">
                  <a:graphicData uri="http://schemas.microsoft.com/office/word/2010/wordprocessingShape">
                    <wps:wsp>
                      <wps:cNvSpPr txBox="1"/>
                      <wps:spPr>
                        <a:xfrm>
                          <a:ext cx="356870" cy="243840"/>
                        </a:xfrm>
                        <a:prstGeom prst="rect"/>
                        <a:noFill/>
                      </wps:spPr>
                      <wps:txbx>
                        <w:txbxContent>
                          <w:p>
                            <w:pPr>
                              <w:pStyle w:val="Style65"/>
                              <w:keepNext w:val="0"/>
                              <w:keepLines w:val="0"/>
                              <w:widowControl w:val="0"/>
                              <w:pBdr>
                                <w:top w:val="single" w:sz="0" w:space="0" w:color="D5DCE6"/>
                                <w:left w:val="single" w:sz="0" w:space="9" w:color="D5DCE6"/>
                                <w:bottom w:val="single" w:sz="0" w:space="0" w:color="D5DCE6"/>
                                <w:right w:val="single" w:sz="0" w:space="9" w:color="D5DCE6"/>
                              </w:pBdr>
                              <w:shd w:val="clear" w:color="auto" w:fill="D5DCE6"/>
                              <w:bidi w:val="0"/>
                              <w:spacing w:before="0" w:after="0" w:line="192" w:lineRule="exact"/>
                              <w:ind w:left="0" w:right="0" w:firstLine="0"/>
                              <w:jc w:val="center"/>
                              <w:rPr>
                                <w:sz w:val="13"/>
                                <w:szCs w:val="13"/>
                              </w:rPr>
                            </w:pPr>
                            <w:r>
                              <w:rPr>
                                <w:rFonts w:ascii="Times New Roman" w:eastAsia="Times New Roman" w:hAnsi="Times New Roman" w:cs="Times New Roman"/>
                                <w:b/>
                                <w:bCs/>
                                <w:color w:val="FFFFFF"/>
                                <w:spacing w:val="0"/>
                                <w:w w:val="100"/>
                                <w:position w:val="0"/>
                                <w:sz w:val="18"/>
                                <w:szCs w:val="18"/>
                              </w:rPr>
                              <w:t xml:space="preserve">CPE </w:t>
                            </w:r>
                            <w:r>
                              <w:rPr>
                                <w:color w:val="FFFFFF"/>
                                <w:spacing w:val="0"/>
                                <w:w w:val="100"/>
                                <w:position w:val="0"/>
                                <w:sz w:val="13"/>
                                <w:szCs w:val="13"/>
                              </w:rPr>
                              <w:t>旷运维</w:t>
                            </w:r>
                          </w:p>
                        </w:txbxContent>
                      </wps:txbx>
                      <wps:bodyPr lIns="0" tIns="0" rIns="0" bIns="0">
                        <a:noAutoFit/>
                      </wps:bodyPr>
                    </wps:wsp>
                  </a:graphicData>
                </a:graphic>
              </wp:anchor>
            </w:drawing>
          </mc:Choice>
          <mc:Fallback>
            <w:pict>
              <v:shape id="_x0000_s1137" type="#_x0000_t202" style="position:absolute;margin-left:351.40000000000003pt;margin-top:83.799999999999997pt;width:28.100000000000001pt;height:19.199999999999999pt;z-index:251657783;mso-wrap-distance-left:0;mso-wrap-distance-right:0;mso-position-horizontal-relative:page" filled="f" stroked="f">
                <v:textbox inset="0,0,0,0">
                  <w:txbxContent>
                    <w:p>
                      <w:pPr>
                        <w:pStyle w:val="Style65"/>
                        <w:keepNext w:val="0"/>
                        <w:keepLines w:val="0"/>
                        <w:widowControl w:val="0"/>
                        <w:pBdr>
                          <w:top w:val="single" w:sz="0" w:space="0" w:color="D5DCE6"/>
                          <w:left w:val="single" w:sz="0" w:space="9" w:color="D5DCE6"/>
                          <w:bottom w:val="single" w:sz="0" w:space="0" w:color="D5DCE6"/>
                          <w:right w:val="single" w:sz="0" w:space="9" w:color="D5DCE6"/>
                        </w:pBdr>
                        <w:shd w:val="clear" w:color="auto" w:fill="D5DCE6"/>
                        <w:bidi w:val="0"/>
                        <w:spacing w:before="0" w:after="0" w:line="192" w:lineRule="exact"/>
                        <w:ind w:left="0" w:right="0" w:firstLine="0"/>
                        <w:jc w:val="center"/>
                        <w:rPr>
                          <w:sz w:val="13"/>
                          <w:szCs w:val="13"/>
                        </w:rPr>
                      </w:pPr>
                      <w:r>
                        <w:rPr>
                          <w:rFonts w:ascii="Times New Roman" w:eastAsia="Times New Roman" w:hAnsi="Times New Roman" w:cs="Times New Roman"/>
                          <w:b/>
                          <w:bCs/>
                          <w:color w:val="FFFFFF"/>
                          <w:spacing w:val="0"/>
                          <w:w w:val="100"/>
                          <w:position w:val="0"/>
                          <w:sz w:val="18"/>
                          <w:szCs w:val="18"/>
                        </w:rPr>
                        <w:t xml:space="preserve">CPE </w:t>
                      </w:r>
                      <w:r>
                        <w:rPr>
                          <w:color w:val="FFFFFF"/>
                          <w:spacing w:val="0"/>
                          <w:w w:val="100"/>
                          <w:position w:val="0"/>
                          <w:sz w:val="13"/>
                          <w:szCs w:val="13"/>
                        </w:rPr>
                        <w:t>旷运维</w:t>
                      </w:r>
                    </w:p>
                  </w:txbxContent>
                </v:textbox>
                <w10:wrap anchorx="page"/>
              </v:shape>
            </w:pict>
          </mc:Fallback>
        </mc:AlternateContent>
      </w:r>
      <w:r>
        <mc:AlternateContent>
          <mc:Choice Requires="wps">
            <w:drawing>
              <wp:anchor distT="262255" distB="2755265" distL="0" distR="0" simplePos="0" relativeHeight="125829384" behindDoc="0" locked="0" layoutInCell="1" allowOverlap="1">
                <wp:simplePos x="0" y="0"/>
                <wp:positionH relativeFrom="page">
                  <wp:posOffset>5062855</wp:posOffset>
                </wp:positionH>
                <wp:positionV relativeFrom="paragraph">
                  <wp:posOffset>262255</wp:posOffset>
                </wp:positionV>
                <wp:extent cx="353695" cy="250190"/>
                <wp:wrapTopAndBottom/>
                <wp:docPr id="113" name="Shape 113"/>
                <a:graphic xmlns:a="http://schemas.openxmlformats.org/drawingml/2006/main">
                  <a:graphicData uri="http://schemas.microsoft.com/office/word/2010/wordprocessingShape">
                    <wps:wsp>
                      <wps:cNvSpPr txBox="1"/>
                      <wps:spPr>
                        <a:xfrm>
                          <a:ext cx="353695" cy="250190"/>
                        </a:xfrm>
                        <a:prstGeom prst="rect"/>
                        <a:noFill/>
                      </wps:spPr>
                      <wps:txbx>
                        <w:txbxContent>
                          <w:p>
                            <w:pPr>
                              <w:pStyle w:val="Style2"/>
                              <w:keepNext w:val="0"/>
                              <w:keepLines w:val="0"/>
                              <w:widowControl w:val="0"/>
                              <w:pBdr>
                                <w:top w:val="single" w:sz="0" w:space="0" w:color="D5DCE6"/>
                                <w:left w:val="single" w:sz="0" w:space="9" w:color="D5DCE6"/>
                                <w:bottom w:val="single" w:sz="0" w:space="0" w:color="D5DCE6"/>
                                <w:right w:val="single" w:sz="0" w:space="9" w:color="D5DCE6"/>
                              </w:pBdr>
                              <w:shd w:val="clear" w:color="auto" w:fill="D5DCE6"/>
                              <w:bidi w:val="0"/>
                              <w:spacing w:before="0" w:after="0" w:line="187" w:lineRule="exact"/>
                              <w:ind w:left="0" w:right="0" w:firstLine="0"/>
                              <w:jc w:val="center"/>
                              <w:rPr>
                                <w:sz w:val="14"/>
                                <w:szCs w:val="14"/>
                              </w:rPr>
                            </w:pPr>
                            <w:r>
                              <w:rPr>
                                <w:rFonts w:ascii="Segoe UI" w:eastAsia="Segoe UI" w:hAnsi="Segoe UI" w:cs="Segoe UI"/>
                                <w:b/>
                                <w:bCs/>
                                <w:color w:val="FFFFFF"/>
                                <w:spacing w:val="0"/>
                                <w:w w:val="100"/>
                                <w:position w:val="0"/>
                                <w:sz w:val="14"/>
                                <w:szCs w:val="14"/>
                              </w:rPr>
                              <w:t>5G</w:t>
                            </w:r>
                            <w:r>
                              <w:rPr>
                                <w:rFonts w:ascii="SimHei" w:eastAsia="SimHei" w:hAnsi="SimHei" w:cs="SimHei"/>
                                <w:color w:val="FFFFFF"/>
                                <w:spacing w:val="0"/>
                                <w:w w:val="100"/>
                                <w:position w:val="0"/>
                                <w:sz w:val="13"/>
                                <w:szCs w:val="13"/>
                              </w:rPr>
                              <w:t>切片</w:t>
                              <w:br/>
                              <w:t>智能</w:t>
                            </w:r>
                            <w:r>
                              <w:rPr>
                                <w:rFonts w:ascii="Segoe UI" w:eastAsia="Segoe UI" w:hAnsi="Segoe UI" w:cs="Segoe UI"/>
                                <w:b/>
                                <w:bCs/>
                                <w:color w:val="FFFFFF"/>
                                <w:spacing w:val="0"/>
                                <w:w w:val="100"/>
                                <w:position w:val="0"/>
                                <w:sz w:val="14"/>
                                <w:szCs w:val="14"/>
                              </w:rPr>
                              <w:t>fa</w:t>
                            </w:r>
                          </w:p>
                        </w:txbxContent>
                      </wps:txbx>
                      <wps:bodyPr lIns="0" tIns="0" rIns="0" bIns="0">
                        <a:noAutoFit/>
                      </wps:bodyPr>
                    </wps:wsp>
                  </a:graphicData>
                </a:graphic>
              </wp:anchor>
            </w:drawing>
          </mc:Choice>
          <mc:Fallback>
            <w:pict>
              <v:shape id="_x0000_s1139" type="#_x0000_t202" style="position:absolute;margin-left:398.65000000000003pt;margin-top:20.650000000000002pt;width:27.850000000000001pt;height:19.699999999999999pt;z-index:-125829369;mso-wrap-distance-left:0;mso-wrap-distance-top:20.650000000000002pt;mso-wrap-distance-right:0;mso-wrap-distance-bottom:216.95000000000002pt;mso-position-horizontal-relative:page" filled="f" stroked="f">
                <v:textbox inset="0,0,0,0">
                  <w:txbxContent>
                    <w:p>
                      <w:pPr>
                        <w:pStyle w:val="Style2"/>
                        <w:keepNext w:val="0"/>
                        <w:keepLines w:val="0"/>
                        <w:widowControl w:val="0"/>
                        <w:pBdr>
                          <w:top w:val="single" w:sz="0" w:space="0" w:color="D5DCE6"/>
                          <w:left w:val="single" w:sz="0" w:space="9" w:color="D5DCE6"/>
                          <w:bottom w:val="single" w:sz="0" w:space="0" w:color="D5DCE6"/>
                          <w:right w:val="single" w:sz="0" w:space="9" w:color="D5DCE6"/>
                        </w:pBdr>
                        <w:shd w:val="clear" w:color="auto" w:fill="D5DCE6"/>
                        <w:bidi w:val="0"/>
                        <w:spacing w:before="0" w:after="0" w:line="187" w:lineRule="exact"/>
                        <w:ind w:left="0" w:right="0" w:firstLine="0"/>
                        <w:jc w:val="center"/>
                        <w:rPr>
                          <w:sz w:val="14"/>
                          <w:szCs w:val="14"/>
                        </w:rPr>
                      </w:pPr>
                      <w:r>
                        <w:rPr>
                          <w:rFonts w:ascii="Segoe UI" w:eastAsia="Segoe UI" w:hAnsi="Segoe UI" w:cs="Segoe UI"/>
                          <w:b/>
                          <w:bCs/>
                          <w:color w:val="FFFFFF"/>
                          <w:spacing w:val="0"/>
                          <w:w w:val="100"/>
                          <w:position w:val="0"/>
                          <w:sz w:val="14"/>
                          <w:szCs w:val="14"/>
                        </w:rPr>
                        <w:t>5G</w:t>
                      </w:r>
                      <w:r>
                        <w:rPr>
                          <w:rFonts w:ascii="SimHei" w:eastAsia="SimHei" w:hAnsi="SimHei" w:cs="SimHei"/>
                          <w:color w:val="FFFFFF"/>
                          <w:spacing w:val="0"/>
                          <w:w w:val="100"/>
                          <w:position w:val="0"/>
                          <w:sz w:val="13"/>
                          <w:szCs w:val="13"/>
                        </w:rPr>
                        <w:t>切片</w:t>
                        <w:br/>
                        <w:t>智能</w:t>
                      </w:r>
                      <w:r>
                        <w:rPr>
                          <w:rFonts w:ascii="Segoe UI" w:eastAsia="Segoe UI" w:hAnsi="Segoe UI" w:cs="Segoe UI"/>
                          <w:b/>
                          <w:bCs/>
                          <w:color w:val="FFFFFF"/>
                          <w:spacing w:val="0"/>
                          <w:w w:val="100"/>
                          <w:position w:val="0"/>
                          <w:sz w:val="14"/>
                          <w:szCs w:val="14"/>
                        </w:rPr>
                        <w:t>fa</w:t>
                      </w:r>
                    </w:p>
                  </w:txbxContent>
                </v:textbox>
                <w10:wrap type="topAndBottom" anchorx="page"/>
              </v:shape>
            </w:pict>
          </mc:Fallback>
        </mc:AlternateContent>
      </w:r>
      <w:r>
        <mc:AlternateContent>
          <mc:Choice Requires="wps">
            <w:drawing>
              <wp:anchor distT="1124585" distB="2018030" distL="0" distR="0" simplePos="0" relativeHeight="125829386" behindDoc="0" locked="0" layoutInCell="1" allowOverlap="1">
                <wp:simplePos x="0" y="0"/>
                <wp:positionH relativeFrom="page">
                  <wp:posOffset>6382385</wp:posOffset>
                </wp:positionH>
                <wp:positionV relativeFrom="paragraph">
                  <wp:posOffset>1124585</wp:posOffset>
                </wp:positionV>
                <wp:extent cx="356870" cy="125095"/>
                <wp:wrapTopAndBottom/>
                <wp:docPr id="115" name="Shape 115"/>
                <a:graphic xmlns:a="http://schemas.openxmlformats.org/drawingml/2006/main">
                  <a:graphicData uri="http://schemas.microsoft.com/office/word/2010/wordprocessingShape">
                    <wps:wsp>
                      <wps:cNvSpPr txBox="1"/>
                      <wps:spPr>
                        <a:xfrm>
                          <a:ext cx="356870" cy="125095"/>
                        </a:xfrm>
                        <a:prstGeom prst="rect"/>
                        <a:noFill/>
                      </wps:spPr>
                      <wps:txbx>
                        <w:txbxContent>
                          <w:p>
                            <w:pPr>
                              <w:pStyle w:val="Style2"/>
                              <w:keepNext w:val="0"/>
                              <w:keepLines w:val="0"/>
                              <w:widowControl w:val="0"/>
                              <w:pBdr>
                                <w:top w:val="single" w:sz="0" w:space="0" w:color="0071C1"/>
                                <w:left w:val="single" w:sz="0" w:space="0" w:color="0071C1"/>
                                <w:bottom w:val="single" w:sz="0" w:space="0" w:color="0071C1"/>
                                <w:right w:val="single" w:sz="0" w:space="0" w:color="0071C1"/>
                              </w:pBdr>
                              <w:shd w:val="clear" w:color="auto" w:fill="0071C1"/>
                              <w:bidi w:val="0"/>
                              <w:spacing w:before="0" w:after="0" w:line="240" w:lineRule="auto"/>
                              <w:ind w:left="0" w:right="0" w:firstLine="0"/>
                              <w:jc w:val="left"/>
                              <w:rPr>
                                <w:sz w:val="13"/>
                                <w:szCs w:val="13"/>
                              </w:rPr>
                            </w:pPr>
                            <w:r>
                              <w:rPr>
                                <w:rFonts w:ascii="SimHei" w:eastAsia="SimHei" w:hAnsi="SimHei" w:cs="SimHei"/>
                                <w:color w:val="FFFFFF"/>
                                <w:spacing w:val="0"/>
                                <w:w w:val="100"/>
                                <w:position w:val="0"/>
                                <w:sz w:val="13"/>
                                <w:szCs w:val="13"/>
                              </w:rPr>
                              <w:t>广告平台</w:t>
                            </w:r>
                          </w:p>
                        </w:txbxContent>
                      </wps:txbx>
                      <wps:bodyPr wrap="none" lIns="0" tIns="0" rIns="0" bIns="0">
                        <a:noAutoFit/>
                      </wps:bodyPr>
                    </wps:wsp>
                  </a:graphicData>
                </a:graphic>
              </wp:anchor>
            </w:drawing>
          </mc:Choice>
          <mc:Fallback>
            <w:pict>
              <v:shape id="_x0000_s1141" type="#_x0000_t202" style="position:absolute;margin-left:502.55000000000001pt;margin-top:88.549999999999997pt;width:28.100000000000001pt;height:9.8499999999999996pt;z-index:-125829367;mso-wrap-distance-left:0;mso-wrap-distance-top:88.549999999999997pt;mso-wrap-distance-right:0;mso-wrap-distance-bottom:158.90000000000001pt;mso-position-horizontal-relative:page" filled="f" stroked="f">
                <v:textbox inset="0,0,0,0">
                  <w:txbxContent>
                    <w:p>
                      <w:pPr>
                        <w:pStyle w:val="Style2"/>
                        <w:keepNext w:val="0"/>
                        <w:keepLines w:val="0"/>
                        <w:widowControl w:val="0"/>
                        <w:pBdr>
                          <w:top w:val="single" w:sz="0" w:space="0" w:color="0071C1"/>
                          <w:left w:val="single" w:sz="0" w:space="0" w:color="0071C1"/>
                          <w:bottom w:val="single" w:sz="0" w:space="0" w:color="0071C1"/>
                          <w:right w:val="single" w:sz="0" w:space="0" w:color="0071C1"/>
                        </w:pBdr>
                        <w:shd w:val="clear" w:color="auto" w:fill="0071C1"/>
                        <w:bidi w:val="0"/>
                        <w:spacing w:before="0" w:after="0" w:line="240" w:lineRule="auto"/>
                        <w:ind w:left="0" w:right="0" w:firstLine="0"/>
                        <w:jc w:val="left"/>
                        <w:rPr>
                          <w:sz w:val="13"/>
                          <w:szCs w:val="13"/>
                        </w:rPr>
                      </w:pPr>
                      <w:r>
                        <w:rPr>
                          <w:rFonts w:ascii="SimHei" w:eastAsia="SimHei" w:hAnsi="SimHei" w:cs="SimHei"/>
                          <w:color w:val="FFFFFF"/>
                          <w:spacing w:val="0"/>
                          <w:w w:val="100"/>
                          <w:position w:val="0"/>
                          <w:sz w:val="13"/>
                          <w:szCs w:val="13"/>
                        </w:rPr>
                        <w:t>广告平台</w:t>
                      </w:r>
                    </w:p>
                  </w:txbxContent>
                </v:textbox>
                <w10:wrap type="topAndBottom" anchorx="page"/>
              </v:shape>
            </w:pict>
          </mc:Fallback>
        </mc:AlternateContent>
      </w:r>
      <w:r>
        <mc:AlternateContent>
          <mc:Choice Requires="wps">
            <w:drawing>
              <wp:anchor distT="1850390" distB="893445" distL="277495" distR="0" simplePos="0" relativeHeight="125829388" behindDoc="0" locked="0" layoutInCell="1" allowOverlap="1">
                <wp:simplePos x="0" y="0"/>
                <wp:positionH relativeFrom="page">
                  <wp:posOffset>1155700</wp:posOffset>
                </wp:positionH>
                <wp:positionV relativeFrom="paragraph">
                  <wp:posOffset>1850390</wp:posOffset>
                </wp:positionV>
                <wp:extent cx="5687695" cy="524510"/>
                <wp:wrapTopAndBottom/>
                <wp:docPr id="117" name="Shape 117"/>
                <a:graphic xmlns:a="http://schemas.openxmlformats.org/drawingml/2006/main">
                  <a:graphicData uri="http://schemas.microsoft.com/office/word/2010/wordprocessingShape">
                    <wps:wsp>
                      <wps:cNvSpPr txBox="1"/>
                      <wps:spPr>
                        <a:xfrm>
                          <a:ext cx="5687695" cy="524510"/>
                        </a:xfrm>
                        <a:prstGeom prst="rect"/>
                        <a:noFill/>
                      </wps:spPr>
                      <wps:txbx>
                        <w:txbxContent>
                          <w:tbl>
                            <w:tblPr>
                              <w:tblOverlap w:val="never"/>
                              <w:jc w:val="left"/>
                              <w:tblLayout w:type="fixed"/>
                            </w:tblPr>
                            <w:tblGrid>
                              <w:gridCol w:w="1771"/>
                              <w:gridCol w:w="1805"/>
                              <w:gridCol w:w="1800"/>
                              <w:gridCol w:w="1805"/>
                              <w:gridCol w:w="1776"/>
                            </w:tblGrid>
                            <w:tr>
                              <w:trPr>
                                <w:tblHeader/>
                                <w:trHeight w:val="413" w:hRule="exact"/>
                              </w:trPr>
                              <w:tc>
                                <w:tcPr>
                                  <w:tcBorders/>
                                  <w:shd w:val="clear" w:color="auto" w:fill="026EBB"/>
                                  <w:vAlign w:val="center"/>
                                </w:tcPr>
                                <w:p>
                                  <w:pPr>
                                    <w:pStyle w:val="Style2"/>
                                    <w:keepNext w:val="0"/>
                                    <w:keepLines w:val="0"/>
                                    <w:widowControl w:val="0"/>
                                    <w:pBdr>
                                      <w:top w:val="single" w:sz="0" w:space="0" w:color="056AB0"/>
                                      <w:left w:val="single" w:sz="0" w:space="0" w:color="056AB0"/>
                                      <w:bottom w:val="single" w:sz="0" w:space="0" w:color="056AB0"/>
                                      <w:right w:val="single" w:sz="0" w:space="0" w:color="056AB0"/>
                                    </w:pBdr>
                                    <w:shd w:val="clear" w:color="auto" w:fill="056AB0"/>
                                    <w:bidi w:val="0"/>
                                    <w:spacing w:before="0" w:after="0" w:line="240" w:lineRule="auto"/>
                                    <w:ind w:left="0" w:right="0" w:firstLine="340"/>
                                    <w:jc w:val="left"/>
                                    <w:rPr>
                                      <w:sz w:val="13"/>
                                      <w:szCs w:val="13"/>
                                    </w:rPr>
                                  </w:pPr>
                                  <w:r>
                                    <w:rPr>
                                      <w:rFonts w:ascii="SimHei" w:eastAsia="SimHei" w:hAnsi="SimHei" w:cs="SimHei"/>
                                      <w:color w:val="DBE5EE"/>
                                      <w:spacing w:val="0"/>
                                      <w:w w:val="100"/>
                                      <w:position w:val="0"/>
                                      <w:sz w:val="13"/>
                                      <w:szCs w:val="13"/>
                                    </w:rPr>
                                    <w:t>统</w:t>
                                  </w:r>
                                  <w:r>
                                    <w:rPr>
                                      <w:rFonts w:ascii="SimHei" w:eastAsia="SimHei" w:hAnsi="SimHei" w:cs="SimHei"/>
                                      <w:color w:val="DBE5EE"/>
                                      <w:spacing w:val="0"/>
                                      <w:w w:val="100"/>
                                      <w:position w:val="0"/>
                                      <w:sz w:val="13"/>
                                      <w:szCs w:val="13"/>
                                    </w:rPr>
                                    <w:t>T</w:t>
                                  </w:r>
                                  <w:r>
                                    <w:rPr>
                                      <w:rFonts w:ascii="SimHei" w:eastAsia="SimHei" w:hAnsi="SimHei" w:cs="SimHei"/>
                                      <w:color w:val="DBE5EE"/>
                                      <w:spacing w:val="0"/>
                                      <w:w w:val="100"/>
                                      <w:position w:val="0"/>
                                      <w:sz w:val="13"/>
                                      <w:szCs w:val="13"/>
                                    </w:rPr>
                                    <w:t>翘作中心</w:t>
                                  </w:r>
                                </w:p>
                              </w:tc>
                              <w:tc>
                                <w:tcPr>
                                  <w:tcBorders/>
                                  <w:shd w:val="clear" w:color="auto" w:fill="026EBB"/>
                                  <w:vAlign w:val="center"/>
                                </w:tcPr>
                                <w:p>
                                  <w:pPr>
                                    <w:pStyle w:val="Style2"/>
                                    <w:keepNext w:val="0"/>
                                    <w:keepLines w:val="0"/>
                                    <w:widowControl w:val="0"/>
                                    <w:pBdr>
                                      <w:top w:val="single" w:sz="0" w:space="0" w:color="056AB0"/>
                                      <w:left w:val="single" w:sz="0" w:space="0" w:color="056AB0"/>
                                      <w:bottom w:val="single" w:sz="0" w:space="0" w:color="056AB0"/>
                                      <w:right w:val="single" w:sz="0" w:space="0" w:color="056AB0"/>
                                    </w:pBdr>
                                    <w:shd w:val="clear" w:color="auto" w:fill="056AB0"/>
                                    <w:bidi w:val="0"/>
                                    <w:spacing w:before="0" w:after="0" w:line="240" w:lineRule="auto"/>
                                    <w:ind w:left="0" w:right="0" w:firstLine="0"/>
                                    <w:jc w:val="center"/>
                                    <w:rPr>
                                      <w:sz w:val="13"/>
                                      <w:szCs w:val="13"/>
                                    </w:rPr>
                                  </w:pPr>
                                  <w:r>
                                    <w:rPr>
                                      <w:rFonts w:ascii="SimHei" w:eastAsia="SimHei" w:hAnsi="SimHei" w:cs="SimHei"/>
                                      <w:color w:val="DBE5EE"/>
                                      <w:spacing w:val="0"/>
                                      <w:w w:val="100"/>
                                      <w:position w:val="0"/>
                                      <w:sz w:val="13"/>
                                      <w:szCs w:val="13"/>
                                    </w:rPr>
                                    <w:t>业务编排跚中心</w:t>
                                  </w:r>
                                </w:p>
                              </w:tc>
                              <w:tc>
                                <w:tcPr>
                                  <w:tcBorders/>
                                  <w:shd w:val="clear" w:color="auto" w:fill="026EBB"/>
                                  <w:vAlign w:val="center"/>
                                </w:tcPr>
                                <w:p>
                                  <w:pPr>
                                    <w:pStyle w:val="Style2"/>
                                    <w:keepNext w:val="0"/>
                                    <w:keepLines w:val="0"/>
                                    <w:widowControl w:val="0"/>
                                    <w:pBdr>
                                      <w:top w:val="single" w:sz="0" w:space="0" w:color="056AB0"/>
                                      <w:left w:val="single" w:sz="0" w:space="0" w:color="056AB0"/>
                                      <w:bottom w:val="single" w:sz="0" w:space="0" w:color="056AB0"/>
                                      <w:right w:val="single" w:sz="0" w:space="0" w:color="056AB0"/>
                                    </w:pBdr>
                                    <w:shd w:val="clear" w:color="auto" w:fill="056AB0"/>
                                    <w:bidi w:val="0"/>
                                    <w:spacing w:before="0" w:after="0" w:line="240" w:lineRule="auto"/>
                                    <w:ind w:left="0" w:right="0" w:firstLine="0"/>
                                    <w:jc w:val="center"/>
                                    <w:rPr>
                                      <w:sz w:val="13"/>
                                      <w:szCs w:val="13"/>
                                    </w:rPr>
                                  </w:pPr>
                                  <w:r>
                                    <w:rPr>
                                      <w:rFonts w:ascii="SimHei" w:eastAsia="SimHei" w:hAnsi="SimHei" w:cs="SimHei"/>
                                      <w:color w:val="DBE5EE"/>
                                      <w:spacing w:val="0"/>
                                      <w:w w:val="100"/>
                                      <w:position w:val="0"/>
                                      <w:sz w:val="13"/>
                                      <w:szCs w:val="13"/>
                                    </w:rPr>
                                    <w:t>雅引擎能力中心</w:t>
                                  </w:r>
                                </w:p>
                              </w:tc>
                              <w:tc>
                                <w:tcPr>
                                  <w:tcBorders/>
                                  <w:shd w:val="clear" w:color="auto" w:fill="026EBB"/>
                                  <w:vAlign w:val="center"/>
                                </w:tcPr>
                                <w:p>
                                  <w:pPr>
                                    <w:pStyle w:val="Style2"/>
                                    <w:keepNext w:val="0"/>
                                    <w:keepLines w:val="0"/>
                                    <w:widowControl w:val="0"/>
                                    <w:pBdr>
                                      <w:top w:val="single" w:sz="0" w:space="0" w:color="056AB0"/>
                                      <w:left w:val="single" w:sz="0" w:space="0" w:color="056AB0"/>
                                      <w:bottom w:val="single" w:sz="0" w:space="0" w:color="056AB0"/>
                                      <w:right w:val="single" w:sz="0" w:space="0" w:color="056AB0"/>
                                    </w:pBdr>
                                    <w:shd w:val="clear" w:color="auto" w:fill="056AB0"/>
                                    <w:bidi w:val="0"/>
                                    <w:spacing w:before="0" w:after="0" w:line="240" w:lineRule="auto"/>
                                    <w:ind w:left="0" w:right="0" w:firstLine="0"/>
                                    <w:jc w:val="center"/>
                                    <w:rPr>
                                      <w:sz w:val="13"/>
                                      <w:szCs w:val="13"/>
                                    </w:rPr>
                                  </w:pPr>
                                  <w:r>
                                    <w:rPr>
                                      <w:rFonts w:ascii="SimHei" w:eastAsia="SimHei" w:hAnsi="SimHei" w:cs="SimHei"/>
                                      <w:color w:val="DBE5EE"/>
                                      <w:spacing w:val="0"/>
                                      <w:w w:val="100"/>
                                      <w:position w:val="0"/>
                                      <w:sz w:val="13"/>
                                      <w:szCs w:val="13"/>
                                    </w:rPr>
                                    <w:t>知识共享中心</w:t>
                                  </w:r>
                                </w:p>
                              </w:tc>
                              <w:tc>
                                <w:tcPr>
                                  <w:tcBorders/>
                                  <w:shd w:val="clear" w:color="auto" w:fill="026EBB"/>
                                  <w:vAlign w:val="center"/>
                                </w:tcPr>
                                <w:p>
                                  <w:pPr>
                                    <w:pStyle w:val="Style2"/>
                                    <w:keepNext w:val="0"/>
                                    <w:keepLines w:val="0"/>
                                    <w:widowControl w:val="0"/>
                                    <w:pBdr>
                                      <w:top w:val="single" w:sz="0" w:space="0" w:color="056AB0"/>
                                      <w:left w:val="single" w:sz="0" w:space="0" w:color="056AB0"/>
                                      <w:bottom w:val="single" w:sz="0" w:space="0" w:color="056AB0"/>
                                      <w:right w:val="single" w:sz="0" w:space="0" w:color="056AB0"/>
                                    </w:pBdr>
                                    <w:shd w:val="clear" w:color="auto" w:fill="056AB0"/>
                                    <w:bidi w:val="0"/>
                                    <w:spacing w:before="0" w:after="0" w:line="240" w:lineRule="auto"/>
                                    <w:ind w:left="0" w:right="0" w:firstLine="0"/>
                                    <w:jc w:val="center"/>
                                    <w:rPr>
                                      <w:sz w:val="13"/>
                                      <w:szCs w:val="13"/>
                                    </w:rPr>
                                  </w:pPr>
                                  <w:r>
                                    <w:rPr>
                                      <w:rFonts w:ascii="SimHei" w:eastAsia="SimHei" w:hAnsi="SimHei" w:cs="SimHei"/>
                                      <w:color w:val="FFFFFF"/>
                                      <w:spacing w:val="0"/>
                                      <w:w w:val="100"/>
                                      <w:position w:val="0"/>
                                      <w:sz w:val="13"/>
                                      <w:szCs w:val="13"/>
                                    </w:rPr>
                                    <w:t>用户认证中心</w:t>
                                  </w:r>
                                </w:p>
                              </w:tc>
                            </w:tr>
                            <w:tr>
                              <w:trPr>
                                <w:trHeight w:val="413" w:hRule="exact"/>
                              </w:trPr>
                              <w:tc>
                                <w:tcPr>
                                  <w:tcBorders/>
                                  <w:shd w:val="clear" w:color="auto" w:fill="026EBB"/>
                                  <w:vAlign w:val="center"/>
                                </w:tcPr>
                                <w:p>
                                  <w:pPr>
                                    <w:pStyle w:val="Style2"/>
                                    <w:keepNext w:val="0"/>
                                    <w:keepLines w:val="0"/>
                                    <w:widowControl w:val="0"/>
                                    <w:pBdr>
                                      <w:top w:val="single" w:sz="0" w:space="0" w:color="056AB0"/>
                                      <w:left w:val="single" w:sz="0" w:space="0" w:color="056AB0"/>
                                      <w:bottom w:val="single" w:sz="0" w:space="0" w:color="056AB0"/>
                                      <w:right w:val="single" w:sz="0" w:space="0" w:color="056AB0"/>
                                    </w:pBdr>
                                    <w:shd w:val="clear" w:color="auto" w:fill="056AB0"/>
                                    <w:bidi w:val="0"/>
                                    <w:spacing w:before="0" w:after="0" w:line="240" w:lineRule="auto"/>
                                    <w:ind w:left="0" w:right="0" w:firstLine="340"/>
                                    <w:jc w:val="left"/>
                                    <w:rPr>
                                      <w:sz w:val="13"/>
                                      <w:szCs w:val="13"/>
                                    </w:rPr>
                                  </w:pPr>
                                  <w:r>
                                    <w:rPr>
                                      <w:rFonts w:ascii="SimHei" w:eastAsia="SimHei" w:hAnsi="SimHei" w:cs="SimHei"/>
                                      <w:color w:val="FFFFFF"/>
                                      <w:spacing w:val="0"/>
                                      <w:w w:val="100"/>
                                      <w:position w:val="0"/>
                                      <w:sz w:val="13"/>
                                      <w:szCs w:val="13"/>
                                    </w:rPr>
                                    <w:t>全栈监控能力中心</w:t>
                                  </w:r>
                                </w:p>
                              </w:tc>
                              <w:tc>
                                <w:tcPr>
                                  <w:tcBorders/>
                                  <w:shd w:val="clear" w:color="auto" w:fill="026EBB"/>
                                  <w:vAlign w:val="center"/>
                                </w:tcPr>
                                <w:p>
                                  <w:pPr>
                                    <w:pStyle w:val="Style2"/>
                                    <w:keepNext w:val="0"/>
                                    <w:keepLines w:val="0"/>
                                    <w:widowControl w:val="0"/>
                                    <w:pBdr>
                                      <w:top w:val="single" w:sz="0" w:space="0" w:color="056AB0"/>
                                      <w:left w:val="single" w:sz="0" w:space="0" w:color="056AB0"/>
                                      <w:bottom w:val="single" w:sz="0" w:space="0" w:color="056AB0"/>
                                      <w:right w:val="single" w:sz="0" w:space="0" w:color="056AB0"/>
                                    </w:pBdr>
                                    <w:shd w:val="clear" w:color="auto" w:fill="056AB0"/>
                                    <w:bidi w:val="0"/>
                                    <w:spacing w:before="0" w:after="0" w:line="240" w:lineRule="auto"/>
                                    <w:ind w:left="0" w:right="0" w:firstLine="0"/>
                                    <w:jc w:val="center"/>
                                    <w:rPr>
                                      <w:sz w:val="13"/>
                                      <w:szCs w:val="13"/>
                                    </w:rPr>
                                  </w:pPr>
                                  <w:r>
                                    <w:rPr>
                                      <w:rFonts w:ascii="SimHei" w:eastAsia="SimHei" w:hAnsi="SimHei" w:cs="SimHei"/>
                                      <w:color w:val="DBE5EE"/>
                                      <w:spacing w:val="0"/>
                                      <w:w w:val="100"/>
                                      <w:position w:val="0"/>
                                      <w:sz w:val="13"/>
                                      <w:szCs w:val="13"/>
                                    </w:rPr>
                                    <w:t>自动化操作中心</w:t>
                                  </w:r>
                                </w:p>
                              </w:tc>
                              <w:tc>
                                <w:tcPr>
                                  <w:tcBorders/>
                                  <w:shd w:val="clear" w:color="auto" w:fill="026EBB"/>
                                  <w:vAlign w:val="center"/>
                                </w:tcPr>
                                <w:p>
                                  <w:pPr>
                                    <w:pStyle w:val="Style2"/>
                                    <w:keepNext w:val="0"/>
                                    <w:keepLines w:val="0"/>
                                    <w:widowControl w:val="0"/>
                                    <w:pBdr>
                                      <w:top w:val="single" w:sz="0" w:space="0" w:color="056AB0"/>
                                      <w:left w:val="single" w:sz="0" w:space="0" w:color="056AB0"/>
                                      <w:bottom w:val="single" w:sz="0" w:space="0" w:color="056AB0"/>
                                      <w:right w:val="single" w:sz="0" w:space="0" w:color="056AB0"/>
                                    </w:pBdr>
                                    <w:shd w:val="clear" w:color="auto" w:fill="056AB0"/>
                                    <w:bidi w:val="0"/>
                                    <w:spacing w:before="0" w:after="0" w:line="240" w:lineRule="auto"/>
                                    <w:ind w:left="0" w:right="0" w:firstLine="0"/>
                                    <w:jc w:val="center"/>
                                    <w:rPr>
                                      <w:sz w:val="13"/>
                                      <w:szCs w:val="13"/>
                                    </w:rPr>
                                  </w:pPr>
                                  <w:r>
                                    <w:rPr>
                                      <w:rFonts w:ascii="SimHei" w:eastAsia="SimHei" w:hAnsi="SimHei" w:cs="SimHei"/>
                                      <w:color w:val="DBE5EE"/>
                                      <w:spacing w:val="0"/>
                                      <w:w w:val="100"/>
                                      <w:position w:val="0"/>
                                      <w:sz w:val="13"/>
                                      <w:szCs w:val="13"/>
                                    </w:rPr>
                                    <w:t>配</w:t>
                                  </w:r>
                                  <w:r>
                                    <w:rPr>
                                      <w:rFonts w:ascii="Arial" w:eastAsia="Arial" w:hAnsi="Arial" w:cs="Arial"/>
                                      <w:color w:val="DBE5EE"/>
                                      <w:spacing w:val="0"/>
                                      <w:w w:val="100"/>
                                      <w:position w:val="0"/>
                                      <w:sz w:val="11"/>
                                      <w:szCs w:val="11"/>
                                    </w:rPr>
                                    <w:t>®</w:t>
                                  </w:r>
                                  <w:r>
                                    <w:rPr>
                                      <w:rFonts w:ascii="Segoe UI" w:eastAsia="Segoe UI" w:hAnsi="Segoe UI" w:cs="Segoe UI"/>
                                      <w:b/>
                                      <w:bCs/>
                                      <w:color w:val="DBE5EE"/>
                                      <w:spacing w:val="0"/>
                                      <w:w w:val="100"/>
                                      <w:position w:val="0"/>
                                      <w:sz w:val="14"/>
                                      <w:szCs w:val="14"/>
                                    </w:rPr>
                                    <w:t>a</w:t>
                                  </w:r>
                                  <w:r>
                                    <w:rPr>
                                      <w:rFonts w:ascii="SimHei" w:eastAsia="SimHei" w:hAnsi="SimHei" w:cs="SimHei"/>
                                      <w:color w:val="DBE5EE"/>
                                      <w:spacing w:val="0"/>
                                      <w:w w:val="100"/>
                                      <w:position w:val="0"/>
                                      <w:sz w:val="13"/>
                                      <w:szCs w:val="13"/>
                                    </w:rPr>
                                    <w:t>源管理中心</w:t>
                                  </w:r>
                                </w:p>
                              </w:tc>
                              <w:tc>
                                <w:tcPr>
                                  <w:tcBorders/>
                                  <w:shd w:val="clear" w:color="auto" w:fill="026EBB"/>
                                  <w:vAlign w:val="center"/>
                                </w:tcPr>
                                <w:p>
                                  <w:pPr>
                                    <w:pStyle w:val="Style2"/>
                                    <w:keepNext w:val="0"/>
                                    <w:keepLines w:val="0"/>
                                    <w:widowControl w:val="0"/>
                                    <w:pBdr>
                                      <w:top w:val="single" w:sz="0" w:space="0" w:color="056AB0"/>
                                      <w:left w:val="single" w:sz="0" w:space="0" w:color="056AB0"/>
                                      <w:bottom w:val="single" w:sz="0" w:space="0" w:color="056AB0"/>
                                      <w:right w:val="single" w:sz="0" w:space="0" w:color="056AB0"/>
                                    </w:pBdr>
                                    <w:shd w:val="clear" w:color="auto" w:fill="056AB0"/>
                                    <w:bidi w:val="0"/>
                                    <w:spacing w:before="0" w:after="0" w:line="240" w:lineRule="auto"/>
                                    <w:ind w:left="0" w:right="0" w:firstLine="0"/>
                                    <w:jc w:val="center"/>
                                    <w:rPr>
                                      <w:sz w:val="13"/>
                                      <w:szCs w:val="13"/>
                                    </w:rPr>
                                  </w:pPr>
                                  <w:r>
                                    <w:rPr>
                                      <w:rFonts w:ascii="SimHei" w:eastAsia="SimHei" w:hAnsi="SimHei" w:cs="SimHei"/>
                                      <w:color w:val="FFFFFF"/>
                                      <w:spacing w:val="0"/>
                                      <w:w w:val="100"/>
                                      <w:position w:val="0"/>
                                      <w:sz w:val="13"/>
                                      <w:szCs w:val="13"/>
                                    </w:rPr>
                                    <w:t>机器人能力中心</w:t>
                                  </w:r>
                                </w:p>
                              </w:tc>
                              <w:tc>
                                <w:tcPr>
                                  <w:tcBorders/>
                                  <w:shd w:val="clear" w:color="auto" w:fill="026EBB"/>
                                  <w:vAlign w:val="center"/>
                                </w:tcPr>
                                <w:p>
                                  <w:pPr>
                                    <w:pStyle w:val="Style2"/>
                                    <w:keepNext w:val="0"/>
                                    <w:keepLines w:val="0"/>
                                    <w:widowControl w:val="0"/>
                                    <w:pBdr>
                                      <w:top w:val="single" w:sz="0" w:space="0" w:color="056AB0"/>
                                      <w:left w:val="single" w:sz="0" w:space="0" w:color="056AB0"/>
                                      <w:bottom w:val="single" w:sz="0" w:space="0" w:color="056AB0"/>
                                      <w:right w:val="single" w:sz="0" w:space="0" w:color="056AB0"/>
                                    </w:pBdr>
                                    <w:shd w:val="clear" w:color="auto" w:fill="056AB0"/>
                                    <w:bidi w:val="0"/>
                                    <w:spacing w:before="0" w:after="0" w:line="240" w:lineRule="auto"/>
                                    <w:ind w:left="0" w:right="0" w:firstLine="0"/>
                                    <w:jc w:val="center"/>
                                    <w:rPr>
                                      <w:sz w:val="13"/>
                                      <w:szCs w:val="13"/>
                                    </w:rPr>
                                  </w:pPr>
                                  <w:r>
                                    <w:rPr>
                                      <w:rFonts w:ascii="SimHei" w:eastAsia="SimHei" w:hAnsi="SimHei" w:cs="SimHei"/>
                                      <w:color w:val="FFFFFF"/>
                                      <w:spacing w:val="0"/>
                                      <w:w w:val="100"/>
                                      <w:position w:val="0"/>
                                      <w:sz w:val="13"/>
                                      <w:szCs w:val="13"/>
                                    </w:rPr>
                                    <w:t>消息能力中心</w:t>
                                  </w:r>
                                </w:p>
                              </w:tc>
                            </w:tr>
                          </w:tbl>
                          <w:p>
                            <w:pPr>
                              <w:widowControl w:val="0"/>
                              <w:spacing w:line="1" w:lineRule="exact"/>
                            </w:pPr>
                          </w:p>
                        </w:txbxContent>
                      </wps:txbx>
                      <wps:bodyPr lIns="0" tIns="0" rIns="0" bIns="0">
                        <a:noAutoFit/>
                      </wps:bodyPr>
                    </wps:wsp>
                  </a:graphicData>
                </a:graphic>
              </wp:anchor>
            </w:drawing>
          </mc:Choice>
          <mc:Fallback>
            <w:pict>
              <v:shape id="_x0000_s1143" type="#_x0000_t202" style="position:absolute;margin-left:91.pt;margin-top:145.70000000000002pt;width:447.85000000000002pt;height:41.300000000000004pt;z-index:-125829365;mso-wrap-distance-left:21.850000000000001pt;mso-wrap-distance-top:145.70000000000002pt;mso-wrap-distance-right:0;mso-wrap-distance-bottom:70.350000000000009pt;mso-position-horizontal-relative:page" filled="f" stroked="f">
                <v:textbox inset="0,0,0,0">
                  <w:txbxContent>
                    <w:tbl>
                      <w:tblPr>
                        <w:tblOverlap w:val="never"/>
                        <w:jc w:val="left"/>
                        <w:tblLayout w:type="fixed"/>
                      </w:tblPr>
                      <w:tblGrid>
                        <w:gridCol w:w="1771"/>
                        <w:gridCol w:w="1805"/>
                        <w:gridCol w:w="1800"/>
                        <w:gridCol w:w="1805"/>
                        <w:gridCol w:w="1776"/>
                      </w:tblGrid>
                      <w:tr>
                        <w:trPr>
                          <w:tblHeader/>
                          <w:trHeight w:val="413" w:hRule="exact"/>
                        </w:trPr>
                        <w:tc>
                          <w:tcPr>
                            <w:tcBorders/>
                            <w:shd w:val="clear" w:color="auto" w:fill="026EBB"/>
                            <w:vAlign w:val="center"/>
                          </w:tcPr>
                          <w:p>
                            <w:pPr>
                              <w:pStyle w:val="Style2"/>
                              <w:keepNext w:val="0"/>
                              <w:keepLines w:val="0"/>
                              <w:widowControl w:val="0"/>
                              <w:pBdr>
                                <w:top w:val="single" w:sz="0" w:space="0" w:color="056AB0"/>
                                <w:left w:val="single" w:sz="0" w:space="0" w:color="056AB0"/>
                                <w:bottom w:val="single" w:sz="0" w:space="0" w:color="056AB0"/>
                                <w:right w:val="single" w:sz="0" w:space="0" w:color="056AB0"/>
                              </w:pBdr>
                              <w:shd w:val="clear" w:color="auto" w:fill="056AB0"/>
                              <w:bidi w:val="0"/>
                              <w:spacing w:before="0" w:after="0" w:line="240" w:lineRule="auto"/>
                              <w:ind w:left="0" w:right="0" w:firstLine="340"/>
                              <w:jc w:val="left"/>
                              <w:rPr>
                                <w:sz w:val="13"/>
                                <w:szCs w:val="13"/>
                              </w:rPr>
                            </w:pPr>
                            <w:r>
                              <w:rPr>
                                <w:rFonts w:ascii="SimHei" w:eastAsia="SimHei" w:hAnsi="SimHei" w:cs="SimHei"/>
                                <w:color w:val="DBE5EE"/>
                                <w:spacing w:val="0"/>
                                <w:w w:val="100"/>
                                <w:position w:val="0"/>
                                <w:sz w:val="13"/>
                                <w:szCs w:val="13"/>
                              </w:rPr>
                              <w:t>统</w:t>
                            </w:r>
                            <w:r>
                              <w:rPr>
                                <w:rFonts w:ascii="SimHei" w:eastAsia="SimHei" w:hAnsi="SimHei" w:cs="SimHei"/>
                                <w:color w:val="DBE5EE"/>
                                <w:spacing w:val="0"/>
                                <w:w w:val="100"/>
                                <w:position w:val="0"/>
                                <w:sz w:val="13"/>
                                <w:szCs w:val="13"/>
                              </w:rPr>
                              <w:t>T</w:t>
                            </w:r>
                            <w:r>
                              <w:rPr>
                                <w:rFonts w:ascii="SimHei" w:eastAsia="SimHei" w:hAnsi="SimHei" w:cs="SimHei"/>
                                <w:color w:val="DBE5EE"/>
                                <w:spacing w:val="0"/>
                                <w:w w:val="100"/>
                                <w:position w:val="0"/>
                                <w:sz w:val="13"/>
                                <w:szCs w:val="13"/>
                              </w:rPr>
                              <w:t>翘作中心</w:t>
                            </w:r>
                          </w:p>
                        </w:tc>
                        <w:tc>
                          <w:tcPr>
                            <w:tcBorders/>
                            <w:shd w:val="clear" w:color="auto" w:fill="026EBB"/>
                            <w:vAlign w:val="center"/>
                          </w:tcPr>
                          <w:p>
                            <w:pPr>
                              <w:pStyle w:val="Style2"/>
                              <w:keepNext w:val="0"/>
                              <w:keepLines w:val="0"/>
                              <w:widowControl w:val="0"/>
                              <w:pBdr>
                                <w:top w:val="single" w:sz="0" w:space="0" w:color="056AB0"/>
                                <w:left w:val="single" w:sz="0" w:space="0" w:color="056AB0"/>
                                <w:bottom w:val="single" w:sz="0" w:space="0" w:color="056AB0"/>
                                <w:right w:val="single" w:sz="0" w:space="0" w:color="056AB0"/>
                              </w:pBdr>
                              <w:shd w:val="clear" w:color="auto" w:fill="056AB0"/>
                              <w:bidi w:val="0"/>
                              <w:spacing w:before="0" w:after="0" w:line="240" w:lineRule="auto"/>
                              <w:ind w:left="0" w:right="0" w:firstLine="0"/>
                              <w:jc w:val="center"/>
                              <w:rPr>
                                <w:sz w:val="13"/>
                                <w:szCs w:val="13"/>
                              </w:rPr>
                            </w:pPr>
                            <w:r>
                              <w:rPr>
                                <w:rFonts w:ascii="SimHei" w:eastAsia="SimHei" w:hAnsi="SimHei" w:cs="SimHei"/>
                                <w:color w:val="DBE5EE"/>
                                <w:spacing w:val="0"/>
                                <w:w w:val="100"/>
                                <w:position w:val="0"/>
                                <w:sz w:val="13"/>
                                <w:szCs w:val="13"/>
                              </w:rPr>
                              <w:t>业务编排跚中心</w:t>
                            </w:r>
                          </w:p>
                        </w:tc>
                        <w:tc>
                          <w:tcPr>
                            <w:tcBorders/>
                            <w:shd w:val="clear" w:color="auto" w:fill="026EBB"/>
                            <w:vAlign w:val="center"/>
                          </w:tcPr>
                          <w:p>
                            <w:pPr>
                              <w:pStyle w:val="Style2"/>
                              <w:keepNext w:val="0"/>
                              <w:keepLines w:val="0"/>
                              <w:widowControl w:val="0"/>
                              <w:pBdr>
                                <w:top w:val="single" w:sz="0" w:space="0" w:color="056AB0"/>
                                <w:left w:val="single" w:sz="0" w:space="0" w:color="056AB0"/>
                                <w:bottom w:val="single" w:sz="0" w:space="0" w:color="056AB0"/>
                                <w:right w:val="single" w:sz="0" w:space="0" w:color="056AB0"/>
                              </w:pBdr>
                              <w:shd w:val="clear" w:color="auto" w:fill="056AB0"/>
                              <w:bidi w:val="0"/>
                              <w:spacing w:before="0" w:after="0" w:line="240" w:lineRule="auto"/>
                              <w:ind w:left="0" w:right="0" w:firstLine="0"/>
                              <w:jc w:val="center"/>
                              <w:rPr>
                                <w:sz w:val="13"/>
                                <w:szCs w:val="13"/>
                              </w:rPr>
                            </w:pPr>
                            <w:r>
                              <w:rPr>
                                <w:rFonts w:ascii="SimHei" w:eastAsia="SimHei" w:hAnsi="SimHei" w:cs="SimHei"/>
                                <w:color w:val="DBE5EE"/>
                                <w:spacing w:val="0"/>
                                <w:w w:val="100"/>
                                <w:position w:val="0"/>
                                <w:sz w:val="13"/>
                                <w:szCs w:val="13"/>
                              </w:rPr>
                              <w:t>雅引擎能力中心</w:t>
                            </w:r>
                          </w:p>
                        </w:tc>
                        <w:tc>
                          <w:tcPr>
                            <w:tcBorders/>
                            <w:shd w:val="clear" w:color="auto" w:fill="026EBB"/>
                            <w:vAlign w:val="center"/>
                          </w:tcPr>
                          <w:p>
                            <w:pPr>
                              <w:pStyle w:val="Style2"/>
                              <w:keepNext w:val="0"/>
                              <w:keepLines w:val="0"/>
                              <w:widowControl w:val="0"/>
                              <w:pBdr>
                                <w:top w:val="single" w:sz="0" w:space="0" w:color="056AB0"/>
                                <w:left w:val="single" w:sz="0" w:space="0" w:color="056AB0"/>
                                <w:bottom w:val="single" w:sz="0" w:space="0" w:color="056AB0"/>
                                <w:right w:val="single" w:sz="0" w:space="0" w:color="056AB0"/>
                              </w:pBdr>
                              <w:shd w:val="clear" w:color="auto" w:fill="056AB0"/>
                              <w:bidi w:val="0"/>
                              <w:spacing w:before="0" w:after="0" w:line="240" w:lineRule="auto"/>
                              <w:ind w:left="0" w:right="0" w:firstLine="0"/>
                              <w:jc w:val="center"/>
                              <w:rPr>
                                <w:sz w:val="13"/>
                                <w:szCs w:val="13"/>
                              </w:rPr>
                            </w:pPr>
                            <w:r>
                              <w:rPr>
                                <w:rFonts w:ascii="SimHei" w:eastAsia="SimHei" w:hAnsi="SimHei" w:cs="SimHei"/>
                                <w:color w:val="DBE5EE"/>
                                <w:spacing w:val="0"/>
                                <w:w w:val="100"/>
                                <w:position w:val="0"/>
                                <w:sz w:val="13"/>
                                <w:szCs w:val="13"/>
                              </w:rPr>
                              <w:t>知识共享中心</w:t>
                            </w:r>
                          </w:p>
                        </w:tc>
                        <w:tc>
                          <w:tcPr>
                            <w:tcBorders/>
                            <w:shd w:val="clear" w:color="auto" w:fill="026EBB"/>
                            <w:vAlign w:val="center"/>
                          </w:tcPr>
                          <w:p>
                            <w:pPr>
                              <w:pStyle w:val="Style2"/>
                              <w:keepNext w:val="0"/>
                              <w:keepLines w:val="0"/>
                              <w:widowControl w:val="0"/>
                              <w:pBdr>
                                <w:top w:val="single" w:sz="0" w:space="0" w:color="056AB0"/>
                                <w:left w:val="single" w:sz="0" w:space="0" w:color="056AB0"/>
                                <w:bottom w:val="single" w:sz="0" w:space="0" w:color="056AB0"/>
                                <w:right w:val="single" w:sz="0" w:space="0" w:color="056AB0"/>
                              </w:pBdr>
                              <w:shd w:val="clear" w:color="auto" w:fill="056AB0"/>
                              <w:bidi w:val="0"/>
                              <w:spacing w:before="0" w:after="0" w:line="240" w:lineRule="auto"/>
                              <w:ind w:left="0" w:right="0" w:firstLine="0"/>
                              <w:jc w:val="center"/>
                              <w:rPr>
                                <w:sz w:val="13"/>
                                <w:szCs w:val="13"/>
                              </w:rPr>
                            </w:pPr>
                            <w:r>
                              <w:rPr>
                                <w:rFonts w:ascii="SimHei" w:eastAsia="SimHei" w:hAnsi="SimHei" w:cs="SimHei"/>
                                <w:color w:val="FFFFFF"/>
                                <w:spacing w:val="0"/>
                                <w:w w:val="100"/>
                                <w:position w:val="0"/>
                                <w:sz w:val="13"/>
                                <w:szCs w:val="13"/>
                              </w:rPr>
                              <w:t>用户认证中心</w:t>
                            </w:r>
                          </w:p>
                        </w:tc>
                      </w:tr>
                      <w:tr>
                        <w:trPr>
                          <w:trHeight w:val="413" w:hRule="exact"/>
                        </w:trPr>
                        <w:tc>
                          <w:tcPr>
                            <w:tcBorders/>
                            <w:shd w:val="clear" w:color="auto" w:fill="026EBB"/>
                            <w:vAlign w:val="center"/>
                          </w:tcPr>
                          <w:p>
                            <w:pPr>
                              <w:pStyle w:val="Style2"/>
                              <w:keepNext w:val="0"/>
                              <w:keepLines w:val="0"/>
                              <w:widowControl w:val="0"/>
                              <w:pBdr>
                                <w:top w:val="single" w:sz="0" w:space="0" w:color="056AB0"/>
                                <w:left w:val="single" w:sz="0" w:space="0" w:color="056AB0"/>
                                <w:bottom w:val="single" w:sz="0" w:space="0" w:color="056AB0"/>
                                <w:right w:val="single" w:sz="0" w:space="0" w:color="056AB0"/>
                              </w:pBdr>
                              <w:shd w:val="clear" w:color="auto" w:fill="056AB0"/>
                              <w:bidi w:val="0"/>
                              <w:spacing w:before="0" w:after="0" w:line="240" w:lineRule="auto"/>
                              <w:ind w:left="0" w:right="0" w:firstLine="340"/>
                              <w:jc w:val="left"/>
                              <w:rPr>
                                <w:sz w:val="13"/>
                                <w:szCs w:val="13"/>
                              </w:rPr>
                            </w:pPr>
                            <w:r>
                              <w:rPr>
                                <w:rFonts w:ascii="SimHei" w:eastAsia="SimHei" w:hAnsi="SimHei" w:cs="SimHei"/>
                                <w:color w:val="FFFFFF"/>
                                <w:spacing w:val="0"/>
                                <w:w w:val="100"/>
                                <w:position w:val="0"/>
                                <w:sz w:val="13"/>
                                <w:szCs w:val="13"/>
                              </w:rPr>
                              <w:t>全栈监控能力中心</w:t>
                            </w:r>
                          </w:p>
                        </w:tc>
                        <w:tc>
                          <w:tcPr>
                            <w:tcBorders/>
                            <w:shd w:val="clear" w:color="auto" w:fill="026EBB"/>
                            <w:vAlign w:val="center"/>
                          </w:tcPr>
                          <w:p>
                            <w:pPr>
                              <w:pStyle w:val="Style2"/>
                              <w:keepNext w:val="0"/>
                              <w:keepLines w:val="0"/>
                              <w:widowControl w:val="0"/>
                              <w:pBdr>
                                <w:top w:val="single" w:sz="0" w:space="0" w:color="056AB0"/>
                                <w:left w:val="single" w:sz="0" w:space="0" w:color="056AB0"/>
                                <w:bottom w:val="single" w:sz="0" w:space="0" w:color="056AB0"/>
                                <w:right w:val="single" w:sz="0" w:space="0" w:color="056AB0"/>
                              </w:pBdr>
                              <w:shd w:val="clear" w:color="auto" w:fill="056AB0"/>
                              <w:bidi w:val="0"/>
                              <w:spacing w:before="0" w:after="0" w:line="240" w:lineRule="auto"/>
                              <w:ind w:left="0" w:right="0" w:firstLine="0"/>
                              <w:jc w:val="center"/>
                              <w:rPr>
                                <w:sz w:val="13"/>
                                <w:szCs w:val="13"/>
                              </w:rPr>
                            </w:pPr>
                            <w:r>
                              <w:rPr>
                                <w:rFonts w:ascii="SimHei" w:eastAsia="SimHei" w:hAnsi="SimHei" w:cs="SimHei"/>
                                <w:color w:val="DBE5EE"/>
                                <w:spacing w:val="0"/>
                                <w:w w:val="100"/>
                                <w:position w:val="0"/>
                                <w:sz w:val="13"/>
                                <w:szCs w:val="13"/>
                              </w:rPr>
                              <w:t>自动化操作中心</w:t>
                            </w:r>
                          </w:p>
                        </w:tc>
                        <w:tc>
                          <w:tcPr>
                            <w:tcBorders/>
                            <w:shd w:val="clear" w:color="auto" w:fill="026EBB"/>
                            <w:vAlign w:val="center"/>
                          </w:tcPr>
                          <w:p>
                            <w:pPr>
                              <w:pStyle w:val="Style2"/>
                              <w:keepNext w:val="0"/>
                              <w:keepLines w:val="0"/>
                              <w:widowControl w:val="0"/>
                              <w:pBdr>
                                <w:top w:val="single" w:sz="0" w:space="0" w:color="056AB0"/>
                                <w:left w:val="single" w:sz="0" w:space="0" w:color="056AB0"/>
                                <w:bottom w:val="single" w:sz="0" w:space="0" w:color="056AB0"/>
                                <w:right w:val="single" w:sz="0" w:space="0" w:color="056AB0"/>
                              </w:pBdr>
                              <w:shd w:val="clear" w:color="auto" w:fill="056AB0"/>
                              <w:bidi w:val="0"/>
                              <w:spacing w:before="0" w:after="0" w:line="240" w:lineRule="auto"/>
                              <w:ind w:left="0" w:right="0" w:firstLine="0"/>
                              <w:jc w:val="center"/>
                              <w:rPr>
                                <w:sz w:val="13"/>
                                <w:szCs w:val="13"/>
                              </w:rPr>
                            </w:pPr>
                            <w:r>
                              <w:rPr>
                                <w:rFonts w:ascii="SimHei" w:eastAsia="SimHei" w:hAnsi="SimHei" w:cs="SimHei"/>
                                <w:color w:val="DBE5EE"/>
                                <w:spacing w:val="0"/>
                                <w:w w:val="100"/>
                                <w:position w:val="0"/>
                                <w:sz w:val="13"/>
                                <w:szCs w:val="13"/>
                              </w:rPr>
                              <w:t>配</w:t>
                            </w:r>
                            <w:r>
                              <w:rPr>
                                <w:rFonts w:ascii="Arial" w:eastAsia="Arial" w:hAnsi="Arial" w:cs="Arial"/>
                                <w:color w:val="DBE5EE"/>
                                <w:spacing w:val="0"/>
                                <w:w w:val="100"/>
                                <w:position w:val="0"/>
                                <w:sz w:val="11"/>
                                <w:szCs w:val="11"/>
                              </w:rPr>
                              <w:t>®</w:t>
                            </w:r>
                            <w:r>
                              <w:rPr>
                                <w:rFonts w:ascii="Segoe UI" w:eastAsia="Segoe UI" w:hAnsi="Segoe UI" w:cs="Segoe UI"/>
                                <w:b/>
                                <w:bCs/>
                                <w:color w:val="DBE5EE"/>
                                <w:spacing w:val="0"/>
                                <w:w w:val="100"/>
                                <w:position w:val="0"/>
                                <w:sz w:val="14"/>
                                <w:szCs w:val="14"/>
                              </w:rPr>
                              <w:t>a</w:t>
                            </w:r>
                            <w:r>
                              <w:rPr>
                                <w:rFonts w:ascii="SimHei" w:eastAsia="SimHei" w:hAnsi="SimHei" w:cs="SimHei"/>
                                <w:color w:val="DBE5EE"/>
                                <w:spacing w:val="0"/>
                                <w:w w:val="100"/>
                                <w:position w:val="0"/>
                                <w:sz w:val="13"/>
                                <w:szCs w:val="13"/>
                              </w:rPr>
                              <w:t>源管理中心</w:t>
                            </w:r>
                          </w:p>
                        </w:tc>
                        <w:tc>
                          <w:tcPr>
                            <w:tcBorders/>
                            <w:shd w:val="clear" w:color="auto" w:fill="026EBB"/>
                            <w:vAlign w:val="center"/>
                          </w:tcPr>
                          <w:p>
                            <w:pPr>
                              <w:pStyle w:val="Style2"/>
                              <w:keepNext w:val="0"/>
                              <w:keepLines w:val="0"/>
                              <w:widowControl w:val="0"/>
                              <w:pBdr>
                                <w:top w:val="single" w:sz="0" w:space="0" w:color="056AB0"/>
                                <w:left w:val="single" w:sz="0" w:space="0" w:color="056AB0"/>
                                <w:bottom w:val="single" w:sz="0" w:space="0" w:color="056AB0"/>
                                <w:right w:val="single" w:sz="0" w:space="0" w:color="056AB0"/>
                              </w:pBdr>
                              <w:shd w:val="clear" w:color="auto" w:fill="056AB0"/>
                              <w:bidi w:val="0"/>
                              <w:spacing w:before="0" w:after="0" w:line="240" w:lineRule="auto"/>
                              <w:ind w:left="0" w:right="0" w:firstLine="0"/>
                              <w:jc w:val="center"/>
                              <w:rPr>
                                <w:sz w:val="13"/>
                                <w:szCs w:val="13"/>
                              </w:rPr>
                            </w:pPr>
                            <w:r>
                              <w:rPr>
                                <w:rFonts w:ascii="SimHei" w:eastAsia="SimHei" w:hAnsi="SimHei" w:cs="SimHei"/>
                                <w:color w:val="FFFFFF"/>
                                <w:spacing w:val="0"/>
                                <w:w w:val="100"/>
                                <w:position w:val="0"/>
                                <w:sz w:val="13"/>
                                <w:szCs w:val="13"/>
                              </w:rPr>
                              <w:t>机器人能力中心</w:t>
                            </w:r>
                          </w:p>
                        </w:tc>
                        <w:tc>
                          <w:tcPr>
                            <w:tcBorders/>
                            <w:shd w:val="clear" w:color="auto" w:fill="026EBB"/>
                            <w:vAlign w:val="center"/>
                          </w:tcPr>
                          <w:p>
                            <w:pPr>
                              <w:pStyle w:val="Style2"/>
                              <w:keepNext w:val="0"/>
                              <w:keepLines w:val="0"/>
                              <w:widowControl w:val="0"/>
                              <w:pBdr>
                                <w:top w:val="single" w:sz="0" w:space="0" w:color="056AB0"/>
                                <w:left w:val="single" w:sz="0" w:space="0" w:color="056AB0"/>
                                <w:bottom w:val="single" w:sz="0" w:space="0" w:color="056AB0"/>
                                <w:right w:val="single" w:sz="0" w:space="0" w:color="056AB0"/>
                              </w:pBdr>
                              <w:shd w:val="clear" w:color="auto" w:fill="056AB0"/>
                              <w:bidi w:val="0"/>
                              <w:spacing w:before="0" w:after="0" w:line="240" w:lineRule="auto"/>
                              <w:ind w:left="0" w:right="0" w:firstLine="0"/>
                              <w:jc w:val="center"/>
                              <w:rPr>
                                <w:sz w:val="13"/>
                                <w:szCs w:val="13"/>
                              </w:rPr>
                            </w:pPr>
                            <w:r>
                              <w:rPr>
                                <w:rFonts w:ascii="SimHei" w:eastAsia="SimHei" w:hAnsi="SimHei" w:cs="SimHei"/>
                                <w:color w:val="FFFFFF"/>
                                <w:spacing w:val="0"/>
                                <w:w w:val="100"/>
                                <w:position w:val="0"/>
                                <w:sz w:val="13"/>
                                <w:szCs w:val="13"/>
                              </w:rPr>
                              <w:t>消息能力中心</w:t>
                            </w:r>
                          </w:p>
                        </w:tc>
                      </w:tr>
                    </w:tbl>
                    <w:p>
                      <w:pPr>
                        <w:widowControl w:val="0"/>
                        <w:spacing w:line="1" w:lineRule="exact"/>
                      </w:pPr>
                    </w:p>
                  </w:txbxContent>
                </v:textbox>
                <w10:wrap type="topAndBottom" anchorx="page"/>
              </v:shape>
            </w:pict>
          </mc:Fallback>
        </mc:AlternateContent>
      </w:r>
      <w:r>
        <mc:AlternateContent>
          <mc:Choice Requires="wps">
            <w:drawing>
              <wp:anchor distT="0" distB="0" distL="0" distR="0" simplePos="0" relativeHeight="503316538" behindDoc="0" locked="0" layoutInCell="1" allowOverlap="1">
                <wp:simplePos x="0" y="0"/>
                <wp:positionH relativeFrom="page">
                  <wp:posOffset>3082290</wp:posOffset>
                </wp:positionH>
                <wp:positionV relativeFrom="paragraph">
                  <wp:posOffset>1521460</wp:posOffset>
                </wp:positionV>
                <wp:extent cx="1121410" cy="133985"/>
                <wp:wrapNone/>
                <wp:docPr id="119" name="Shape 119"/>
                <a:graphic xmlns:a="http://schemas.openxmlformats.org/drawingml/2006/main">
                  <a:graphicData uri="http://schemas.microsoft.com/office/word/2010/wordprocessingShape">
                    <wps:wsp>
                      <wps:cNvSpPr txBox="1"/>
                      <wps:spPr>
                        <a:xfrm>
                          <a:ext cx="1121410" cy="133985"/>
                        </a:xfrm>
                        <a:prstGeom prst="rect"/>
                        <a:noFill/>
                      </wps:spPr>
                      <wps:txbx>
                        <w:txbxContent>
                          <w:p>
                            <w:pPr>
                              <w:pStyle w:val="Style20"/>
                              <w:keepNext w:val="0"/>
                              <w:keepLines w:val="0"/>
                              <w:widowControl w:val="0"/>
                              <w:pBdr>
                                <w:top w:val="single" w:sz="0" w:space="0" w:color="0071C1"/>
                                <w:left w:val="single" w:sz="0" w:space="0" w:color="0071C1"/>
                                <w:bottom w:val="single" w:sz="0" w:space="0" w:color="0071C1"/>
                                <w:right w:val="single" w:sz="0" w:space="0" w:color="0071C1"/>
                              </w:pBdr>
                              <w:shd w:val="clear" w:color="auto" w:fill="0071C1"/>
                              <w:bidi w:val="0"/>
                              <w:spacing w:before="0" w:after="0" w:line="240" w:lineRule="auto"/>
                              <w:ind w:left="0" w:right="0" w:firstLine="0"/>
                              <w:jc w:val="left"/>
                            </w:pPr>
                            <w:r>
                              <w:rPr>
                                <w:color w:val="DBE5EE"/>
                                <w:spacing w:val="0"/>
                                <w:w w:val="100"/>
                                <w:position w:val="0"/>
                              </w:rPr>
                              <w:t>企业运营社区</w:t>
                            </w:r>
                            <w:r>
                              <w:rPr>
                                <w:rFonts w:ascii="Segoe UI" w:eastAsia="Segoe UI" w:hAnsi="Segoe UI" w:cs="Segoe UI"/>
                                <w:b/>
                                <w:bCs/>
                                <w:color w:val="DBE5EE"/>
                                <w:spacing w:val="0"/>
                                <w:w w:val="100"/>
                                <w:position w:val="0"/>
                                <w:sz w:val="14"/>
                                <w:szCs w:val="14"/>
                              </w:rPr>
                              <w:t>I</w:t>
                            </w:r>
                            <w:r>
                              <w:rPr>
                                <w:color w:val="DBE5EE"/>
                                <w:spacing w:val="0"/>
                                <w:w w:val="100"/>
                                <w:position w:val="0"/>
                              </w:rPr>
                              <w:t>家噩能装维</w:t>
                            </w:r>
                          </w:p>
                        </w:txbxContent>
                      </wps:txbx>
                      <wps:bodyPr lIns="0" tIns="0" rIns="0" bIns="0">
                        <a:noAutoFit/>
                      </wps:bodyPr>
                    </wps:wsp>
                  </a:graphicData>
                </a:graphic>
              </wp:anchor>
            </w:drawing>
          </mc:Choice>
          <mc:Fallback>
            <w:pict>
              <v:shape id="_x0000_s1145" type="#_x0000_t202" style="position:absolute;margin-left:242.70000000000002pt;margin-top:119.8pt;width:88.299999999999997pt;height:10.550000000000001pt;z-index:251657785;mso-wrap-distance-left:0;mso-wrap-distance-right:0;mso-position-horizontal-relative:page" filled="f" stroked="f">
                <v:textbox inset="0,0,0,0">
                  <w:txbxContent>
                    <w:p>
                      <w:pPr>
                        <w:pStyle w:val="Style20"/>
                        <w:keepNext w:val="0"/>
                        <w:keepLines w:val="0"/>
                        <w:widowControl w:val="0"/>
                        <w:pBdr>
                          <w:top w:val="single" w:sz="0" w:space="0" w:color="0071C1"/>
                          <w:left w:val="single" w:sz="0" w:space="0" w:color="0071C1"/>
                          <w:bottom w:val="single" w:sz="0" w:space="0" w:color="0071C1"/>
                          <w:right w:val="single" w:sz="0" w:space="0" w:color="0071C1"/>
                        </w:pBdr>
                        <w:shd w:val="clear" w:color="auto" w:fill="0071C1"/>
                        <w:bidi w:val="0"/>
                        <w:spacing w:before="0" w:after="0" w:line="240" w:lineRule="auto"/>
                        <w:ind w:left="0" w:right="0" w:firstLine="0"/>
                        <w:jc w:val="left"/>
                      </w:pPr>
                      <w:r>
                        <w:rPr>
                          <w:color w:val="DBE5EE"/>
                          <w:spacing w:val="0"/>
                          <w:w w:val="100"/>
                          <w:position w:val="0"/>
                        </w:rPr>
                        <w:t>企业运营社区</w:t>
                      </w:r>
                      <w:r>
                        <w:rPr>
                          <w:rFonts w:ascii="Segoe UI" w:eastAsia="Segoe UI" w:hAnsi="Segoe UI" w:cs="Segoe UI"/>
                          <w:b/>
                          <w:bCs/>
                          <w:color w:val="DBE5EE"/>
                          <w:spacing w:val="0"/>
                          <w:w w:val="100"/>
                          <w:position w:val="0"/>
                          <w:sz w:val="14"/>
                          <w:szCs w:val="14"/>
                        </w:rPr>
                        <w:t>I</w:t>
                      </w:r>
                      <w:r>
                        <w:rPr>
                          <w:color w:val="DBE5EE"/>
                          <w:spacing w:val="0"/>
                          <w:w w:val="100"/>
                          <w:position w:val="0"/>
                        </w:rPr>
                        <w:t>家噩能装维</w:t>
                      </w:r>
                    </w:p>
                  </w:txbxContent>
                </v:textbox>
                <w10:wrap anchorx="page"/>
              </v:shape>
            </w:pict>
          </mc:Fallback>
        </mc:AlternateContent>
      </w:r>
      <w:r>
        <mc:AlternateContent>
          <mc:Choice Requires="wps">
            <w:drawing>
              <wp:anchor distT="0" distB="0" distL="0" distR="0" simplePos="0" relativeHeight="503316540" behindDoc="0" locked="0" layoutInCell="1" allowOverlap="1">
                <wp:simplePos x="0" y="0"/>
                <wp:positionH relativeFrom="page">
                  <wp:posOffset>6303645</wp:posOffset>
                </wp:positionH>
                <wp:positionV relativeFrom="paragraph">
                  <wp:posOffset>1521460</wp:posOffset>
                </wp:positionV>
                <wp:extent cx="514985" cy="128270"/>
                <wp:wrapNone/>
                <wp:docPr id="121" name="Shape 121"/>
                <a:graphic xmlns:a="http://schemas.openxmlformats.org/drawingml/2006/main">
                  <a:graphicData uri="http://schemas.microsoft.com/office/word/2010/wordprocessingShape">
                    <wps:wsp>
                      <wps:cNvSpPr txBox="1"/>
                      <wps:spPr>
                        <a:xfrm>
                          <a:ext cx="514985" cy="128270"/>
                        </a:xfrm>
                        <a:prstGeom prst="rect"/>
                        <a:noFill/>
                      </wps:spPr>
                      <wps:txbx>
                        <w:txbxContent>
                          <w:p>
                            <w:pPr>
                              <w:pStyle w:val="Style20"/>
                              <w:keepNext w:val="0"/>
                              <w:keepLines w:val="0"/>
                              <w:widowControl w:val="0"/>
                              <w:pBdr>
                                <w:top w:val="single" w:sz="0" w:space="0" w:color="0071C1"/>
                                <w:left w:val="single" w:sz="0" w:space="0" w:color="0071C1"/>
                                <w:bottom w:val="single" w:sz="0" w:space="0" w:color="0071C1"/>
                                <w:right w:val="single" w:sz="0" w:space="0" w:color="0071C1"/>
                              </w:pBdr>
                              <w:shd w:val="clear" w:color="auto" w:fill="0071C1"/>
                              <w:bidi w:val="0"/>
                              <w:spacing w:before="0" w:after="0" w:line="240" w:lineRule="auto"/>
                              <w:ind w:left="0" w:right="0" w:firstLine="0"/>
                              <w:jc w:val="right"/>
                            </w:pPr>
                            <w:r>
                              <w:rPr>
                                <w:color w:val="FFFFFF"/>
                                <w:spacing w:val="0"/>
                                <w:w w:val="100"/>
                                <w:position w:val="0"/>
                              </w:rPr>
                              <w:t>线上营</w:t>
                            </w:r>
                          </w:p>
                        </w:txbxContent>
                      </wps:txbx>
                      <wps:bodyPr lIns="0" tIns="0" rIns="0" bIns="0">
                        <a:noAutoFit/>
                      </wps:bodyPr>
                    </wps:wsp>
                  </a:graphicData>
                </a:graphic>
              </wp:anchor>
            </w:drawing>
          </mc:Choice>
          <mc:Fallback>
            <w:pict>
              <v:shape id="_x0000_s1147" type="#_x0000_t202" style="position:absolute;margin-left:496.35000000000002pt;margin-top:119.8pt;width:40.550000000000004pt;height:10.1pt;z-index:251657787;mso-wrap-distance-left:0;mso-wrap-distance-right:0;mso-position-horizontal-relative:page" filled="f" stroked="f">
                <v:textbox inset="0,0,0,0">
                  <w:txbxContent>
                    <w:p>
                      <w:pPr>
                        <w:pStyle w:val="Style20"/>
                        <w:keepNext w:val="0"/>
                        <w:keepLines w:val="0"/>
                        <w:widowControl w:val="0"/>
                        <w:pBdr>
                          <w:top w:val="single" w:sz="0" w:space="0" w:color="0071C1"/>
                          <w:left w:val="single" w:sz="0" w:space="0" w:color="0071C1"/>
                          <w:bottom w:val="single" w:sz="0" w:space="0" w:color="0071C1"/>
                          <w:right w:val="single" w:sz="0" w:space="0" w:color="0071C1"/>
                        </w:pBdr>
                        <w:shd w:val="clear" w:color="auto" w:fill="0071C1"/>
                        <w:bidi w:val="0"/>
                        <w:spacing w:before="0" w:after="0" w:line="240" w:lineRule="auto"/>
                        <w:ind w:left="0" w:right="0" w:firstLine="0"/>
                        <w:jc w:val="right"/>
                      </w:pPr>
                      <w:r>
                        <w:rPr>
                          <w:color w:val="FFFFFF"/>
                          <w:spacing w:val="0"/>
                          <w:w w:val="100"/>
                          <w:position w:val="0"/>
                        </w:rPr>
                        <w:t>线上营</w:t>
                      </w:r>
                    </w:p>
                  </w:txbxContent>
                </v:textbox>
                <w10:wrap anchorx="page"/>
              </v:shape>
            </w:pict>
          </mc:Fallback>
        </mc:AlternateContent>
      </w:r>
      <w:r>
        <mc:AlternateContent>
          <mc:Choice Requires="wps">
            <w:drawing>
              <wp:anchor distT="0" distB="0" distL="0" distR="0" simplePos="0" relativeHeight="503316542" behindDoc="0" locked="0" layoutInCell="1" allowOverlap="1">
                <wp:simplePos x="0" y="0"/>
                <wp:positionH relativeFrom="page">
                  <wp:posOffset>5675630</wp:posOffset>
                </wp:positionH>
                <wp:positionV relativeFrom="paragraph">
                  <wp:posOffset>1466215</wp:posOffset>
                </wp:positionV>
                <wp:extent cx="356870" cy="243840"/>
                <wp:wrapNone/>
                <wp:docPr id="123" name="Shape 123"/>
                <a:graphic xmlns:a="http://schemas.openxmlformats.org/drawingml/2006/main">
                  <a:graphicData uri="http://schemas.microsoft.com/office/word/2010/wordprocessingShape">
                    <wps:wsp>
                      <wps:cNvSpPr txBox="1"/>
                      <wps:spPr>
                        <a:xfrm>
                          <a:ext cx="356870" cy="243840"/>
                        </a:xfrm>
                        <a:prstGeom prst="rect"/>
                        <a:noFill/>
                      </wps:spPr>
                      <wps:txbx>
                        <w:txbxContent>
                          <w:p>
                            <w:pPr>
                              <w:pStyle w:val="Style20"/>
                              <w:keepNext w:val="0"/>
                              <w:keepLines w:val="0"/>
                              <w:widowControl w:val="0"/>
                              <w:pBdr>
                                <w:top w:val="single" w:sz="0" w:space="0" w:color="D5DCE6"/>
                                <w:left w:val="single" w:sz="0" w:space="9" w:color="D5DCE6"/>
                                <w:bottom w:val="single" w:sz="0" w:space="0" w:color="D5DCE6"/>
                                <w:right w:val="single" w:sz="0" w:space="9" w:color="D5DCE6"/>
                              </w:pBdr>
                              <w:shd w:val="clear" w:color="auto" w:fill="D5DCE6"/>
                              <w:bidi w:val="0"/>
                              <w:spacing w:before="0" w:after="0" w:line="178" w:lineRule="exact"/>
                              <w:ind w:left="0" w:right="0" w:firstLine="0"/>
                              <w:jc w:val="center"/>
                            </w:pPr>
                            <w:r>
                              <w:rPr>
                                <w:color w:val="FFFFFF"/>
                                <w:spacing w:val="0"/>
                                <w:w w:val="100"/>
                                <w:position w:val="0"/>
                              </w:rPr>
                              <w:t>有线宽带 端到端</w:t>
                            </w:r>
                          </w:p>
                        </w:txbxContent>
                      </wps:txbx>
                      <wps:bodyPr lIns="0" tIns="0" rIns="0" bIns="0">
                        <a:noAutoFit/>
                      </wps:bodyPr>
                    </wps:wsp>
                  </a:graphicData>
                </a:graphic>
              </wp:anchor>
            </w:drawing>
          </mc:Choice>
          <mc:Fallback>
            <w:pict>
              <v:shape id="_x0000_s1149" type="#_x0000_t202" style="position:absolute;margin-left:446.90000000000003pt;margin-top:115.45pt;width:28.100000000000001pt;height:19.199999999999999pt;z-index:251657789;mso-wrap-distance-left:0;mso-wrap-distance-right:0;mso-position-horizontal-relative:page" filled="f" stroked="f">
                <v:textbox inset="0,0,0,0">
                  <w:txbxContent>
                    <w:p>
                      <w:pPr>
                        <w:pStyle w:val="Style20"/>
                        <w:keepNext w:val="0"/>
                        <w:keepLines w:val="0"/>
                        <w:widowControl w:val="0"/>
                        <w:pBdr>
                          <w:top w:val="single" w:sz="0" w:space="0" w:color="D5DCE6"/>
                          <w:left w:val="single" w:sz="0" w:space="9" w:color="D5DCE6"/>
                          <w:bottom w:val="single" w:sz="0" w:space="0" w:color="D5DCE6"/>
                          <w:right w:val="single" w:sz="0" w:space="9" w:color="D5DCE6"/>
                        </w:pBdr>
                        <w:shd w:val="clear" w:color="auto" w:fill="D5DCE6"/>
                        <w:bidi w:val="0"/>
                        <w:spacing w:before="0" w:after="0" w:line="178" w:lineRule="exact"/>
                        <w:ind w:left="0" w:right="0" w:firstLine="0"/>
                        <w:jc w:val="center"/>
                      </w:pPr>
                      <w:r>
                        <w:rPr>
                          <w:color w:val="FFFFFF"/>
                          <w:spacing w:val="0"/>
                          <w:w w:val="100"/>
                          <w:position w:val="0"/>
                        </w:rPr>
                        <w:t>有线宽带 端到端</w:t>
                      </w:r>
                    </w:p>
                  </w:txbxContent>
                </v:textbox>
                <w10:wrap anchorx="page"/>
              </v:shape>
            </w:pict>
          </mc:Fallback>
        </mc:AlternateContent>
      </w:r>
      <w:r>
        <mc:AlternateContent>
          <mc:Choice Requires="wps">
            <w:drawing>
              <wp:anchor distT="0" distB="0" distL="0" distR="0" simplePos="0" relativeHeight="503316544" behindDoc="0" locked="0" layoutInCell="1" allowOverlap="1">
                <wp:simplePos x="0" y="0"/>
                <wp:positionH relativeFrom="page">
                  <wp:posOffset>5020310</wp:posOffset>
                </wp:positionH>
                <wp:positionV relativeFrom="paragraph">
                  <wp:posOffset>1466215</wp:posOffset>
                </wp:positionV>
                <wp:extent cx="441960" cy="243840"/>
                <wp:wrapNone/>
                <wp:docPr id="125" name="Shape 125"/>
                <a:graphic xmlns:a="http://schemas.openxmlformats.org/drawingml/2006/main">
                  <a:graphicData uri="http://schemas.microsoft.com/office/word/2010/wordprocessingShape">
                    <wps:wsp>
                      <wps:cNvSpPr txBox="1"/>
                      <wps:spPr>
                        <a:xfrm>
                          <a:ext cx="441960" cy="243840"/>
                        </a:xfrm>
                        <a:prstGeom prst="rect"/>
                        <a:noFill/>
                      </wps:spPr>
                      <wps:txbx>
                        <w:txbxContent>
                          <w:p>
                            <w:pPr>
                              <w:pStyle w:val="Style20"/>
                              <w:keepNext w:val="0"/>
                              <w:keepLines w:val="0"/>
                              <w:widowControl w:val="0"/>
                              <w:pBdr>
                                <w:top w:val="single" w:sz="0" w:space="0" w:color="D5DCE6"/>
                                <w:left w:val="single" w:sz="0" w:space="9" w:color="D5DCE6"/>
                                <w:bottom w:val="single" w:sz="0" w:space="0" w:color="D5DCE6"/>
                                <w:right w:val="single" w:sz="0" w:space="9" w:color="D5DCE6"/>
                              </w:pBdr>
                              <w:shd w:val="clear" w:color="auto" w:fill="D5DCE6"/>
                              <w:bidi w:val="0"/>
                              <w:spacing w:before="0" w:after="0" w:line="178" w:lineRule="exact"/>
                              <w:ind w:left="0" w:right="0" w:firstLine="0"/>
                              <w:jc w:val="both"/>
                            </w:pPr>
                            <w:r>
                              <w:rPr>
                                <w:color w:val="FFFFFF"/>
                                <w:spacing w:val="0"/>
                                <w:w w:val="100"/>
                                <w:position w:val="0"/>
                              </w:rPr>
                              <w:t>一体化网络 运徽作台</w:t>
                            </w:r>
                          </w:p>
                        </w:txbxContent>
                      </wps:txbx>
                      <wps:bodyPr lIns="0" tIns="0" rIns="0" bIns="0">
                        <a:noAutoFit/>
                      </wps:bodyPr>
                    </wps:wsp>
                  </a:graphicData>
                </a:graphic>
              </wp:anchor>
            </w:drawing>
          </mc:Choice>
          <mc:Fallback>
            <w:pict>
              <v:shape id="_x0000_s1151" type="#_x0000_t202" style="position:absolute;margin-left:395.30000000000001pt;margin-top:115.45pt;width:34.800000000000004pt;height:19.199999999999999pt;z-index:251657791;mso-wrap-distance-left:0;mso-wrap-distance-right:0;mso-position-horizontal-relative:page" filled="f" stroked="f">
                <v:textbox inset="0,0,0,0">
                  <w:txbxContent>
                    <w:p>
                      <w:pPr>
                        <w:pStyle w:val="Style20"/>
                        <w:keepNext w:val="0"/>
                        <w:keepLines w:val="0"/>
                        <w:widowControl w:val="0"/>
                        <w:pBdr>
                          <w:top w:val="single" w:sz="0" w:space="0" w:color="D5DCE6"/>
                          <w:left w:val="single" w:sz="0" w:space="9" w:color="D5DCE6"/>
                          <w:bottom w:val="single" w:sz="0" w:space="0" w:color="D5DCE6"/>
                          <w:right w:val="single" w:sz="0" w:space="9" w:color="D5DCE6"/>
                        </w:pBdr>
                        <w:shd w:val="clear" w:color="auto" w:fill="D5DCE6"/>
                        <w:bidi w:val="0"/>
                        <w:spacing w:before="0" w:after="0" w:line="178" w:lineRule="exact"/>
                        <w:ind w:left="0" w:right="0" w:firstLine="0"/>
                        <w:jc w:val="both"/>
                      </w:pPr>
                      <w:r>
                        <w:rPr>
                          <w:color w:val="FFFFFF"/>
                          <w:spacing w:val="0"/>
                          <w:w w:val="100"/>
                          <w:position w:val="0"/>
                        </w:rPr>
                        <w:t>一体化网络 运徽作台</w:t>
                      </w:r>
                    </w:p>
                  </w:txbxContent>
                </v:textbox>
                <w10:wrap anchorx="page"/>
              </v:shape>
            </w:pict>
          </mc:Fallback>
        </mc:AlternateContent>
      </w:r>
      <w:r>
        <mc:AlternateContent>
          <mc:Choice Requires="wps">
            <w:drawing>
              <wp:anchor distT="0" distB="0" distL="0" distR="0" simplePos="0" relativeHeight="503316546" behindDoc="0" locked="0" layoutInCell="1" allowOverlap="1">
                <wp:simplePos x="0" y="0"/>
                <wp:positionH relativeFrom="page">
                  <wp:posOffset>4423410</wp:posOffset>
                </wp:positionH>
                <wp:positionV relativeFrom="paragraph">
                  <wp:posOffset>1466215</wp:posOffset>
                </wp:positionV>
                <wp:extent cx="435610" cy="243840"/>
                <wp:wrapNone/>
                <wp:docPr id="127" name="Shape 127"/>
                <a:graphic xmlns:a="http://schemas.openxmlformats.org/drawingml/2006/main">
                  <a:graphicData uri="http://schemas.microsoft.com/office/word/2010/wordprocessingShape">
                    <wps:wsp>
                      <wps:cNvSpPr txBox="1"/>
                      <wps:spPr>
                        <a:xfrm>
                          <a:ext cx="435610" cy="243840"/>
                        </a:xfrm>
                        <a:prstGeom prst="rect"/>
                        <a:noFill/>
                      </wps:spPr>
                      <wps:txbx>
                        <w:txbxContent>
                          <w:p>
                            <w:pPr>
                              <w:pStyle w:val="Style20"/>
                              <w:keepNext w:val="0"/>
                              <w:keepLines w:val="0"/>
                              <w:widowControl w:val="0"/>
                              <w:pBdr>
                                <w:top w:val="single" w:sz="0" w:space="0" w:color="D5DCE6"/>
                                <w:left w:val="single" w:sz="0" w:space="9" w:color="D5DCE6"/>
                                <w:bottom w:val="single" w:sz="0" w:space="0" w:color="D5DCE6"/>
                                <w:right w:val="single" w:sz="0" w:space="9" w:color="D5DCE6"/>
                              </w:pBdr>
                              <w:shd w:val="clear" w:color="auto" w:fill="D5DCE6"/>
                              <w:bidi w:val="0"/>
                              <w:spacing w:before="0" w:after="0" w:line="182" w:lineRule="exact"/>
                              <w:ind w:left="0" w:right="0" w:firstLine="0"/>
                              <w:jc w:val="center"/>
                            </w:pPr>
                            <w:r>
                              <w:rPr>
                                <w:color w:val="DBE5EE"/>
                                <w:spacing w:val="0"/>
                                <w:w w:val="100"/>
                                <w:position w:val="0"/>
                              </w:rPr>
                              <w:t xml:space="preserve">网络业务 </w:t>
                            </w:r>
                            <w:r>
                              <w:rPr>
                                <w:color w:val="FFFFFF"/>
                                <w:spacing w:val="0"/>
                                <w:w w:val="100"/>
                                <w:position w:val="0"/>
                              </w:rPr>
                              <w:t>跚</w:t>
                            </w:r>
                            <w:r>
                              <w:rPr>
                                <w:color w:val="DBE5EE"/>
                                <w:spacing w:val="0"/>
                                <w:w w:val="100"/>
                                <w:position w:val="0"/>
                              </w:rPr>
                              <w:t>与编排</w:t>
                            </w:r>
                          </w:p>
                        </w:txbxContent>
                      </wps:txbx>
                      <wps:bodyPr lIns="0" tIns="0" rIns="0" bIns="0">
                        <a:noAutoFit/>
                      </wps:bodyPr>
                    </wps:wsp>
                  </a:graphicData>
                </a:graphic>
              </wp:anchor>
            </w:drawing>
          </mc:Choice>
          <mc:Fallback>
            <w:pict>
              <v:shape id="_x0000_s1153" type="#_x0000_t202" style="position:absolute;margin-left:348.30000000000001pt;margin-top:115.45pt;width:34.300000000000004pt;height:19.199999999999999pt;z-index:251657793;mso-wrap-distance-left:0;mso-wrap-distance-right:0;mso-position-horizontal-relative:page" filled="f" stroked="f">
                <v:textbox inset="0,0,0,0">
                  <w:txbxContent>
                    <w:p>
                      <w:pPr>
                        <w:pStyle w:val="Style20"/>
                        <w:keepNext w:val="0"/>
                        <w:keepLines w:val="0"/>
                        <w:widowControl w:val="0"/>
                        <w:pBdr>
                          <w:top w:val="single" w:sz="0" w:space="0" w:color="D5DCE6"/>
                          <w:left w:val="single" w:sz="0" w:space="9" w:color="D5DCE6"/>
                          <w:bottom w:val="single" w:sz="0" w:space="0" w:color="D5DCE6"/>
                          <w:right w:val="single" w:sz="0" w:space="9" w:color="D5DCE6"/>
                        </w:pBdr>
                        <w:shd w:val="clear" w:color="auto" w:fill="D5DCE6"/>
                        <w:bidi w:val="0"/>
                        <w:spacing w:before="0" w:after="0" w:line="182" w:lineRule="exact"/>
                        <w:ind w:left="0" w:right="0" w:firstLine="0"/>
                        <w:jc w:val="center"/>
                      </w:pPr>
                      <w:r>
                        <w:rPr>
                          <w:color w:val="DBE5EE"/>
                          <w:spacing w:val="0"/>
                          <w:w w:val="100"/>
                          <w:position w:val="0"/>
                        </w:rPr>
                        <w:t xml:space="preserve">网络业务 </w:t>
                      </w:r>
                      <w:r>
                        <w:rPr>
                          <w:color w:val="FFFFFF"/>
                          <w:spacing w:val="0"/>
                          <w:w w:val="100"/>
                          <w:position w:val="0"/>
                        </w:rPr>
                        <w:t>跚</w:t>
                      </w:r>
                      <w:r>
                        <w:rPr>
                          <w:color w:val="DBE5EE"/>
                          <w:spacing w:val="0"/>
                          <w:w w:val="100"/>
                          <w:position w:val="0"/>
                        </w:rPr>
                        <w:t>与编排</w:t>
                      </w:r>
                    </w:p>
                  </w:txbxContent>
                </v:textbox>
                <w10:wrap anchorx="page"/>
              </v:shape>
            </w:pict>
          </mc:Fallback>
        </mc:AlternateContent>
      </w:r>
      <w:r>
        <mc:AlternateContent>
          <mc:Choice Requires="wps">
            <w:drawing>
              <wp:anchor distT="0" distB="0" distL="0" distR="0" simplePos="0" relativeHeight="503316548" behindDoc="0" locked="0" layoutInCell="1" allowOverlap="1">
                <wp:simplePos x="0" y="0"/>
                <wp:positionH relativeFrom="page">
                  <wp:posOffset>4374515</wp:posOffset>
                </wp:positionH>
                <wp:positionV relativeFrom="paragraph">
                  <wp:posOffset>2417445</wp:posOffset>
                </wp:positionV>
                <wp:extent cx="1429385" cy="557530"/>
                <wp:wrapNone/>
                <wp:docPr id="129" name="Shape 129"/>
                <a:graphic xmlns:a="http://schemas.openxmlformats.org/drawingml/2006/main">
                  <a:graphicData uri="http://schemas.microsoft.com/office/word/2010/wordprocessingShape">
                    <wps:wsp>
                      <wps:cNvSpPr txBox="1"/>
                      <wps:spPr>
                        <a:xfrm>
                          <a:ext cx="1429385" cy="557530"/>
                        </a:xfrm>
                        <a:prstGeom prst="rect"/>
                        <a:noFill/>
                      </wps:spPr>
                      <wps:txbx>
                        <w:txbxContent>
                          <w:p>
                            <w:pPr>
                              <w:pStyle w:val="Style20"/>
                              <w:keepNext w:val="0"/>
                              <w:keepLines w:val="0"/>
                              <w:widowControl w:val="0"/>
                              <w:pBdr>
                                <w:top w:val="single" w:sz="0" w:space="0" w:color="91CE4D"/>
                                <w:left w:val="single" w:sz="0" w:space="8" w:color="91CE4D"/>
                                <w:bottom w:val="single" w:sz="0" w:space="0" w:color="91CE4D"/>
                                <w:right w:val="single" w:sz="0" w:space="8" w:color="91CE4D"/>
                              </w:pBdr>
                              <w:shd w:val="clear" w:color="auto" w:fill="91CE4D"/>
                              <w:tabs>
                                <w:tab w:pos="1003" w:val="left"/>
                              </w:tabs>
                              <w:bidi w:val="0"/>
                              <w:spacing w:before="0" w:after="0" w:line="427" w:lineRule="exact"/>
                              <w:ind w:left="0" w:right="0" w:firstLine="0"/>
                              <w:jc w:val="center"/>
                            </w:pPr>
                            <w:r>
                              <w:rPr>
                                <w:color w:val="FFFFFF"/>
                                <w:spacing w:val="0"/>
                                <w:w w:val="100"/>
                                <w:position w:val="0"/>
                              </w:rPr>
                              <w:t>微服务管控平台</w:t>
                            </w:r>
                            <w:r>
                              <w:rPr>
                                <w:color w:val="FFFFFF"/>
                                <w:spacing w:val="0"/>
                                <w:w w:val="100"/>
                                <w:position w:val="0"/>
                              </w:rPr>
                              <w:t xml:space="preserve">■ </w:t>
                            </w:r>
                            <w:r>
                              <w:rPr>
                                <w:rFonts w:ascii="Segoe UI" w:eastAsia="Segoe UI" w:hAnsi="Segoe UI" w:cs="Segoe UI"/>
                                <w:b/>
                                <w:bCs/>
                                <w:color w:val="FFFFFF"/>
                                <w:spacing w:val="0"/>
                                <w:w w:val="100"/>
                                <w:position w:val="0"/>
                                <w:sz w:val="14"/>
                                <w:szCs w:val="14"/>
                              </w:rPr>
                              <w:t>DevOps</w:t>
                            </w:r>
                            <w:r>
                              <w:rPr>
                                <w:color w:val="FFFFFF"/>
                                <w:spacing w:val="0"/>
                                <w:w w:val="100"/>
                                <w:position w:val="0"/>
                              </w:rPr>
                              <w:t>平台 容器云平台</w:t>
                              <w:tab/>
                              <w:t>| 自管理</w:t>
                            </w:r>
                          </w:p>
                        </w:txbxContent>
                      </wps:txbx>
                      <wps:bodyPr lIns="0" tIns="0" rIns="0" bIns="0">
                        <a:noAutoFit/>
                      </wps:bodyPr>
                    </wps:wsp>
                  </a:graphicData>
                </a:graphic>
              </wp:anchor>
            </w:drawing>
          </mc:Choice>
          <mc:Fallback>
            <w:pict>
              <v:shape id="_x0000_s1155" type="#_x0000_t202" style="position:absolute;margin-left:344.44999999999999pt;margin-top:190.34999999999999pt;width:112.55pt;height:43.899999999999999pt;z-index:251657795;mso-wrap-distance-left:0;mso-wrap-distance-right:0;mso-position-horizontal-relative:page" filled="f" stroked="f">
                <v:textbox inset="0,0,0,0">
                  <w:txbxContent>
                    <w:p>
                      <w:pPr>
                        <w:pStyle w:val="Style20"/>
                        <w:keepNext w:val="0"/>
                        <w:keepLines w:val="0"/>
                        <w:widowControl w:val="0"/>
                        <w:pBdr>
                          <w:top w:val="single" w:sz="0" w:space="0" w:color="91CE4D"/>
                          <w:left w:val="single" w:sz="0" w:space="8" w:color="91CE4D"/>
                          <w:bottom w:val="single" w:sz="0" w:space="0" w:color="91CE4D"/>
                          <w:right w:val="single" w:sz="0" w:space="8" w:color="91CE4D"/>
                        </w:pBdr>
                        <w:shd w:val="clear" w:color="auto" w:fill="91CE4D"/>
                        <w:tabs>
                          <w:tab w:pos="1003" w:val="left"/>
                        </w:tabs>
                        <w:bidi w:val="0"/>
                        <w:spacing w:before="0" w:after="0" w:line="427" w:lineRule="exact"/>
                        <w:ind w:left="0" w:right="0" w:firstLine="0"/>
                        <w:jc w:val="center"/>
                      </w:pPr>
                      <w:r>
                        <w:rPr>
                          <w:color w:val="FFFFFF"/>
                          <w:spacing w:val="0"/>
                          <w:w w:val="100"/>
                          <w:position w:val="0"/>
                        </w:rPr>
                        <w:t>微服务管控平台</w:t>
                      </w:r>
                      <w:r>
                        <w:rPr>
                          <w:color w:val="FFFFFF"/>
                          <w:spacing w:val="0"/>
                          <w:w w:val="100"/>
                          <w:position w:val="0"/>
                        </w:rPr>
                        <w:t xml:space="preserve">■ </w:t>
                      </w:r>
                      <w:r>
                        <w:rPr>
                          <w:rFonts w:ascii="Segoe UI" w:eastAsia="Segoe UI" w:hAnsi="Segoe UI" w:cs="Segoe UI"/>
                          <w:b/>
                          <w:bCs/>
                          <w:color w:val="FFFFFF"/>
                          <w:spacing w:val="0"/>
                          <w:w w:val="100"/>
                          <w:position w:val="0"/>
                          <w:sz w:val="14"/>
                          <w:szCs w:val="14"/>
                        </w:rPr>
                        <w:t>DevOps</w:t>
                      </w:r>
                      <w:r>
                        <w:rPr>
                          <w:color w:val="FFFFFF"/>
                          <w:spacing w:val="0"/>
                          <w:w w:val="100"/>
                          <w:position w:val="0"/>
                        </w:rPr>
                        <w:t>平台 容器云平台</w:t>
                        <w:tab/>
                        <w:t>| 自管理</w:t>
                      </w:r>
                    </w:p>
                  </w:txbxContent>
                </v:textbox>
                <w10:wrap anchorx="page"/>
              </v:shape>
            </w:pict>
          </mc:Fallback>
        </mc:AlternateContent>
      </w:r>
      <w:r>
        <mc:AlternateContent>
          <mc:Choice Requires="wps">
            <w:drawing>
              <wp:anchor distT="0" distB="0" distL="0" distR="0" simplePos="0" relativeHeight="503316550" behindDoc="0" locked="0" layoutInCell="1" allowOverlap="1">
                <wp:simplePos x="0" y="0"/>
                <wp:positionH relativeFrom="page">
                  <wp:posOffset>6178550</wp:posOffset>
                </wp:positionH>
                <wp:positionV relativeFrom="paragraph">
                  <wp:posOffset>2566670</wp:posOffset>
                </wp:positionV>
                <wp:extent cx="511810" cy="106680"/>
                <wp:wrapNone/>
                <wp:docPr id="131" name="Shape 131"/>
                <a:graphic xmlns:a="http://schemas.openxmlformats.org/drawingml/2006/main">
                  <a:graphicData uri="http://schemas.microsoft.com/office/word/2010/wordprocessingShape">
                    <wps:wsp>
                      <wps:cNvSpPr txBox="1"/>
                      <wps:spPr>
                        <a:xfrm>
                          <a:ext cx="511810" cy="106680"/>
                        </a:xfrm>
                        <a:prstGeom prst="rect"/>
                        <a:noFill/>
                      </wps:spPr>
                      <wps:txbx>
                        <w:txbxContent>
                          <w:p>
                            <w:pPr>
                              <w:pStyle w:val="Style20"/>
                              <w:keepNext w:val="0"/>
                              <w:keepLines w:val="0"/>
                              <w:widowControl w:val="0"/>
                              <w:pBdr>
                                <w:top w:val="single" w:sz="0" w:space="0" w:color="91CE4D"/>
                                <w:left w:val="single" w:sz="0" w:space="8" w:color="91CE4D"/>
                                <w:bottom w:val="single" w:sz="0" w:space="0" w:color="91CE4D"/>
                                <w:right w:val="single" w:sz="0" w:space="8" w:color="91CE4D"/>
                              </w:pBdr>
                              <w:shd w:val="clear" w:color="auto" w:fill="91CE4D"/>
                              <w:bidi w:val="0"/>
                              <w:spacing w:before="0" w:after="0" w:line="240" w:lineRule="auto"/>
                              <w:ind w:left="0" w:right="0" w:firstLine="0"/>
                              <w:jc w:val="right"/>
                            </w:pPr>
                            <w:r>
                              <w:rPr>
                                <w:rFonts w:ascii="Segoe UI" w:eastAsia="Segoe UI" w:hAnsi="Segoe UI" w:cs="Segoe UI"/>
                                <w:b/>
                                <w:bCs/>
                                <w:color w:val="FFFFFF"/>
                                <w:spacing w:val="0"/>
                                <w:w w:val="100"/>
                                <w:position w:val="0"/>
                                <w:sz w:val="14"/>
                                <w:szCs w:val="14"/>
                              </w:rPr>
                              <w:t>AI</w:t>
                            </w:r>
                            <w:r>
                              <w:rPr>
                                <w:color w:val="FFFFFF"/>
                                <w:spacing w:val="0"/>
                                <w:w w:val="100"/>
                                <w:position w:val="0"/>
                              </w:rPr>
                              <w:t>能力平台</w:t>
                            </w:r>
                          </w:p>
                        </w:txbxContent>
                      </wps:txbx>
                      <wps:bodyPr lIns="0" tIns="0" rIns="0" bIns="0">
                        <a:noAutoFit/>
                      </wps:bodyPr>
                    </wps:wsp>
                  </a:graphicData>
                </a:graphic>
              </wp:anchor>
            </w:drawing>
          </mc:Choice>
          <mc:Fallback>
            <w:pict>
              <v:shape id="_x0000_s1157" type="#_x0000_t202" style="position:absolute;margin-left:486.5pt;margin-top:202.09999999999999pt;width:40.300000000000004pt;height:8.4000000000000004pt;z-index:251657797;mso-wrap-distance-left:0;mso-wrap-distance-right:0;mso-position-horizontal-relative:page" filled="f" stroked="f">
                <v:textbox inset="0,0,0,0">
                  <w:txbxContent>
                    <w:p>
                      <w:pPr>
                        <w:pStyle w:val="Style20"/>
                        <w:keepNext w:val="0"/>
                        <w:keepLines w:val="0"/>
                        <w:widowControl w:val="0"/>
                        <w:pBdr>
                          <w:top w:val="single" w:sz="0" w:space="0" w:color="91CE4D"/>
                          <w:left w:val="single" w:sz="0" w:space="8" w:color="91CE4D"/>
                          <w:bottom w:val="single" w:sz="0" w:space="0" w:color="91CE4D"/>
                          <w:right w:val="single" w:sz="0" w:space="8" w:color="91CE4D"/>
                        </w:pBdr>
                        <w:shd w:val="clear" w:color="auto" w:fill="91CE4D"/>
                        <w:bidi w:val="0"/>
                        <w:spacing w:before="0" w:after="0" w:line="240" w:lineRule="auto"/>
                        <w:ind w:left="0" w:right="0" w:firstLine="0"/>
                        <w:jc w:val="right"/>
                      </w:pPr>
                      <w:r>
                        <w:rPr>
                          <w:rFonts w:ascii="Segoe UI" w:eastAsia="Segoe UI" w:hAnsi="Segoe UI" w:cs="Segoe UI"/>
                          <w:b/>
                          <w:bCs/>
                          <w:color w:val="FFFFFF"/>
                          <w:spacing w:val="0"/>
                          <w:w w:val="100"/>
                          <w:position w:val="0"/>
                          <w:sz w:val="14"/>
                          <w:szCs w:val="14"/>
                        </w:rPr>
                        <w:t>AI</w:t>
                      </w:r>
                      <w:r>
                        <w:rPr>
                          <w:color w:val="FFFFFF"/>
                          <w:spacing w:val="0"/>
                          <w:w w:val="100"/>
                          <w:position w:val="0"/>
                        </w:rPr>
                        <w:t>能力平台</w:t>
                      </w:r>
                    </w:p>
                  </w:txbxContent>
                </v:textbox>
                <w10:wrap anchorx="page"/>
              </v:shape>
            </w:pict>
          </mc:Fallback>
        </mc:AlternateContent>
      </w:r>
      <w:r>
        <mc:AlternateContent>
          <mc:Choice Requires="wps">
            <w:drawing>
              <wp:anchor distT="0" distB="0" distL="0" distR="0" simplePos="0" relativeHeight="503316552" behindDoc="0" locked="0" layoutInCell="1" allowOverlap="1">
                <wp:simplePos x="0" y="0"/>
                <wp:positionH relativeFrom="page">
                  <wp:posOffset>878205</wp:posOffset>
                </wp:positionH>
                <wp:positionV relativeFrom="paragraph">
                  <wp:posOffset>1844040</wp:posOffset>
                </wp:positionV>
                <wp:extent cx="125095" cy="530225"/>
                <wp:wrapNone/>
                <wp:docPr id="133" name="Shape 133"/>
                <a:graphic xmlns:a="http://schemas.openxmlformats.org/drawingml/2006/main">
                  <a:graphicData uri="http://schemas.microsoft.com/office/word/2010/wordprocessingShape">
                    <wps:wsp>
                      <wps:cNvSpPr txBox="1"/>
                      <wps:spPr>
                        <a:xfrm>
                          <a:ext cx="125095" cy="530225"/>
                        </a:xfrm>
                        <a:prstGeom prst="rect"/>
                        <a:noFill/>
                      </wps:spPr>
                      <wps:txbx>
                        <w:txbxContent>
                          <w:p>
                            <w:pPr>
                              <w:pStyle w:val="Style81"/>
                              <w:keepNext w:val="0"/>
                              <w:keepLines w:val="0"/>
                              <w:widowControl w:val="0"/>
                              <w:pBdr>
                                <w:top w:val="single" w:sz="0" w:space="0" w:color="006FBE"/>
                                <w:left w:val="single" w:sz="0" w:space="0" w:color="006FBE"/>
                                <w:bottom w:val="single" w:sz="0" w:space="0" w:color="006FBE"/>
                                <w:right w:val="single" w:sz="0" w:space="0" w:color="006FBE"/>
                              </w:pBdr>
                              <w:shd w:val="clear" w:color="auto" w:fill="006FBE"/>
                              <w:bidi w:val="0"/>
                              <w:spacing w:before="0" w:after="0" w:line="240" w:lineRule="auto"/>
                              <w:ind w:left="0" w:right="0" w:firstLine="0"/>
                              <w:jc w:val="both"/>
                            </w:pPr>
                            <w:r>
                              <w:rPr>
                                <w:color w:val="FFFFFF"/>
                                <w:spacing w:val="0"/>
                                <w:w w:val="100"/>
                                <w:position w:val="0"/>
                              </w:rPr>
                              <w:t>运营中台</w:t>
                            </w:r>
                          </w:p>
                        </w:txbxContent>
                      </wps:txbx>
                      <wps:bodyPr upright="1" vert="eaVert" lIns="0" tIns="0" rIns="0" bIns="0">
                        <a:noAutoFit/>
                      </wps:bodyPr>
                    </wps:wsp>
                  </a:graphicData>
                </a:graphic>
              </wp:anchor>
            </w:drawing>
          </mc:Choice>
          <mc:Fallback>
            <w:pict>
              <v:shape id="_x0000_s1159" type="#_x0000_t202" style="position:absolute;margin-left:69.150000000000006pt;margin-top:145.20000000000002pt;width:9.8499999999999996pt;height:41.75pt;z-index:251657799;mso-wrap-distance-left:0;mso-wrap-distance-right:0;mso-position-horizontal-relative:page" filled="f" stroked="f">
                <v:textbox style="layout-flow:vertical-ideographic" inset="0,0,0,0">
                  <w:txbxContent>
                    <w:p>
                      <w:pPr>
                        <w:pStyle w:val="Style81"/>
                        <w:keepNext w:val="0"/>
                        <w:keepLines w:val="0"/>
                        <w:widowControl w:val="0"/>
                        <w:pBdr>
                          <w:top w:val="single" w:sz="0" w:space="0" w:color="006FBE"/>
                          <w:left w:val="single" w:sz="0" w:space="0" w:color="006FBE"/>
                          <w:bottom w:val="single" w:sz="0" w:space="0" w:color="006FBE"/>
                          <w:right w:val="single" w:sz="0" w:space="0" w:color="006FBE"/>
                        </w:pBdr>
                        <w:shd w:val="clear" w:color="auto" w:fill="006FBE"/>
                        <w:bidi w:val="0"/>
                        <w:spacing w:before="0" w:after="0" w:line="240" w:lineRule="auto"/>
                        <w:ind w:left="0" w:right="0" w:firstLine="0"/>
                        <w:jc w:val="both"/>
                      </w:pPr>
                      <w:r>
                        <w:rPr>
                          <w:color w:val="FFFFFF"/>
                          <w:spacing w:val="0"/>
                          <w:w w:val="100"/>
                          <w:position w:val="0"/>
                        </w:rPr>
                        <w:t>运营中台</w:t>
                      </w:r>
                    </w:p>
                  </w:txbxContent>
                </v:textbox>
                <w10:wrap anchorx="page"/>
              </v:shape>
            </w:pict>
          </mc:Fallback>
        </mc:AlternateContent>
      </w:r>
      <w:r>
        <mc:AlternateContent>
          <mc:Choice Requires="wps">
            <w:drawing>
              <wp:anchor distT="2706370" distB="436245" distL="0" distR="0" simplePos="0" relativeHeight="125829390" behindDoc="0" locked="0" layoutInCell="1" allowOverlap="1">
                <wp:simplePos x="0" y="0"/>
                <wp:positionH relativeFrom="page">
                  <wp:posOffset>1591310</wp:posOffset>
                </wp:positionH>
                <wp:positionV relativeFrom="paragraph">
                  <wp:posOffset>2706370</wp:posOffset>
                </wp:positionV>
                <wp:extent cx="356870" cy="125095"/>
                <wp:wrapTopAndBottom/>
                <wp:docPr id="135" name="Shape 135"/>
                <a:graphic xmlns:a="http://schemas.openxmlformats.org/drawingml/2006/main">
                  <a:graphicData uri="http://schemas.microsoft.com/office/word/2010/wordprocessingShape">
                    <wps:wsp>
                      <wps:cNvSpPr txBox="1"/>
                      <wps:spPr>
                        <a:xfrm>
                          <a:ext cx="356870" cy="125095"/>
                        </a:xfrm>
                        <a:prstGeom prst="rect"/>
                        <a:noFill/>
                      </wps:spPr>
                      <wps:txbx>
                        <w:txbxContent>
                          <w:p>
                            <w:pPr>
                              <w:pStyle w:val="Style2"/>
                              <w:keepNext w:val="0"/>
                              <w:keepLines w:val="0"/>
                              <w:widowControl w:val="0"/>
                              <w:pBdr>
                                <w:top w:val="single" w:sz="0" w:space="0" w:color="91CE4D"/>
                                <w:left w:val="single" w:sz="0" w:space="0" w:color="91CE4D"/>
                                <w:bottom w:val="single" w:sz="0" w:space="0" w:color="91CE4D"/>
                                <w:right w:val="single" w:sz="0" w:space="0" w:color="91CE4D"/>
                              </w:pBdr>
                              <w:shd w:val="clear" w:color="auto" w:fill="91CE4D"/>
                              <w:bidi w:val="0"/>
                              <w:spacing w:before="0" w:after="0" w:line="240" w:lineRule="auto"/>
                              <w:ind w:left="0" w:right="0" w:firstLine="0"/>
                              <w:jc w:val="left"/>
                              <w:rPr>
                                <w:sz w:val="13"/>
                                <w:szCs w:val="13"/>
                              </w:rPr>
                            </w:pPr>
                            <w:r>
                              <w:rPr>
                                <w:rFonts w:ascii="SimHei" w:eastAsia="SimHei" w:hAnsi="SimHei" w:cs="SimHei"/>
                                <w:color w:val="FFFFFF"/>
                                <w:spacing w:val="0"/>
                                <w:w w:val="100"/>
                                <w:position w:val="0"/>
                                <w:sz w:val="13"/>
                                <w:szCs w:val="13"/>
                              </w:rPr>
                              <w:t>数据中台</w:t>
                            </w:r>
                          </w:p>
                        </w:txbxContent>
                      </wps:txbx>
                      <wps:bodyPr wrap="none" lIns="0" tIns="0" rIns="0" bIns="0">
                        <a:noAutoFit/>
                      </wps:bodyPr>
                    </wps:wsp>
                  </a:graphicData>
                </a:graphic>
              </wp:anchor>
            </w:drawing>
          </mc:Choice>
          <mc:Fallback>
            <w:pict>
              <v:shape id="_x0000_s1161" type="#_x0000_t202" style="position:absolute;margin-left:125.3pt;margin-top:213.09999999999999pt;width:28.100000000000001pt;height:9.8499999999999996pt;z-index:-125829363;mso-wrap-distance-left:0;mso-wrap-distance-top:213.09999999999999pt;mso-wrap-distance-right:0;mso-wrap-distance-bottom:34.350000000000001pt;mso-position-horizontal-relative:page" filled="f" stroked="f">
                <v:textbox inset="0,0,0,0">
                  <w:txbxContent>
                    <w:p>
                      <w:pPr>
                        <w:pStyle w:val="Style2"/>
                        <w:keepNext w:val="0"/>
                        <w:keepLines w:val="0"/>
                        <w:widowControl w:val="0"/>
                        <w:pBdr>
                          <w:top w:val="single" w:sz="0" w:space="0" w:color="91CE4D"/>
                          <w:left w:val="single" w:sz="0" w:space="0" w:color="91CE4D"/>
                          <w:bottom w:val="single" w:sz="0" w:space="0" w:color="91CE4D"/>
                          <w:right w:val="single" w:sz="0" w:space="0" w:color="91CE4D"/>
                        </w:pBdr>
                        <w:shd w:val="clear" w:color="auto" w:fill="91CE4D"/>
                        <w:bidi w:val="0"/>
                        <w:spacing w:before="0" w:after="0" w:line="240" w:lineRule="auto"/>
                        <w:ind w:left="0" w:right="0" w:firstLine="0"/>
                        <w:jc w:val="left"/>
                        <w:rPr>
                          <w:sz w:val="13"/>
                          <w:szCs w:val="13"/>
                        </w:rPr>
                      </w:pPr>
                      <w:r>
                        <w:rPr>
                          <w:rFonts w:ascii="SimHei" w:eastAsia="SimHei" w:hAnsi="SimHei" w:cs="SimHei"/>
                          <w:color w:val="FFFFFF"/>
                          <w:spacing w:val="0"/>
                          <w:w w:val="100"/>
                          <w:position w:val="0"/>
                          <w:sz w:val="13"/>
                          <w:szCs w:val="13"/>
                        </w:rPr>
                        <w:t>数据中台</w:t>
                      </w:r>
                    </w:p>
                  </w:txbxContent>
                </v:textbox>
                <w10:wrap type="topAndBottom" anchorx="page"/>
              </v:shape>
            </w:pict>
          </mc:Fallback>
        </mc:AlternateContent>
      </w:r>
      <w:r>
        <mc:AlternateContent>
          <mc:Choice Requires="wps">
            <w:drawing>
              <wp:anchor distT="2703830" distB="435610" distL="0" distR="0" simplePos="0" relativeHeight="125829392" behindDoc="0" locked="0" layoutInCell="1" allowOverlap="1">
                <wp:simplePos x="0" y="0"/>
                <wp:positionH relativeFrom="page">
                  <wp:posOffset>2844165</wp:posOffset>
                </wp:positionH>
                <wp:positionV relativeFrom="paragraph">
                  <wp:posOffset>2703830</wp:posOffset>
                </wp:positionV>
                <wp:extent cx="514985" cy="128270"/>
                <wp:wrapTopAndBottom/>
                <wp:docPr id="137" name="Shape 137"/>
                <a:graphic xmlns:a="http://schemas.openxmlformats.org/drawingml/2006/main">
                  <a:graphicData uri="http://schemas.microsoft.com/office/word/2010/wordprocessingShape">
                    <wps:wsp>
                      <wps:cNvSpPr txBox="1"/>
                      <wps:spPr>
                        <a:xfrm>
                          <a:ext cx="514985" cy="128270"/>
                        </a:xfrm>
                        <a:prstGeom prst="rect"/>
                        <a:noFill/>
                      </wps:spPr>
                      <wps:txbx>
                        <w:txbxContent>
                          <w:p>
                            <w:pPr>
                              <w:pStyle w:val="Style2"/>
                              <w:keepNext w:val="0"/>
                              <w:keepLines w:val="0"/>
                              <w:widowControl w:val="0"/>
                              <w:pBdr>
                                <w:top w:val="single" w:sz="0" w:space="0" w:color="91CE4D"/>
                                <w:left w:val="single" w:sz="0" w:space="0" w:color="91CE4D"/>
                                <w:bottom w:val="single" w:sz="0" w:space="0" w:color="91CE4D"/>
                                <w:right w:val="single" w:sz="0" w:space="0" w:color="91CE4D"/>
                              </w:pBdr>
                              <w:shd w:val="clear" w:color="auto" w:fill="91CE4D"/>
                              <w:bidi w:val="0"/>
                              <w:spacing w:before="0" w:after="0" w:line="240" w:lineRule="auto"/>
                              <w:ind w:left="0" w:right="0" w:firstLine="0"/>
                              <w:jc w:val="both"/>
                              <w:rPr>
                                <w:sz w:val="13"/>
                                <w:szCs w:val="13"/>
                              </w:rPr>
                            </w:pPr>
                            <w:r>
                              <w:rPr>
                                <w:rFonts w:ascii="SimHei" w:eastAsia="SimHei" w:hAnsi="SimHei" w:cs="SimHei"/>
                                <w:color w:val="FFFFFF"/>
                                <w:spacing w:val="0"/>
                                <w:w w:val="100"/>
                                <w:position w:val="0"/>
                                <w:sz w:val="13"/>
                                <w:szCs w:val="13"/>
                              </w:rPr>
                              <w:t>能力开放平台</w:t>
                            </w:r>
                          </w:p>
                        </w:txbxContent>
                      </wps:txbx>
                      <wps:bodyPr wrap="none" lIns="0" tIns="0" rIns="0" bIns="0">
                        <a:noAutoFit/>
                      </wps:bodyPr>
                    </wps:wsp>
                  </a:graphicData>
                </a:graphic>
              </wp:anchor>
            </w:drawing>
          </mc:Choice>
          <mc:Fallback>
            <w:pict>
              <v:shape id="_x0000_s1163" type="#_x0000_t202" style="position:absolute;margin-left:223.95000000000002pt;margin-top:212.90000000000001pt;width:40.550000000000004pt;height:10.1pt;z-index:-125829361;mso-wrap-distance-left:0;mso-wrap-distance-top:212.90000000000001pt;mso-wrap-distance-right:0;mso-wrap-distance-bottom:34.300000000000004pt;mso-position-horizontal-relative:page" filled="f" stroked="f">
                <v:textbox inset="0,0,0,0">
                  <w:txbxContent>
                    <w:p>
                      <w:pPr>
                        <w:pStyle w:val="Style2"/>
                        <w:keepNext w:val="0"/>
                        <w:keepLines w:val="0"/>
                        <w:widowControl w:val="0"/>
                        <w:pBdr>
                          <w:top w:val="single" w:sz="0" w:space="0" w:color="91CE4D"/>
                          <w:left w:val="single" w:sz="0" w:space="0" w:color="91CE4D"/>
                          <w:bottom w:val="single" w:sz="0" w:space="0" w:color="91CE4D"/>
                          <w:right w:val="single" w:sz="0" w:space="0" w:color="91CE4D"/>
                        </w:pBdr>
                        <w:shd w:val="clear" w:color="auto" w:fill="91CE4D"/>
                        <w:bidi w:val="0"/>
                        <w:spacing w:before="0" w:after="0" w:line="240" w:lineRule="auto"/>
                        <w:ind w:left="0" w:right="0" w:firstLine="0"/>
                        <w:jc w:val="both"/>
                        <w:rPr>
                          <w:sz w:val="13"/>
                          <w:szCs w:val="13"/>
                        </w:rPr>
                      </w:pPr>
                      <w:r>
                        <w:rPr>
                          <w:rFonts w:ascii="SimHei" w:eastAsia="SimHei" w:hAnsi="SimHei" w:cs="SimHei"/>
                          <w:color w:val="FFFFFF"/>
                          <w:spacing w:val="0"/>
                          <w:w w:val="100"/>
                          <w:position w:val="0"/>
                          <w:sz w:val="13"/>
                          <w:szCs w:val="13"/>
                        </w:rPr>
                        <w:t>能力开放平台</w:t>
                      </w:r>
                    </w:p>
                  </w:txbxContent>
                </v:textbox>
                <w10:wrap type="topAndBottom" anchorx="page"/>
              </v:shape>
            </w:pict>
          </mc:Fallback>
        </mc:AlternateContent>
      </w:r>
      <w:r>
        <mc:AlternateContent>
          <mc:Choice Requires="wps">
            <w:drawing>
              <wp:anchor distT="2849880" distB="304800" distL="0" distR="0" simplePos="0" relativeHeight="125829394" behindDoc="0" locked="0" layoutInCell="1" allowOverlap="1">
                <wp:simplePos x="0" y="0"/>
                <wp:positionH relativeFrom="page">
                  <wp:posOffset>6178550</wp:posOffset>
                </wp:positionH>
                <wp:positionV relativeFrom="paragraph">
                  <wp:posOffset>2849880</wp:posOffset>
                </wp:positionV>
                <wp:extent cx="511810" cy="113030"/>
                <wp:wrapTopAndBottom/>
                <wp:docPr id="139" name="Shape 139"/>
                <a:graphic xmlns:a="http://schemas.openxmlformats.org/drawingml/2006/main">
                  <a:graphicData uri="http://schemas.microsoft.com/office/word/2010/wordprocessingShape">
                    <wps:wsp>
                      <wps:cNvSpPr txBox="1"/>
                      <wps:spPr>
                        <a:xfrm>
                          <a:ext cx="511810" cy="113030"/>
                        </a:xfrm>
                        <a:prstGeom prst="rect"/>
                        <a:noFill/>
                      </wps:spPr>
                      <wps:txbx>
                        <w:txbxContent>
                          <w:p>
                            <w:pPr>
                              <w:pStyle w:val="Style2"/>
                              <w:keepNext w:val="0"/>
                              <w:keepLines w:val="0"/>
                              <w:widowControl w:val="0"/>
                              <w:pBdr>
                                <w:top w:val="single" w:sz="0" w:space="0" w:color="91CE4D"/>
                                <w:left w:val="single" w:sz="0" w:space="8" w:color="91CE4D"/>
                                <w:bottom w:val="single" w:sz="0" w:space="0" w:color="91CE4D"/>
                                <w:right w:val="single" w:sz="0" w:space="8" w:color="91CE4D"/>
                              </w:pBdr>
                              <w:shd w:val="clear" w:color="auto" w:fill="91CE4D"/>
                              <w:bidi w:val="0"/>
                              <w:spacing w:before="0" w:after="0" w:line="240" w:lineRule="auto"/>
                              <w:ind w:left="0" w:right="0" w:firstLine="0"/>
                              <w:jc w:val="both"/>
                              <w:rPr>
                                <w:sz w:val="13"/>
                                <w:szCs w:val="13"/>
                              </w:rPr>
                            </w:pPr>
                            <w:r>
                              <w:rPr>
                                <w:rFonts w:ascii="SimHei" w:eastAsia="SimHei" w:hAnsi="SimHei" w:cs="SimHei"/>
                                <w:color w:val="FFFFFF"/>
                                <w:spacing w:val="0"/>
                                <w:w w:val="100"/>
                                <w:position w:val="0"/>
                                <w:sz w:val="13"/>
                                <w:szCs w:val="13"/>
                              </w:rPr>
                              <w:t>公共能力组件</w:t>
                            </w:r>
                          </w:p>
                        </w:txbxContent>
                      </wps:txbx>
                      <wps:bodyPr wrap="none" lIns="0" tIns="0" rIns="0" bIns="0">
                        <a:noAutoFit/>
                      </wps:bodyPr>
                    </wps:wsp>
                  </a:graphicData>
                </a:graphic>
              </wp:anchor>
            </w:drawing>
          </mc:Choice>
          <mc:Fallback>
            <w:pict>
              <v:shape id="_x0000_s1165" type="#_x0000_t202" style="position:absolute;margin-left:486.5pt;margin-top:224.40000000000001pt;width:40.300000000000004pt;height:8.9000000000000004pt;z-index:-125829359;mso-wrap-distance-left:0;mso-wrap-distance-top:224.40000000000001pt;mso-wrap-distance-right:0;mso-wrap-distance-bottom:24.pt;mso-position-horizontal-relative:page" filled="f" stroked="f">
                <v:textbox inset="0,0,0,0">
                  <w:txbxContent>
                    <w:p>
                      <w:pPr>
                        <w:pStyle w:val="Style2"/>
                        <w:keepNext w:val="0"/>
                        <w:keepLines w:val="0"/>
                        <w:widowControl w:val="0"/>
                        <w:pBdr>
                          <w:top w:val="single" w:sz="0" w:space="0" w:color="91CE4D"/>
                          <w:left w:val="single" w:sz="0" w:space="8" w:color="91CE4D"/>
                          <w:bottom w:val="single" w:sz="0" w:space="0" w:color="91CE4D"/>
                          <w:right w:val="single" w:sz="0" w:space="8" w:color="91CE4D"/>
                        </w:pBdr>
                        <w:shd w:val="clear" w:color="auto" w:fill="91CE4D"/>
                        <w:bidi w:val="0"/>
                        <w:spacing w:before="0" w:after="0" w:line="240" w:lineRule="auto"/>
                        <w:ind w:left="0" w:right="0" w:firstLine="0"/>
                        <w:jc w:val="both"/>
                        <w:rPr>
                          <w:sz w:val="13"/>
                          <w:szCs w:val="13"/>
                        </w:rPr>
                      </w:pPr>
                      <w:r>
                        <w:rPr>
                          <w:rFonts w:ascii="SimHei" w:eastAsia="SimHei" w:hAnsi="SimHei" w:cs="SimHei"/>
                          <w:color w:val="FFFFFF"/>
                          <w:spacing w:val="0"/>
                          <w:w w:val="100"/>
                          <w:position w:val="0"/>
                          <w:sz w:val="13"/>
                          <w:szCs w:val="13"/>
                        </w:rPr>
                        <w:t>公共能力组件</w:t>
                      </w:r>
                    </w:p>
                  </w:txbxContent>
                </v:textbox>
                <w10:wrap type="topAndBottom" anchorx="page"/>
              </v:shape>
            </w:pict>
          </mc:Fallback>
        </mc:AlternateContent>
      </w:r>
    </w:p>
    <w:p>
      <w:pPr>
        <w:pStyle w:val="Style41"/>
        <w:keepNext w:val="0"/>
        <w:keepLines w:val="0"/>
        <w:widowControl w:val="0"/>
        <w:shd w:val="clear" w:color="auto" w:fill="auto"/>
        <w:bidi w:val="0"/>
        <w:spacing w:before="0" w:after="0" w:line="471" w:lineRule="exact"/>
        <w:ind w:left="0" w:right="0" w:firstLine="0"/>
        <w:jc w:val="center"/>
      </w:pPr>
      <w:r>
        <w:rPr>
          <w:b/>
          <w:bCs/>
          <w:color w:val="000000"/>
          <w:spacing w:val="0"/>
          <w:w w:val="100"/>
          <w:position w:val="0"/>
        </w:rPr>
        <w:t>(公司</w:t>
      </w:r>
      <w:r>
        <w:rPr>
          <w:rFonts w:ascii="Times New Roman" w:eastAsia="Times New Roman" w:hAnsi="Times New Roman" w:cs="Times New Roman"/>
          <w:b/>
          <w:bCs/>
          <w:color w:val="000000"/>
          <w:spacing w:val="0"/>
          <w:w w:val="100"/>
          <w:position w:val="0"/>
          <w:sz w:val="18"/>
          <w:szCs w:val="18"/>
        </w:rPr>
        <w:t>ICT</w:t>
      </w:r>
      <w:r>
        <w:rPr>
          <w:b/>
          <w:bCs/>
          <w:color w:val="000000"/>
          <w:spacing w:val="0"/>
          <w:w w:val="100"/>
          <w:position w:val="0"/>
        </w:rPr>
        <w:t>运营管理业务全景图)</w:t>
      </w:r>
    </w:p>
    <w:p>
      <w:pPr>
        <w:pStyle w:val="Style2"/>
        <w:keepNext w:val="0"/>
        <w:keepLines w:val="0"/>
        <w:widowControl w:val="0"/>
        <w:shd w:val="clear" w:color="auto" w:fill="auto"/>
        <w:tabs>
          <w:tab w:pos="678" w:val="left"/>
        </w:tabs>
        <w:bidi w:val="0"/>
        <w:spacing w:before="0" w:after="0" w:line="471" w:lineRule="exact"/>
        <w:ind w:left="0" w:right="0" w:firstLine="360"/>
        <w:jc w:val="both"/>
      </w:pPr>
      <w:bookmarkStart w:id="64" w:name="bookmark64"/>
      <w:r>
        <w:rPr>
          <w:rFonts w:ascii="Times New Roman" w:eastAsia="Times New Roman" w:hAnsi="Times New Roman" w:cs="Times New Roman"/>
          <w:b/>
          <w:bCs/>
          <w:color w:val="000000"/>
          <w:spacing w:val="0"/>
          <w:w w:val="100"/>
          <w:position w:val="0"/>
          <w:sz w:val="18"/>
          <w:szCs w:val="18"/>
        </w:rPr>
        <w:t>B</w:t>
      </w:r>
      <w:bookmarkEnd w:id="64"/>
      <w:r>
        <w:rPr>
          <w:b/>
          <w:bCs/>
          <w:color w:val="000000"/>
          <w:spacing w:val="0"/>
          <w:w w:val="100"/>
          <w:position w:val="0"/>
        </w:rPr>
        <w:t>、</w:t>
        <w:tab/>
      </w:r>
      <w:r>
        <w:rPr>
          <w:b/>
          <w:bCs/>
          <w:color w:val="000000"/>
          <w:spacing w:val="0"/>
          <w:w w:val="100"/>
          <w:position w:val="0"/>
        </w:rPr>
        <w:t>信息安全类产品</w:t>
      </w:r>
      <w:r>
        <w:rPr>
          <w:color w:val="000000"/>
          <w:spacing w:val="0"/>
          <w:w w:val="100"/>
          <w:position w:val="0"/>
        </w:rPr>
        <w:t>，公司依托</w:t>
      </w:r>
      <w:r>
        <w:rPr>
          <w:rFonts w:ascii="Times New Roman" w:eastAsia="Times New Roman" w:hAnsi="Times New Roman" w:cs="Times New Roman"/>
          <w:color w:val="000000"/>
          <w:spacing w:val="0"/>
          <w:w w:val="100"/>
          <w:position w:val="0"/>
          <w:sz w:val="18"/>
          <w:szCs w:val="18"/>
        </w:rPr>
        <w:t xml:space="preserve">UltraSAFE </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Security Architecture For Enterprise</w:t>
      </w:r>
      <w:r>
        <w:rPr>
          <w:color w:val="000000"/>
          <w:spacing w:val="0"/>
          <w:w w:val="100"/>
          <w:position w:val="0"/>
        </w:rPr>
        <w:t xml:space="preserve">) </w:t>
      </w:r>
      <w:r>
        <w:rPr>
          <w:rFonts w:ascii="Times New Roman" w:eastAsia="Times New Roman" w:hAnsi="Times New Roman" w:cs="Times New Roman"/>
          <w:color w:val="000000"/>
          <w:spacing w:val="0"/>
          <w:w w:val="100"/>
          <w:position w:val="0"/>
          <w:sz w:val="18"/>
          <w:szCs w:val="18"/>
        </w:rPr>
        <w:t>4.0</w:t>
      </w:r>
      <w:r>
        <w:rPr>
          <w:color w:val="000000"/>
          <w:spacing w:val="0"/>
          <w:w w:val="100"/>
          <w:position w:val="0"/>
        </w:rPr>
        <w:t>的企业安全框架思想体系，构建企 业网络与信息安全综合运营管理体系。</w:t>
      </w:r>
    </w:p>
    <w:p>
      <w:pPr>
        <w:pStyle w:val="Style41"/>
        <w:keepNext w:val="0"/>
        <w:keepLines w:val="0"/>
        <w:widowControl w:val="0"/>
        <w:shd w:val="clear" w:color="auto" w:fill="auto"/>
        <w:bidi w:val="0"/>
        <w:spacing w:before="0" w:after="0" w:line="471" w:lineRule="exact"/>
        <w:ind w:left="0" w:right="0" w:firstLine="360"/>
        <w:jc w:val="both"/>
      </w:pPr>
      <w:r>
        <w:rPr>
          <w:rFonts w:ascii="Times New Roman" w:eastAsia="Times New Roman" w:hAnsi="Times New Roman" w:cs="Times New Roman"/>
          <w:color w:val="000000"/>
          <w:spacing w:val="0"/>
          <w:w w:val="100"/>
          <w:position w:val="0"/>
          <w:sz w:val="18"/>
          <w:szCs w:val="18"/>
        </w:rPr>
        <w:t>UltraSaFE</w:t>
      </w:r>
      <w:r>
        <w:rPr>
          <w:color w:val="000000"/>
          <w:spacing w:val="0"/>
          <w:w w:val="100"/>
          <w:position w:val="0"/>
        </w:rPr>
        <w:t>框架体系以国家及行业合规要求、企业安全管理策略、安全技术创新发展，如</w:t>
      </w:r>
      <w:r>
        <w:rPr>
          <w:rFonts w:ascii="Times New Roman" w:eastAsia="Times New Roman" w:hAnsi="Times New Roman" w:cs="Times New Roman"/>
          <w:color w:val="000000"/>
          <w:spacing w:val="0"/>
          <w:w w:val="100"/>
          <w:position w:val="0"/>
          <w:sz w:val="18"/>
          <w:szCs w:val="18"/>
        </w:rPr>
        <w:t>ZTNA</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XDR</w:t>
      </w:r>
      <w:r>
        <w:rPr>
          <w:color w:val="000000"/>
          <w:spacing w:val="0"/>
          <w:w w:val="100"/>
          <w:position w:val="0"/>
        </w:rPr>
        <w:t>、微隔离、容器 安全保护、</w:t>
      </w:r>
      <w:r>
        <w:rPr>
          <w:rFonts w:ascii="Times New Roman" w:eastAsia="Times New Roman" w:hAnsi="Times New Roman" w:cs="Times New Roman"/>
          <w:color w:val="000000"/>
          <w:spacing w:val="0"/>
          <w:w w:val="100"/>
          <w:position w:val="0"/>
          <w:sz w:val="18"/>
          <w:szCs w:val="18"/>
        </w:rPr>
        <w:t>SOAR</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CASB</w:t>
      </w:r>
      <w:r>
        <w:rPr>
          <w:color w:val="000000"/>
          <w:spacing w:val="0"/>
          <w:w w:val="100"/>
          <w:position w:val="0"/>
        </w:rPr>
        <w:t>、数据分类分级保护等为核心驱动力，以体系咨询、产品供应、服务支撑、定制交付物四维一体 的价值交付理念，在关键信息基础设施防护、数据安全管理、网络威胁</w:t>
      </w:r>
      <w:r>
        <w:rPr>
          <w:rFonts w:ascii="Times New Roman" w:eastAsia="Times New Roman" w:hAnsi="Times New Roman" w:cs="Times New Roman"/>
          <w:color w:val="000000"/>
          <w:spacing w:val="0"/>
          <w:w w:val="100"/>
          <w:position w:val="0"/>
          <w:sz w:val="18"/>
          <w:szCs w:val="18"/>
        </w:rPr>
        <w:t>&amp;</w:t>
      </w:r>
      <w:r>
        <w:rPr>
          <w:color w:val="000000"/>
          <w:spacing w:val="0"/>
          <w:w w:val="100"/>
          <w:position w:val="0"/>
        </w:rPr>
        <w:t>风险治理、</w:t>
      </w:r>
      <w:r>
        <w:rPr>
          <w:rFonts w:ascii="Times New Roman" w:eastAsia="Times New Roman" w:hAnsi="Times New Roman" w:cs="Times New Roman"/>
          <w:color w:val="000000"/>
          <w:spacing w:val="0"/>
          <w:w w:val="100"/>
          <w:position w:val="0"/>
          <w:sz w:val="18"/>
          <w:szCs w:val="18"/>
        </w:rPr>
        <w:t>5G</w:t>
      </w:r>
      <w:r>
        <w:rPr>
          <w:color w:val="000000"/>
          <w:spacing w:val="0"/>
          <w:w w:val="100"/>
          <w:position w:val="0"/>
        </w:rPr>
        <w:t>网络与应用安全、工业互联网安全、 物联网安全等领域为企业提供信息与网络安全保障服务。目前已涉及身份与访问控制安全、计算环境安全、网络与通讯安全、 应用安全、云安全、工业互联网安全、物联网安全、安全管理与运营中心等产品类别。客户主要面向电信运营商、民航、能 源、电力、金融等多个行业的机构。</w:t>
      </w:r>
    </w:p>
    <w:p>
      <w:pPr>
        <w:pStyle w:val="Style41"/>
        <w:keepNext w:val="0"/>
        <w:keepLines w:val="0"/>
        <w:widowControl w:val="0"/>
        <w:shd w:val="clear" w:color="auto" w:fill="auto"/>
        <w:tabs>
          <w:tab w:pos="687" w:val="left"/>
        </w:tabs>
        <w:bidi w:val="0"/>
        <w:spacing w:before="0" w:after="0" w:line="471" w:lineRule="exact"/>
        <w:ind w:left="0" w:right="0" w:firstLine="360"/>
        <w:jc w:val="both"/>
      </w:pPr>
      <w:bookmarkStart w:id="65" w:name="bookmark65"/>
      <w:r>
        <w:rPr>
          <w:rFonts w:ascii="Times New Roman" w:eastAsia="Times New Roman" w:hAnsi="Times New Roman" w:cs="Times New Roman"/>
          <w:b/>
          <w:bCs/>
          <w:color w:val="000000"/>
          <w:spacing w:val="0"/>
          <w:w w:val="100"/>
          <w:position w:val="0"/>
          <w:sz w:val="18"/>
          <w:szCs w:val="18"/>
        </w:rPr>
        <w:t>C</w:t>
      </w:r>
      <w:bookmarkEnd w:id="65"/>
      <w:r>
        <w:rPr>
          <w:b/>
          <w:bCs/>
          <w:color w:val="000000"/>
          <w:spacing w:val="0"/>
          <w:w w:val="100"/>
          <w:position w:val="0"/>
        </w:rPr>
        <w:t>、</w:t>
        <w:tab/>
      </w:r>
      <w:r>
        <w:rPr>
          <w:b/>
          <w:bCs/>
          <w:color w:val="000000"/>
          <w:spacing w:val="0"/>
          <w:w w:val="100"/>
          <w:position w:val="0"/>
        </w:rPr>
        <w:t>云业务产品</w:t>
      </w:r>
      <w:r>
        <w:rPr>
          <w:color w:val="000000"/>
          <w:spacing w:val="0"/>
          <w:w w:val="100"/>
          <w:position w:val="0"/>
        </w:rPr>
        <w:t>，公司成立云业务事业部，整合公司业务的资源、技术和需求，专注云计算方向中增值产品和服务细分 市场，与</w:t>
      </w:r>
      <w:r>
        <w:rPr>
          <w:rFonts w:ascii="Times New Roman" w:eastAsia="Times New Roman" w:hAnsi="Times New Roman" w:cs="Times New Roman"/>
          <w:color w:val="000000"/>
          <w:spacing w:val="0"/>
          <w:w w:val="100"/>
          <w:position w:val="0"/>
          <w:sz w:val="18"/>
          <w:szCs w:val="18"/>
        </w:rPr>
        <w:t xml:space="preserve">AWS </w:t>
      </w:r>
      <w:r>
        <w:rPr>
          <w:color w:val="000000"/>
          <w:spacing w:val="0"/>
          <w:w w:val="100"/>
          <w:position w:val="0"/>
        </w:rPr>
        <w:t>(全称</w:t>
      </w:r>
      <w:r>
        <w:rPr>
          <w:rFonts w:ascii="Times New Roman" w:eastAsia="Times New Roman" w:hAnsi="Times New Roman" w:cs="Times New Roman"/>
          <w:color w:val="000000"/>
          <w:spacing w:val="0"/>
          <w:w w:val="100"/>
          <w:position w:val="0"/>
          <w:sz w:val="18"/>
          <w:szCs w:val="18"/>
        </w:rPr>
        <w:t>“Amazon Web Services”</w:t>
      </w:r>
      <w:r>
        <w:rPr>
          <w:color w:val="000000"/>
          <w:spacing w:val="0"/>
          <w:w w:val="100"/>
          <w:position w:val="0"/>
        </w:rPr>
        <w:t>)</w:t>
      </w:r>
      <w:r>
        <w:rPr>
          <w:color w:val="000000"/>
          <w:spacing w:val="0"/>
          <w:w w:val="100"/>
          <w:position w:val="0"/>
        </w:rPr>
        <w:t>签署战略合作协议，共同推动企业全面云化。公司主要提供的服务包含：</w:t>
      </w:r>
      <w:r>
        <w:rPr>
          <w:rFonts w:ascii="Times New Roman" w:eastAsia="Times New Roman" w:hAnsi="Times New Roman" w:cs="Times New Roman"/>
          <w:color w:val="000000"/>
          <w:spacing w:val="0"/>
          <w:w w:val="100"/>
          <w:position w:val="0"/>
          <w:sz w:val="18"/>
          <w:szCs w:val="18"/>
        </w:rPr>
        <w:t xml:space="preserve">AWS </w:t>
      </w:r>
      <w:r>
        <w:rPr>
          <w:color w:val="000000"/>
          <w:spacing w:val="0"/>
          <w:w w:val="100"/>
          <w:position w:val="0"/>
        </w:rPr>
        <w:t>账单服务、</w:t>
      </w:r>
      <w:r>
        <w:rPr>
          <w:rFonts w:ascii="Times New Roman" w:eastAsia="Times New Roman" w:hAnsi="Times New Roman" w:cs="Times New Roman"/>
          <w:color w:val="000000"/>
          <w:spacing w:val="0"/>
          <w:w w:val="100"/>
          <w:position w:val="0"/>
          <w:sz w:val="18"/>
          <w:szCs w:val="18"/>
        </w:rPr>
        <w:t>AWS</w:t>
      </w:r>
      <w:r>
        <w:rPr>
          <w:color w:val="000000"/>
          <w:spacing w:val="0"/>
          <w:w w:val="100"/>
          <w:position w:val="0"/>
        </w:rPr>
        <w:t>上云迁移服务、</w:t>
      </w:r>
      <w:r>
        <w:rPr>
          <w:rFonts w:ascii="Times New Roman" w:eastAsia="Times New Roman" w:hAnsi="Times New Roman" w:cs="Times New Roman"/>
          <w:color w:val="000000"/>
          <w:spacing w:val="0"/>
          <w:w w:val="100"/>
          <w:position w:val="0"/>
          <w:sz w:val="18"/>
          <w:szCs w:val="18"/>
        </w:rPr>
        <w:t>AWS</w:t>
      </w:r>
      <w:r>
        <w:rPr>
          <w:color w:val="000000"/>
          <w:spacing w:val="0"/>
          <w:w w:val="100"/>
          <w:position w:val="0"/>
        </w:rPr>
        <w:t>云上代维服务、</w:t>
      </w:r>
      <w:r>
        <w:rPr>
          <w:rFonts w:ascii="Times New Roman" w:eastAsia="Times New Roman" w:hAnsi="Times New Roman" w:cs="Times New Roman"/>
          <w:color w:val="000000"/>
          <w:spacing w:val="0"/>
          <w:w w:val="100"/>
          <w:position w:val="0"/>
          <w:sz w:val="18"/>
          <w:szCs w:val="18"/>
        </w:rPr>
        <w:t>AWS</w:t>
      </w:r>
      <w:r>
        <w:rPr>
          <w:color w:val="000000"/>
          <w:spacing w:val="0"/>
          <w:w w:val="100"/>
          <w:position w:val="0"/>
        </w:rPr>
        <w:t>架构优化服务、云原生应用开发服务等。</w:t>
      </w:r>
    </w:p>
    <w:p>
      <w:pPr>
        <w:pStyle w:val="Style58"/>
        <w:keepNext/>
        <w:keepLines/>
        <w:widowControl w:val="0"/>
        <w:shd w:val="clear" w:color="auto" w:fill="auto"/>
        <w:bidi w:val="0"/>
        <w:spacing w:before="0" w:after="0" w:line="471" w:lineRule="exact"/>
        <w:ind w:left="0" w:right="0" w:firstLine="360"/>
        <w:jc w:val="both"/>
      </w:pPr>
      <w:bookmarkStart w:id="66" w:name="bookmark66"/>
      <w:bookmarkStart w:id="67" w:name="bookmark67"/>
      <w:bookmarkStart w:id="68" w:name="bookmark68"/>
      <w:r>
        <w:rPr>
          <w:rFonts w:ascii="Times New Roman" w:eastAsia="Times New Roman" w:hAnsi="Times New Roman" w:cs="Times New Roman"/>
          <w:b/>
          <w:bCs/>
          <w:color w:val="000000"/>
          <w:spacing w:val="0"/>
          <w:w w:val="100"/>
          <w:position w:val="0"/>
          <w:sz w:val="18"/>
          <w:szCs w:val="18"/>
        </w:rPr>
        <w:t>1.2</w:t>
      </w:r>
      <w:r>
        <w:rPr>
          <w:b/>
          <w:bCs/>
          <w:color w:val="000000"/>
          <w:spacing w:val="0"/>
          <w:w w:val="100"/>
          <w:position w:val="0"/>
        </w:rPr>
        <w:t>核心的竞争优势</w:t>
      </w:r>
      <w:bookmarkEnd w:id="66"/>
      <w:bookmarkEnd w:id="67"/>
      <w:bookmarkEnd w:id="68"/>
    </w:p>
    <w:p>
      <w:pPr>
        <w:pStyle w:val="Style58"/>
        <w:keepNext/>
        <w:keepLines/>
        <w:widowControl w:val="0"/>
        <w:shd w:val="clear" w:color="auto" w:fill="auto"/>
        <w:bidi w:val="0"/>
        <w:spacing w:before="0" w:after="0" w:line="471" w:lineRule="exact"/>
        <w:ind w:left="0" w:right="0" w:firstLine="360"/>
        <w:jc w:val="both"/>
      </w:pPr>
      <w:bookmarkStart w:id="66" w:name="bookmark66"/>
      <w:bookmarkStart w:id="67" w:name="bookmark67"/>
      <w:bookmarkStart w:id="69" w:name="bookmark69"/>
      <w:r>
        <w:rPr>
          <w:rFonts w:ascii="Times New Roman" w:eastAsia="Times New Roman" w:hAnsi="Times New Roman" w:cs="Times New Roman"/>
          <w:b/>
          <w:bCs/>
          <w:color w:val="000000"/>
          <w:spacing w:val="0"/>
          <w:w w:val="100"/>
          <w:position w:val="0"/>
          <w:sz w:val="18"/>
          <w:szCs w:val="18"/>
        </w:rPr>
        <w:t>A</w:t>
      </w:r>
      <w:bookmarkEnd w:id="69"/>
      <w:r>
        <w:rPr>
          <w:b/>
          <w:bCs/>
          <w:color w:val="000000"/>
          <w:spacing w:val="0"/>
          <w:w w:val="100"/>
          <w:position w:val="0"/>
        </w:rPr>
        <w:t>、</w:t>
      </w:r>
      <w:r>
        <w:rPr>
          <w:b/>
          <w:bCs/>
          <w:color w:val="000000"/>
          <w:spacing w:val="0"/>
          <w:w w:val="100"/>
          <w:position w:val="0"/>
        </w:rPr>
        <w:t>客户资源优势</w:t>
      </w:r>
      <w:bookmarkEnd w:id="66"/>
      <w:bookmarkEnd w:id="67"/>
    </w:p>
    <w:p>
      <w:pPr>
        <w:pStyle w:val="Style41"/>
        <w:keepNext w:val="0"/>
        <w:keepLines w:val="0"/>
        <w:widowControl w:val="0"/>
        <w:shd w:val="clear" w:color="auto" w:fill="auto"/>
        <w:bidi w:val="0"/>
        <w:spacing w:before="0" w:after="0" w:line="471" w:lineRule="exact"/>
        <w:ind w:left="0" w:right="0" w:firstLine="360"/>
        <w:jc w:val="both"/>
        <w:sectPr>
          <w:headerReference w:type="default" r:id="rId33"/>
          <w:footerReference w:type="default" r:id="rId34"/>
          <w:headerReference w:type="even" r:id="rId35"/>
          <w:footerReference w:type="even" r:id="rId36"/>
          <w:footnotePr>
            <w:pos w:val="pageBottom"/>
            <w:numFmt w:val="decimal"/>
            <w:numRestart w:val="continuous"/>
          </w:footnotePr>
          <w:pgSz w:w="11904" w:h="17375"/>
          <w:pgMar w:top="2083" w:right="1013" w:bottom="2050" w:left="1133" w:header="0" w:footer="3" w:gutter="0"/>
          <w:cols w:space="720"/>
          <w:noEndnote/>
          <w:rtlGutter w:val="0"/>
          <w:docGrid w:linePitch="360"/>
        </w:sectPr>
      </w:pPr>
      <w:r>
        <w:rPr>
          <w:color w:val="000000"/>
          <w:spacing w:val="0"/>
          <w:w w:val="100"/>
          <w:position w:val="0"/>
        </w:rPr>
        <w:t>公司是中国移动、中国联通、中国电信、中国铁塔的长期战略合作伙伴，是中国通信标准化协会</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CCSA</w:t>
      </w:r>
      <w:r>
        <w:rPr>
          <w:color w:val="000000"/>
          <w:spacing w:val="0"/>
          <w:w w:val="100"/>
          <w:position w:val="0"/>
        </w:rPr>
        <w:t>)</w:t>
      </w:r>
      <w:r>
        <w:rPr>
          <w:color w:val="000000"/>
          <w:spacing w:val="0"/>
          <w:w w:val="100"/>
          <w:position w:val="0"/>
        </w:rPr>
        <w:t>全权会员， 是电信运营商业务支撑网运营管理系统和</w:t>
      </w:r>
      <w:r>
        <w:rPr>
          <w:rFonts w:ascii="Times New Roman" w:eastAsia="Times New Roman" w:hAnsi="Times New Roman" w:cs="Times New Roman"/>
          <w:color w:val="000000"/>
          <w:spacing w:val="0"/>
          <w:w w:val="100"/>
          <w:position w:val="0"/>
          <w:sz w:val="18"/>
          <w:szCs w:val="18"/>
        </w:rPr>
        <w:t>OSS</w:t>
      </w:r>
      <w:r>
        <w:rPr>
          <w:color w:val="000000"/>
          <w:spacing w:val="0"/>
          <w:w w:val="100"/>
          <w:position w:val="0"/>
        </w:rPr>
        <w:t>运维规范的主要参与者之一。在金融、保险、政府等领域也拥有很多高端客户, 包括：建设银行、农业银行、民生银行、光大银行、招商银行、工商银行、国家开发银行、国家知识产权局、英大财险、国</w:t>
      </w:r>
    </w:p>
    <w:p>
      <w:pPr>
        <w:pStyle w:val="Style2"/>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41"/>
        <w:keepNext w:val="0"/>
        <w:keepLines w:val="0"/>
        <w:widowControl w:val="0"/>
        <w:pBdr>
          <w:top w:val="single" w:sz="4" w:space="0" w:color="auto"/>
        </w:pBdr>
        <w:shd w:val="clear" w:color="auto" w:fill="auto"/>
        <w:bidi w:val="0"/>
        <w:spacing w:before="0" w:after="0" w:line="446" w:lineRule="exact"/>
        <w:ind w:left="0" w:right="0" w:firstLine="820"/>
        <w:jc w:val="both"/>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 家电网等等。</w:t>
      </w:r>
    </w:p>
    <w:p>
      <w:pPr>
        <w:pStyle w:val="Style41"/>
        <w:keepNext w:val="0"/>
        <w:keepLines w:val="0"/>
        <w:widowControl w:val="0"/>
        <w:shd w:val="clear" w:color="auto" w:fill="auto"/>
        <w:tabs>
          <w:tab w:pos="762" w:val="left"/>
        </w:tabs>
        <w:bidi w:val="0"/>
        <w:spacing w:before="0" w:after="0" w:line="478" w:lineRule="exact"/>
        <w:ind w:left="0" w:right="0"/>
        <w:jc w:val="both"/>
      </w:pPr>
      <w:bookmarkStart w:id="70" w:name="bookmark70"/>
      <w:r>
        <w:rPr>
          <w:rFonts w:ascii="Times New Roman" w:eastAsia="Times New Roman" w:hAnsi="Times New Roman" w:cs="Times New Roman"/>
          <w:b/>
          <w:bCs/>
          <w:color w:val="000000"/>
          <w:spacing w:val="0"/>
          <w:w w:val="100"/>
          <w:position w:val="0"/>
          <w:sz w:val="18"/>
          <w:szCs w:val="18"/>
        </w:rPr>
        <w:t>B</w:t>
      </w:r>
      <w:bookmarkEnd w:id="70"/>
      <w:r>
        <w:rPr>
          <w:b/>
          <w:bCs/>
          <w:color w:val="000000"/>
          <w:spacing w:val="0"/>
          <w:w w:val="100"/>
          <w:position w:val="0"/>
        </w:rPr>
        <w:t>、</w:t>
        <w:tab/>
      </w:r>
      <w:r>
        <w:rPr>
          <w:b/>
          <w:bCs/>
          <w:color w:val="000000"/>
          <w:spacing w:val="0"/>
          <w:w w:val="100"/>
          <w:position w:val="0"/>
        </w:rPr>
        <w:t>最全的</w:t>
      </w:r>
      <w:r>
        <w:rPr>
          <w:rFonts w:ascii="Times New Roman" w:eastAsia="Times New Roman" w:hAnsi="Times New Roman" w:cs="Times New Roman"/>
          <w:b/>
          <w:bCs/>
          <w:color w:val="000000"/>
          <w:spacing w:val="0"/>
          <w:w w:val="100"/>
          <w:position w:val="0"/>
          <w:sz w:val="18"/>
          <w:szCs w:val="18"/>
        </w:rPr>
        <w:t>ICT</w:t>
      </w:r>
      <w:r>
        <w:rPr>
          <w:b/>
          <w:bCs/>
          <w:color w:val="000000"/>
          <w:spacing w:val="0"/>
          <w:w w:val="100"/>
          <w:position w:val="0"/>
        </w:rPr>
        <w:t>运营产品线及综合性可持续服务能力</w:t>
      </w:r>
    </w:p>
    <w:p>
      <w:pPr>
        <w:pStyle w:val="Style41"/>
        <w:keepNext w:val="0"/>
        <w:keepLines w:val="0"/>
        <w:widowControl w:val="0"/>
        <w:shd w:val="clear" w:color="auto" w:fill="auto"/>
        <w:bidi w:val="0"/>
        <w:spacing w:before="0" w:after="0" w:line="478" w:lineRule="exact"/>
        <w:ind w:left="0" w:right="0"/>
        <w:jc w:val="left"/>
      </w:pPr>
      <w:r>
        <w:rPr>
          <w:color w:val="000000"/>
          <w:spacing w:val="0"/>
          <w:w w:val="100"/>
          <w:position w:val="0"/>
        </w:rPr>
        <w:t>公司</w:t>
      </w:r>
      <w:r>
        <w:rPr>
          <w:rFonts w:ascii="Times New Roman" w:eastAsia="Times New Roman" w:hAnsi="Times New Roman" w:cs="Times New Roman"/>
          <w:color w:val="000000"/>
          <w:spacing w:val="0"/>
          <w:w w:val="100"/>
          <w:position w:val="0"/>
          <w:sz w:val="18"/>
          <w:szCs w:val="18"/>
        </w:rPr>
        <w:t>ICT</w:t>
      </w:r>
      <w:r>
        <w:rPr>
          <w:color w:val="000000"/>
          <w:spacing w:val="0"/>
          <w:w w:val="100"/>
          <w:position w:val="0"/>
        </w:rPr>
        <w:t>运营体系涵盖全栈智能监控、数字化服务运营、</w:t>
      </w:r>
      <w:r>
        <w:rPr>
          <w:rFonts w:ascii="Times New Roman" w:eastAsia="Times New Roman" w:hAnsi="Times New Roman" w:cs="Times New Roman"/>
          <w:color w:val="000000"/>
          <w:spacing w:val="0"/>
          <w:w w:val="100"/>
          <w:position w:val="0"/>
          <w:sz w:val="18"/>
          <w:szCs w:val="18"/>
        </w:rPr>
        <w:t>5G</w:t>
      </w:r>
      <w:r>
        <w:rPr>
          <w:color w:val="000000"/>
          <w:spacing w:val="0"/>
          <w:w w:val="100"/>
          <w:position w:val="0"/>
        </w:rPr>
        <w:t>智能运营、</w:t>
      </w:r>
      <w:r>
        <w:rPr>
          <w:rFonts w:ascii="Times New Roman" w:eastAsia="Times New Roman" w:hAnsi="Times New Roman" w:cs="Times New Roman"/>
          <w:color w:val="000000"/>
          <w:spacing w:val="0"/>
          <w:w w:val="100"/>
          <w:position w:val="0"/>
          <w:sz w:val="18"/>
          <w:szCs w:val="18"/>
        </w:rPr>
        <w:t>5G</w:t>
      </w:r>
      <w:r>
        <w:rPr>
          <w:color w:val="000000"/>
          <w:spacing w:val="0"/>
          <w:w w:val="100"/>
          <w:position w:val="0"/>
        </w:rPr>
        <w:t>消息运营、信息安全管理、拨测及网络优化、 移动互联网运营等众多领域。长期持续为电信、金融、能源和政府等大客户提供</w:t>
      </w:r>
      <w:r>
        <w:rPr>
          <w:rFonts w:ascii="Times New Roman" w:eastAsia="Times New Roman" w:hAnsi="Times New Roman" w:cs="Times New Roman"/>
          <w:color w:val="000000"/>
          <w:spacing w:val="0"/>
          <w:w w:val="100"/>
          <w:position w:val="0"/>
          <w:sz w:val="18"/>
          <w:szCs w:val="18"/>
        </w:rPr>
        <w:t>ICT</w:t>
      </w:r>
      <w:r>
        <w:rPr>
          <w:color w:val="000000"/>
          <w:spacing w:val="0"/>
          <w:w w:val="100"/>
          <w:position w:val="0"/>
        </w:rPr>
        <w:t>运营管理服务，可提供</w:t>
      </w:r>
      <w:r>
        <w:rPr>
          <w:rFonts w:ascii="Times New Roman" w:eastAsia="Times New Roman" w:hAnsi="Times New Roman" w:cs="Times New Roman"/>
          <w:color w:val="000000"/>
          <w:spacing w:val="0"/>
          <w:w w:val="100"/>
          <w:position w:val="0"/>
          <w:sz w:val="18"/>
          <w:szCs w:val="18"/>
        </w:rPr>
        <w:t>7*24</w:t>
      </w:r>
      <w:r>
        <w:rPr>
          <w:color w:val="000000"/>
          <w:spacing w:val="0"/>
          <w:w w:val="100"/>
          <w:position w:val="0"/>
        </w:rPr>
        <w:t>的电信级运 营服务保障。</w:t>
      </w:r>
    </w:p>
    <w:p>
      <w:pPr>
        <w:pStyle w:val="Style41"/>
        <w:keepNext w:val="0"/>
        <w:keepLines w:val="0"/>
        <w:widowControl w:val="0"/>
        <w:shd w:val="clear" w:color="auto" w:fill="auto"/>
        <w:tabs>
          <w:tab w:pos="767" w:val="left"/>
        </w:tabs>
        <w:bidi w:val="0"/>
        <w:spacing w:before="0" w:after="0" w:line="469" w:lineRule="exact"/>
        <w:ind w:left="0" w:right="0"/>
        <w:jc w:val="both"/>
      </w:pPr>
      <w:bookmarkStart w:id="71" w:name="bookmark71"/>
      <w:r>
        <w:rPr>
          <w:rFonts w:ascii="Times New Roman" w:eastAsia="Times New Roman" w:hAnsi="Times New Roman" w:cs="Times New Roman"/>
          <w:b/>
          <w:bCs/>
          <w:color w:val="000000"/>
          <w:spacing w:val="0"/>
          <w:w w:val="100"/>
          <w:position w:val="0"/>
          <w:sz w:val="18"/>
          <w:szCs w:val="18"/>
        </w:rPr>
        <w:t>C</w:t>
      </w:r>
      <w:bookmarkEnd w:id="71"/>
      <w:r>
        <w:rPr>
          <w:b/>
          <w:bCs/>
          <w:color w:val="000000"/>
          <w:spacing w:val="0"/>
          <w:w w:val="100"/>
          <w:position w:val="0"/>
        </w:rPr>
        <w:t>、</w:t>
        <w:tab/>
      </w:r>
      <w:r>
        <w:rPr>
          <w:b/>
          <w:bCs/>
          <w:color w:val="000000"/>
          <w:spacing w:val="0"/>
          <w:w w:val="100"/>
          <w:position w:val="0"/>
        </w:rPr>
        <w:t>强大的研发实力和技术储备</w:t>
      </w:r>
    </w:p>
    <w:p>
      <w:pPr>
        <w:pStyle w:val="Style41"/>
        <w:keepNext w:val="0"/>
        <w:keepLines w:val="0"/>
        <w:widowControl w:val="0"/>
        <w:shd w:val="clear" w:color="auto" w:fill="auto"/>
        <w:bidi w:val="0"/>
        <w:spacing w:before="0" w:after="0" w:line="469" w:lineRule="exact"/>
        <w:ind w:left="0" w:right="0"/>
        <w:jc w:val="both"/>
      </w:pPr>
      <w:r>
        <w:rPr>
          <w:color w:val="000000"/>
          <w:spacing w:val="0"/>
          <w:w w:val="100"/>
          <w:position w:val="0"/>
        </w:rPr>
        <w:t>公司在</w:t>
      </w:r>
      <w:r>
        <w:rPr>
          <w:rFonts w:ascii="Times New Roman" w:eastAsia="Times New Roman" w:hAnsi="Times New Roman" w:cs="Times New Roman"/>
          <w:color w:val="000000"/>
          <w:spacing w:val="0"/>
          <w:w w:val="100"/>
          <w:position w:val="0"/>
          <w:sz w:val="18"/>
          <w:szCs w:val="18"/>
        </w:rPr>
        <w:t>ICT</w:t>
      </w:r>
      <w:r>
        <w:rPr>
          <w:color w:val="000000"/>
          <w:spacing w:val="0"/>
          <w:w w:val="100"/>
          <w:position w:val="0"/>
        </w:rPr>
        <w:t>业务领域整体技术研发能力获国家认可，获评国家级企业技术中心、北京市智能运维工程实验室，国家信息 技术服务标准</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ITSS</w:t>
      </w:r>
      <w:r>
        <w:rPr>
          <w:color w:val="000000"/>
          <w:spacing w:val="0"/>
          <w:w w:val="100"/>
          <w:position w:val="0"/>
        </w:rPr>
        <w:t>）</w:t>
      </w:r>
      <w:r>
        <w:rPr>
          <w:color w:val="000000"/>
          <w:spacing w:val="0"/>
          <w:w w:val="100"/>
          <w:position w:val="0"/>
        </w:rPr>
        <w:t>二级企业，通过国际软件成熟度模型集成最高等级认证</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CMMI L5</w:t>
      </w:r>
      <w:r>
        <w:rPr>
          <w:color w:val="000000"/>
          <w:spacing w:val="0"/>
          <w:w w:val="100"/>
          <w:position w:val="0"/>
        </w:rPr>
        <w:t>），</w:t>
      </w:r>
      <w:r>
        <w:rPr>
          <w:color w:val="000000"/>
          <w:spacing w:val="0"/>
          <w:w w:val="100"/>
          <w:position w:val="0"/>
        </w:rPr>
        <w:t>获得</w:t>
      </w:r>
      <w:r>
        <w:rPr>
          <w:rFonts w:ascii="Times New Roman" w:eastAsia="Times New Roman" w:hAnsi="Times New Roman" w:cs="Times New Roman"/>
          <w:color w:val="000000"/>
          <w:spacing w:val="0"/>
          <w:w w:val="100"/>
          <w:position w:val="0"/>
          <w:sz w:val="18"/>
          <w:szCs w:val="18"/>
        </w:rPr>
        <w:t>AWS</w:t>
      </w:r>
      <w:r>
        <w:rPr>
          <w:color w:val="000000"/>
          <w:spacing w:val="0"/>
          <w:w w:val="100"/>
          <w:position w:val="0"/>
        </w:rPr>
        <w:t>云迁移最高能力认 证；</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互联网</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运营服务平台</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项目通过</w:t>
      </w:r>
      <w:r>
        <w:rPr>
          <w:rFonts w:ascii="Times New Roman" w:eastAsia="Times New Roman" w:hAnsi="Times New Roman" w:cs="Times New Roman"/>
          <w:color w:val="000000"/>
          <w:spacing w:val="0"/>
          <w:w w:val="100"/>
          <w:position w:val="0"/>
          <w:sz w:val="18"/>
          <w:szCs w:val="18"/>
        </w:rPr>
        <w:t>DevOps</w:t>
      </w:r>
      <w:r>
        <w:rPr>
          <w:color w:val="000000"/>
          <w:spacing w:val="0"/>
          <w:w w:val="100"/>
          <w:position w:val="0"/>
        </w:rPr>
        <w:t>能力成熟度标准</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级评估认证；参与</w:t>
      </w:r>
      <w:r>
        <w:rPr>
          <w:rFonts w:ascii="Times New Roman" w:eastAsia="Times New Roman" w:hAnsi="Times New Roman" w:cs="Times New Roman"/>
          <w:color w:val="000000"/>
          <w:spacing w:val="0"/>
          <w:w w:val="100"/>
          <w:position w:val="0"/>
          <w:sz w:val="18"/>
          <w:szCs w:val="18"/>
        </w:rPr>
        <w:t>ITSS</w:t>
      </w:r>
      <w:r>
        <w:rPr>
          <w:color w:val="000000"/>
          <w:spacing w:val="0"/>
          <w:w w:val="100"/>
          <w:position w:val="0"/>
        </w:rPr>
        <w:t>、</w:t>
      </w:r>
      <w:r>
        <w:rPr>
          <w:color w:val="000000"/>
          <w:spacing w:val="0"/>
          <w:w w:val="100"/>
          <w:position w:val="0"/>
        </w:rPr>
        <w:t>信息技术服务治理、</w:t>
      </w:r>
      <w:r>
        <w:rPr>
          <w:rFonts w:ascii="Times New Roman" w:eastAsia="Times New Roman" w:hAnsi="Times New Roman" w:cs="Times New Roman"/>
          <w:color w:val="000000"/>
          <w:spacing w:val="0"/>
          <w:w w:val="100"/>
          <w:position w:val="0"/>
          <w:sz w:val="18"/>
          <w:szCs w:val="18"/>
        </w:rPr>
        <w:t>DevOps</w:t>
      </w:r>
      <w:r>
        <w:rPr>
          <w:color w:val="000000"/>
          <w:spacing w:val="0"/>
          <w:w w:val="100"/>
          <w:position w:val="0"/>
        </w:rPr>
        <w:t>等国家 标准以及多项行业标准制定、曾承担</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核高基</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新一代</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等国家重点课题。</w:t>
      </w:r>
    </w:p>
    <w:p>
      <w:pPr>
        <w:pStyle w:val="Style41"/>
        <w:keepNext w:val="0"/>
        <w:keepLines w:val="0"/>
        <w:widowControl w:val="0"/>
        <w:shd w:val="clear" w:color="auto" w:fill="auto"/>
        <w:tabs>
          <w:tab w:pos="776" w:val="left"/>
        </w:tabs>
        <w:bidi w:val="0"/>
        <w:spacing w:before="0" w:after="0" w:line="469" w:lineRule="exact"/>
        <w:ind w:left="0" w:right="0"/>
        <w:jc w:val="both"/>
      </w:pPr>
      <w:bookmarkStart w:id="72" w:name="bookmark72"/>
      <w:r>
        <w:rPr>
          <w:rFonts w:ascii="Times New Roman" w:eastAsia="Times New Roman" w:hAnsi="Times New Roman" w:cs="Times New Roman"/>
          <w:b/>
          <w:bCs/>
          <w:color w:val="000000"/>
          <w:spacing w:val="0"/>
          <w:w w:val="100"/>
          <w:position w:val="0"/>
          <w:sz w:val="18"/>
          <w:szCs w:val="18"/>
        </w:rPr>
        <w:t>D</w:t>
      </w:r>
      <w:bookmarkEnd w:id="72"/>
      <w:r>
        <w:rPr>
          <w:b/>
          <w:bCs/>
          <w:color w:val="000000"/>
          <w:spacing w:val="0"/>
          <w:w w:val="100"/>
          <w:position w:val="0"/>
        </w:rPr>
        <w:t>、</w:t>
        <w:tab/>
      </w:r>
      <w:r>
        <w:rPr>
          <w:b/>
          <w:bCs/>
          <w:color w:val="000000"/>
          <w:spacing w:val="0"/>
          <w:w w:val="100"/>
          <w:position w:val="0"/>
        </w:rPr>
        <w:t>大规模并行实施全国性复杂项目的建设和交付能力</w:t>
      </w:r>
    </w:p>
    <w:p>
      <w:pPr>
        <w:pStyle w:val="Style41"/>
        <w:keepNext w:val="0"/>
        <w:keepLines w:val="0"/>
        <w:widowControl w:val="0"/>
        <w:shd w:val="clear" w:color="auto" w:fill="auto"/>
        <w:bidi w:val="0"/>
        <w:spacing w:before="0" w:after="480" w:line="469" w:lineRule="exact"/>
        <w:ind w:left="0" w:right="0"/>
        <w:jc w:val="both"/>
      </w:pPr>
      <w:r>
        <w:rPr>
          <w:color w:val="000000"/>
          <w:spacing w:val="0"/>
          <w:w w:val="100"/>
          <w:position w:val="0"/>
        </w:rPr>
        <w:t>公司具有建设和运营亿级客户互联网平台的项目经验，曾承担中国移动数据网管项目的全国</w:t>
      </w:r>
      <w:r>
        <w:rPr>
          <w:rFonts w:ascii="Times New Roman" w:eastAsia="Times New Roman" w:hAnsi="Times New Roman" w:cs="Times New Roman"/>
          <w:color w:val="000000"/>
          <w:spacing w:val="0"/>
          <w:w w:val="100"/>
          <w:position w:val="0"/>
          <w:sz w:val="18"/>
          <w:szCs w:val="18"/>
        </w:rPr>
        <w:t>14</w:t>
      </w:r>
      <w:r>
        <w:rPr>
          <w:color w:val="000000"/>
          <w:spacing w:val="0"/>
          <w:w w:val="100"/>
          <w:position w:val="0"/>
        </w:rPr>
        <w:t>省份及南方基地建设、 中国移动</w:t>
      </w:r>
      <w:r>
        <w:rPr>
          <w:rFonts w:ascii="Times New Roman" w:eastAsia="Times New Roman" w:hAnsi="Times New Roman" w:cs="Times New Roman"/>
          <w:color w:val="000000"/>
          <w:spacing w:val="0"/>
          <w:w w:val="100"/>
          <w:position w:val="0"/>
          <w:sz w:val="18"/>
          <w:szCs w:val="18"/>
        </w:rPr>
        <w:t>IT</w:t>
      </w:r>
      <w:r>
        <w:rPr>
          <w:color w:val="000000"/>
          <w:spacing w:val="0"/>
          <w:w w:val="100"/>
          <w:position w:val="0"/>
        </w:rPr>
        <w:t>网管项目（涉及国内</w:t>
      </w: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个省共计</w:t>
      </w:r>
      <w:r>
        <w:rPr>
          <w:rFonts w:ascii="Times New Roman" w:eastAsia="Times New Roman" w:hAnsi="Times New Roman" w:cs="Times New Roman"/>
          <w:color w:val="000000"/>
          <w:spacing w:val="0"/>
          <w:w w:val="100"/>
          <w:position w:val="0"/>
          <w:sz w:val="18"/>
          <w:szCs w:val="18"/>
        </w:rPr>
        <w:t>35</w:t>
      </w:r>
      <w:r>
        <w:rPr>
          <w:color w:val="000000"/>
          <w:spacing w:val="0"/>
          <w:w w:val="100"/>
          <w:position w:val="0"/>
        </w:rPr>
        <w:t>个节点）、中国联通总部及</w:t>
      </w:r>
      <w:r>
        <w:rPr>
          <w:rFonts w:ascii="Times New Roman" w:eastAsia="Times New Roman" w:hAnsi="Times New Roman" w:cs="Times New Roman"/>
          <w:color w:val="000000"/>
          <w:spacing w:val="0"/>
          <w:w w:val="100"/>
          <w:position w:val="0"/>
          <w:sz w:val="18"/>
          <w:szCs w:val="18"/>
        </w:rPr>
        <w:t>22</w:t>
      </w:r>
      <w:r>
        <w:rPr>
          <w:color w:val="000000"/>
          <w:spacing w:val="0"/>
          <w:w w:val="100"/>
          <w:position w:val="0"/>
        </w:rPr>
        <w:t>省份的增值业务综合网管平台、中国电信总 部及</w:t>
      </w:r>
      <w:r>
        <w:rPr>
          <w:rFonts w:ascii="Times New Roman" w:eastAsia="Times New Roman" w:hAnsi="Times New Roman" w:cs="Times New Roman"/>
          <w:color w:val="000000"/>
          <w:spacing w:val="0"/>
          <w:w w:val="100"/>
          <w:position w:val="0"/>
          <w:sz w:val="18"/>
          <w:szCs w:val="18"/>
        </w:rPr>
        <w:t>24</w:t>
      </w:r>
      <w:r>
        <w:rPr>
          <w:color w:val="000000"/>
          <w:spacing w:val="0"/>
          <w:w w:val="100"/>
          <w:position w:val="0"/>
        </w:rPr>
        <w:t>省份业务平台综合网管平台等诸多全国性大型复杂项目。</w:t>
      </w:r>
    </w:p>
    <w:p>
      <w:pPr>
        <w:pStyle w:val="Style47"/>
        <w:keepNext/>
        <w:keepLines/>
        <w:widowControl w:val="0"/>
        <w:shd w:val="clear" w:color="auto" w:fill="auto"/>
        <w:bidi w:val="0"/>
        <w:spacing w:before="0" w:after="0" w:line="464" w:lineRule="exact"/>
        <w:ind w:left="0" w:right="0" w:firstLine="380"/>
        <w:jc w:val="both"/>
      </w:pPr>
      <w:bookmarkStart w:id="73" w:name="bookmark73"/>
      <w:bookmarkStart w:id="74" w:name="bookmark74"/>
      <w:bookmarkStart w:id="75" w:name="bookmark75"/>
      <w:bookmarkStart w:id="76" w:name="bookmark76"/>
      <w:r>
        <w:rPr>
          <w:rFonts w:ascii="Times New Roman" w:eastAsia="Times New Roman" w:hAnsi="Times New Roman" w:cs="Times New Roman"/>
          <w:color w:val="000000"/>
          <w:spacing w:val="0"/>
          <w:w w:val="100"/>
          <w:position w:val="0"/>
        </w:rPr>
        <w:t>2</w:t>
      </w:r>
      <w:bookmarkEnd w:id="75"/>
      <w:r>
        <w:rPr>
          <w:color w:val="000000"/>
          <w:spacing w:val="0"/>
          <w:w w:val="100"/>
          <w:position w:val="0"/>
        </w:rPr>
        <w:t>、手机游戏业务板块</w:t>
      </w:r>
      <w:bookmarkEnd w:id="73"/>
      <w:bookmarkEnd w:id="74"/>
      <w:bookmarkEnd w:id="76"/>
    </w:p>
    <w:p>
      <w:pPr>
        <w:pStyle w:val="Style41"/>
        <w:keepNext w:val="0"/>
        <w:keepLines w:val="0"/>
        <w:widowControl w:val="0"/>
        <w:shd w:val="clear" w:color="auto" w:fill="auto"/>
        <w:bidi w:val="0"/>
        <w:spacing w:before="0" w:after="280" w:line="464" w:lineRule="exact"/>
        <w:ind w:left="0" w:right="0"/>
        <w:jc w:val="both"/>
      </w:pPr>
      <w:r>
        <w:rPr>
          <w:color w:val="000000"/>
          <w:spacing w:val="0"/>
          <w:w w:val="100"/>
          <w:position w:val="0"/>
        </w:rPr>
        <w:t>公司手机游戏团队是国内游戏厂商较早在海外市场布局的的代表厂商之一，从成立之初就坚持立足海外游戏市场的战 略，走全球化、精品化路线，坚持不断拓展新技术来带动产品表现力，为用户带来更高品质更好体验的手机游戏产品。经过 多年的发展和沉淀,公司游戏业务板块在海外市场具有较大的影响力，在</w:t>
      </w:r>
      <w:r>
        <w:rPr>
          <w:rFonts w:ascii="Times New Roman" w:eastAsia="Times New Roman" w:hAnsi="Times New Roman" w:cs="Times New Roman"/>
          <w:color w:val="000000"/>
          <w:spacing w:val="0"/>
          <w:w w:val="100"/>
          <w:position w:val="0"/>
          <w:sz w:val="18"/>
          <w:szCs w:val="18"/>
        </w:rPr>
        <w:t>WPP</w:t>
      </w:r>
      <w:r>
        <w:rPr>
          <w:color w:val="000000"/>
          <w:spacing w:val="0"/>
          <w:w w:val="100"/>
          <w:position w:val="0"/>
        </w:rPr>
        <w:t>和</w:t>
      </w:r>
      <w:r>
        <w:rPr>
          <w:rFonts w:ascii="Times New Roman" w:eastAsia="Times New Roman" w:hAnsi="Times New Roman" w:cs="Times New Roman"/>
          <w:color w:val="000000"/>
          <w:spacing w:val="0"/>
          <w:w w:val="100"/>
          <w:position w:val="0"/>
          <w:sz w:val="18"/>
          <w:szCs w:val="18"/>
        </w:rPr>
        <w:t>Kantar</w:t>
      </w:r>
      <w:r>
        <w:rPr>
          <w:color w:val="000000"/>
          <w:spacing w:val="0"/>
          <w:w w:val="100"/>
          <w:position w:val="0"/>
        </w:rPr>
        <w:t>联合谷歌在线发布的</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 xml:space="preserve">BrandZ </w:t>
      </w:r>
      <w:r>
        <w:rPr>
          <w:color w:val="000000"/>
          <w:spacing w:val="0"/>
          <w:w w:val="100"/>
          <w:position w:val="0"/>
        </w:rPr>
        <w:t>中国全球化品牌</w:t>
      </w:r>
      <w:r>
        <w:rPr>
          <w:rFonts w:ascii="Times New Roman" w:eastAsia="Times New Roman" w:hAnsi="Times New Roman" w:cs="Times New Roman"/>
          <w:color w:val="000000"/>
          <w:spacing w:val="0"/>
          <w:w w:val="100"/>
          <w:position w:val="0"/>
          <w:sz w:val="18"/>
          <w:szCs w:val="18"/>
        </w:rPr>
        <w:t>50</w:t>
      </w:r>
      <w:r>
        <w:rPr>
          <w:color w:val="000000"/>
          <w:spacing w:val="0"/>
          <w:w w:val="100"/>
          <w:position w:val="0"/>
        </w:rPr>
        <w:t>强</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榜单中，壳木游戏位列第</w:t>
      </w:r>
      <w:r>
        <w:rPr>
          <w:rFonts w:ascii="Times New Roman" w:eastAsia="Times New Roman" w:hAnsi="Times New Roman" w:cs="Times New Roman"/>
          <w:color w:val="000000"/>
          <w:spacing w:val="0"/>
          <w:w w:val="100"/>
          <w:position w:val="0"/>
          <w:sz w:val="18"/>
          <w:szCs w:val="18"/>
        </w:rPr>
        <w:t>49</w:t>
      </w:r>
      <w:r>
        <w:rPr>
          <w:color w:val="000000"/>
          <w:spacing w:val="0"/>
          <w:w w:val="100"/>
          <w:position w:val="0"/>
        </w:rPr>
        <w:t>位。</w:t>
      </w:r>
    </w:p>
    <w:p>
      <w:pPr>
        <w:pStyle w:val="Style2"/>
        <w:keepNext w:val="0"/>
        <w:keepLines w:val="0"/>
        <w:widowControl w:val="0"/>
        <w:shd w:val="clear" w:color="auto" w:fill="auto"/>
        <w:bidi w:val="0"/>
        <w:spacing w:before="0" w:after="60" w:line="240" w:lineRule="auto"/>
        <w:ind w:left="0" w:right="0" w:firstLine="0"/>
        <w:jc w:val="center"/>
        <w:rPr>
          <w:sz w:val="48"/>
          <w:szCs w:val="48"/>
        </w:rPr>
      </w:pPr>
      <w:r>
        <w:rPr>
          <w:rFonts w:ascii="Arial" w:eastAsia="Arial" w:hAnsi="Arial" w:cs="Arial"/>
          <w:b/>
          <w:bCs/>
          <w:color w:val="E15C54"/>
          <w:spacing w:val="0"/>
          <w:w w:val="100"/>
          <w:position w:val="0"/>
          <w:sz w:val="48"/>
          <w:szCs w:val="48"/>
        </w:rPr>
        <w:t>BRANDZ™</w:t>
      </w:r>
      <w:r>
        <w:rPr>
          <w:rFonts w:ascii="SimHei" w:eastAsia="SimHei" w:hAnsi="SimHei" w:cs="SimHei"/>
          <w:color w:val="E15C54"/>
          <w:spacing w:val="0"/>
          <w:w w:val="100"/>
          <w:position w:val="0"/>
          <w:sz w:val="48"/>
          <w:szCs w:val="48"/>
        </w:rPr>
        <w:t>中国全球化品牌</w:t>
      </w:r>
      <w:r>
        <w:rPr>
          <w:rFonts w:ascii="Arial" w:eastAsia="Arial" w:hAnsi="Arial" w:cs="Arial"/>
          <w:b/>
          <w:bCs/>
          <w:color w:val="E15C54"/>
          <w:spacing w:val="0"/>
          <w:w w:val="100"/>
          <w:position w:val="0"/>
          <w:sz w:val="48"/>
          <w:szCs w:val="48"/>
        </w:rPr>
        <w:t>50</w:t>
      </w:r>
      <w:r>
        <w:rPr>
          <w:rFonts w:ascii="SimHei" w:eastAsia="SimHei" w:hAnsi="SimHei" w:cs="SimHei"/>
          <w:color w:val="E15C54"/>
          <w:spacing w:val="0"/>
          <w:w w:val="100"/>
          <w:position w:val="0"/>
          <w:sz w:val="48"/>
          <w:szCs w:val="48"/>
        </w:rPr>
        <w:t>强</w:t>
      </w:r>
    </w:p>
    <w:tbl>
      <w:tblPr>
        <w:tblOverlap w:val="never"/>
        <w:jc w:val="center"/>
        <w:tblLayout w:type="fixed"/>
      </w:tblPr>
      <w:tblGrid>
        <w:gridCol w:w="504"/>
        <w:gridCol w:w="1613"/>
        <w:gridCol w:w="950"/>
        <w:gridCol w:w="1694"/>
        <w:gridCol w:w="1459"/>
        <w:gridCol w:w="974"/>
      </w:tblGrid>
      <w:tr>
        <w:trPr>
          <w:trHeight w:val="456" w:hRule="exact"/>
        </w:trPr>
        <w:tc>
          <w:tcPr>
            <w:tcBorders/>
            <w:shd w:val="clear" w:color="auto" w:fill="EF584A"/>
            <w:vAlign w:val="top"/>
          </w:tcPr>
          <w:p>
            <w:pPr>
              <w:widowControl w:val="0"/>
              <w:rPr>
                <w:sz w:val="10"/>
                <w:szCs w:val="10"/>
              </w:rPr>
            </w:pPr>
          </w:p>
        </w:tc>
        <w:tc>
          <w:tcPr>
            <w:tcBorders/>
            <w:shd w:val="clear" w:color="auto" w:fill="EF584A"/>
            <w:vAlign w:val="center"/>
          </w:tcPr>
          <w:p>
            <w:pPr>
              <w:pStyle w:val="Style2"/>
              <w:keepNext w:val="0"/>
              <w:keepLines w:val="0"/>
              <w:widowControl w:val="0"/>
              <w:pBdr>
                <w:top w:val="single" w:sz="0" w:space="0" w:color="EF584A"/>
                <w:left w:val="single" w:sz="0" w:space="0" w:color="EF584A"/>
                <w:bottom w:val="single" w:sz="0" w:space="0" w:color="EF584A"/>
                <w:right w:val="single" w:sz="0" w:space="0" w:color="EF584A"/>
              </w:pBdr>
              <w:shd w:val="clear" w:color="auto" w:fill="EF584A"/>
              <w:bidi w:val="0"/>
              <w:spacing w:before="0" w:after="0" w:line="240" w:lineRule="auto"/>
              <w:ind w:left="0" w:right="0" w:firstLine="0"/>
              <w:jc w:val="center"/>
              <w:rPr>
                <w:sz w:val="14"/>
                <w:szCs w:val="14"/>
              </w:rPr>
            </w:pPr>
            <w:r>
              <w:rPr>
                <w:rFonts w:ascii="SimHei" w:eastAsia="SimHei" w:hAnsi="SimHei" w:cs="SimHei"/>
                <w:color w:val="F8E0D6"/>
                <w:spacing w:val="0"/>
                <w:w w:val="100"/>
                <w:position w:val="0"/>
                <w:sz w:val="14"/>
                <w:szCs w:val="14"/>
              </w:rPr>
              <w:t>品牌</w:t>
            </w:r>
          </w:p>
        </w:tc>
        <w:tc>
          <w:tcPr>
            <w:tcBorders/>
            <w:shd w:val="clear" w:color="auto" w:fill="EF584A"/>
            <w:vAlign w:val="top"/>
          </w:tcPr>
          <w:p>
            <w:pPr>
              <w:widowControl w:val="0"/>
              <w:rPr>
                <w:sz w:val="10"/>
                <w:szCs w:val="10"/>
              </w:rPr>
            </w:pPr>
          </w:p>
        </w:tc>
        <w:tc>
          <w:tcPr>
            <w:tcBorders/>
            <w:shd w:val="clear" w:color="auto" w:fill="EF584A"/>
            <w:vAlign w:val="center"/>
          </w:tcPr>
          <w:p>
            <w:pPr>
              <w:pStyle w:val="Style2"/>
              <w:keepNext w:val="0"/>
              <w:keepLines w:val="0"/>
              <w:widowControl w:val="0"/>
              <w:pBdr>
                <w:top w:val="single" w:sz="0" w:space="0" w:color="EF584A"/>
                <w:left w:val="single" w:sz="0" w:space="0" w:color="EF584A"/>
                <w:bottom w:val="single" w:sz="0" w:space="0" w:color="EF584A"/>
                <w:right w:val="single" w:sz="0" w:space="0" w:color="EF584A"/>
              </w:pBdr>
              <w:shd w:val="clear" w:color="auto" w:fill="EF584A"/>
              <w:bidi w:val="0"/>
              <w:spacing w:before="0" w:after="0" w:line="240" w:lineRule="auto"/>
              <w:ind w:left="0" w:right="0" w:firstLine="500"/>
              <w:jc w:val="left"/>
              <w:rPr>
                <w:sz w:val="14"/>
                <w:szCs w:val="14"/>
              </w:rPr>
            </w:pPr>
            <w:r>
              <w:rPr>
                <w:rFonts w:ascii="SimHei" w:eastAsia="SimHei" w:hAnsi="SimHei" w:cs="SimHei"/>
                <w:color w:val="F8E0D6"/>
                <w:spacing w:val="0"/>
                <w:w w:val="100"/>
                <w:position w:val="0"/>
                <w:sz w:val="14"/>
                <w:szCs w:val="14"/>
              </w:rPr>
              <w:t>类别</w:t>
            </w:r>
          </w:p>
        </w:tc>
        <w:tc>
          <w:tcPr>
            <w:tcBorders/>
            <w:shd w:val="clear" w:color="auto" w:fill="EF584A"/>
            <w:vAlign w:val="center"/>
          </w:tcPr>
          <w:p>
            <w:pPr>
              <w:pStyle w:val="Style2"/>
              <w:keepNext w:val="0"/>
              <w:keepLines w:val="0"/>
              <w:widowControl w:val="0"/>
              <w:pBdr>
                <w:top w:val="single" w:sz="0" w:space="0" w:color="EF584A"/>
                <w:left w:val="single" w:sz="0" w:space="0" w:color="EF584A"/>
                <w:bottom w:val="single" w:sz="0" w:space="0" w:color="EF584A"/>
                <w:right w:val="single" w:sz="0" w:space="0" w:color="EF584A"/>
              </w:pBdr>
              <w:shd w:val="clear" w:color="auto" w:fill="EF584A"/>
              <w:bidi w:val="0"/>
              <w:spacing w:before="0" w:after="0" w:line="240" w:lineRule="auto"/>
              <w:ind w:left="0" w:right="0" w:firstLine="600"/>
              <w:jc w:val="left"/>
              <w:rPr>
                <w:sz w:val="14"/>
                <w:szCs w:val="14"/>
              </w:rPr>
            </w:pPr>
            <w:r>
              <w:rPr>
                <w:rFonts w:ascii="SimHei" w:eastAsia="SimHei" w:hAnsi="SimHei" w:cs="SimHei"/>
                <w:color w:val="F8E0D6"/>
                <w:spacing w:val="0"/>
                <w:w w:val="100"/>
                <w:position w:val="0"/>
                <w:sz w:val="14"/>
                <w:szCs w:val="14"/>
              </w:rPr>
              <w:t>品牌力得分</w:t>
            </w:r>
          </w:p>
        </w:tc>
        <w:tc>
          <w:tcPr>
            <w:tcBorders/>
            <w:shd w:val="clear" w:color="auto" w:fill="EF584A"/>
            <w:vAlign w:val="center"/>
          </w:tcPr>
          <w:p>
            <w:pPr>
              <w:pStyle w:val="Style2"/>
              <w:keepNext w:val="0"/>
              <w:keepLines w:val="0"/>
              <w:widowControl w:val="0"/>
              <w:pBdr>
                <w:top w:val="single" w:sz="0" w:space="0" w:color="EE584B"/>
                <w:left w:val="single" w:sz="0" w:space="0" w:color="EE584B"/>
                <w:bottom w:val="single" w:sz="0" w:space="0" w:color="EE584B"/>
                <w:right w:val="single" w:sz="0" w:space="0" w:color="EE584B"/>
              </w:pBdr>
              <w:shd w:val="clear" w:color="auto" w:fill="EE584B"/>
              <w:bidi w:val="0"/>
              <w:spacing w:before="0" w:after="0" w:line="240" w:lineRule="auto"/>
              <w:ind w:left="0" w:right="0" w:firstLine="0"/>
              <w:jc w:val="left"/>
              <w:rPr>
                <w:sz w:val="14"/>
                <w:szCs w:val="14"/>
              </w:rPr>
            </w:pPr>
            <w:r>
              <w:rPr>
                <w:rFonts w:ascii="SimHei" w:eastAsia="SimHei" w:hAnsi="SimHei" w:cs="SimHei"/>
                <w:color w:val="F8E0D6"/>
                <w:spacing w:val="0"/>
                <w:w w:val="100"/>
                <w:position w:val="0"/>
                <w:sz w:val="14"/>
                <w:szCs w:val="14"/>
              </w:rPr>
              <w:t>成长率</w:t>
            </w:r>
            <w:r>
              <w:rPr>
                <w:rFonts w:ascii="SimHei" w:eastAsia="SimHei" w:hAnsi="SimHei" w:cs="SimHei"/>
                <w:color w:val="FBC1B0"/>
                <w:spacing w:val="0"/>
                <w:w w:val="100"/>
                <w:position w:val="0"/>
                <w:sz w:val="14"/>
                <w:szCs w:val="14"/>
              </w:rPr>
              <w:t>％</w:t>
            </w:r>
          </w:p>
        </w:tc>
      </w:tr>
      <w:tr>
        <w:trPr>
          <w:trHeight w:val="394" w:hRule="exact"/>
        </w:trPr>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b/>
                <w:bCs/>
                <w:color w:val="BA9D9D"/>
                <w:spacing w:val="0"/>
                <w:w w:val="100"/>
                <w:position w:val="0"/>
                <w:sz w:val="18"/>
                <w:szCs w:val="18"/>
              </w:rPr>
              <w:t>1</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20"/>
                <w:szCs w:val="20"/>
              </w:rPr>
            </w:pPr>
            <w:r>
              <w:rPr>
                <w:color w:val="C62937"/>
                <w:spacing w:val="0"/>
                <w:w w:val="100"/>
                <w:position w:val="0"/>
                <w:sz w:val="30"/>
                <w:szCs w:val="30"/>
              </w:rPr>
              <w:t xml:space="preserve">犯 </w:t>
            </w:r>
            <w:r>
              <w:rPr>
                <w:b/>
                <w:bCs/>
                <w:color w:val="000000"/>
                <w:spacing w:val="0"/>
                <w:w w:val="100"/>
                <w:position w:val="0"/>
                <w:sz w:val="20"/>
                <w:szCs w:val="20"/>
              </w:rPr>
              <w:t>HUAWEI</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8"/>
                <w:szCs w:val="8"/>
              </w:rPr>
            </w:pPr>
            <w:r>
              <w:rPr>
                <w:rFonts w:ascii="SimHei" w:eastAsia="SimHei" w:hAnsi="SimHei" w:cs="SimHei"/>
                <w:color w:val="464544"/>
                <w:spacing w:val="0"/>
                <w:w w:val="100"/>
                <w:position w:val="0"/>
                <w:sz w:val="8"/>
                <w:szCs w:val="8"/>
              </w:rPr>
              <w:t>牛为</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left"/>
              <w:rPr>
                <w:sz w:val="11"/>
                <w:szCs w:val="11"/>
              </w:rPr>
            </w:pPr>
            <w:r>
              <w:rPr>
                <w:rFonts w:ascii="SimHei" w:eastAsia="SimHei" w:hAnsi="SimHei" w:cs="SimHei"/>
                <w:color w:val="464544"/>
                <w:spacing w:val="0"/>
                <w:w w:val="100"/>
                <w:position w:val="0"/>
                <w:sz w:val="11"/>
                <w:szCs w:val="11"/>
              </w:rPr>
              <w:t>消费电子</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rPr>
                <w:sz w:val="18"/>
                <w:szCs w:val="18"/>
              </w:rPr>
            </w:pPr>
            <w:r>
              <w:rPr>
                <w:rFonts w:ascii="Times New Roman" w:eastAsia="Times New Roman" w:hAnsi="Times New Roman" w:cs="Times New Roman"/>
                <w:b/>
                <w:bCs/>
                <w:color w:val="575656"/>
                <w:spacing w:val="0"/>
                <w:w w:val="100"/>
                <w:position w:val="0"/>
                <w:sz w:val="18"/>
                <w:szCs w:val="18"/>
              </w:rPr>
              <w:t>1,938</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rPr>
                <w:sz w:val="11"/>
                <w:szCs w:val="11"/>
              </w:rPr>
            </w:pPr>
            <w:r>
              <w:rPr>
                <w:rFonts w:ascii="Times New Roman" w:eastAsia="Times New Roman" w:hAnsi="Times New Roman" w:cs="Times New Roman"/>
                <w:b/>
                <w:bCs/>
                <w:color w:val="797777"/>
                <w:spacing w:val="0"/>
                <w:w w:val="100"/>
                <w:position w:val="0"/>
                <w:sz w:val="11"/>
                <w:szCs w:val="11"/>
              </w:rPr>
              <w:t>♦4%</w:t>
            </w:r>
          </w:p>
        </w:tc>
      </w:tr>
      <w:tr>
        <w:trPr>
          <w:trHeight w:val="322" w:hRule="exact"/>
        </w:trPr>
        <w:tc>
          <w:tcPr>
            <w:tcBorders/>
            <w:shd w:val="clear" w:color="auto" w:fill="E9E8E5"/>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rFonts w:ascii="Times New Roman" w:eastAsia="Times New Roman" w:hAnsi="Times New Roman" w:cs="Times New Roman"/>
                <w:b/>
                <w:bCs/>
                <w:color w:val="BA9D9D"/>
                <w:spacing w:val="0"/>
                <w:w w:val="100"/>
                <w:position w:val="0"/>
                <w:sz w:val="18"/>
                <w:szCs w:val="18"/>
              </w:rPr>
              <w:t>2</w:t>
            </w:r>
          </w:p>
        </w:tc>
        <w:tc>
          <w:tcPr>
            <w:tcBorders/>
            <w:shd w:val="clear" w:color="auto" w:fill="EB1C27"/>
            <w:vAlign w:val="top"/>
          </w:tcPr>
          <w:p>
            <w:pPr>
              <w:pStyle w:val="Style2"/>
              <w:keepNext w:val="0"/>
              <w:keepLines w:val="0"/>
              <w:widowControl w:val="0"/>
              <w:pBdr>
                <w:top w:val="single" w:sz="0" w:space="0" w:color="EB1C27"/>
                <w:left w:val="single" w:sz="0" w:space="0" w:color="EB1C27"/>
                <w:bottom w:val="single" w:sz="0" w:space="0" w:color="EB1C27"/>
                <w:right w:val="single" w:sz="0" w:space="0" w:color="EB1C27"/>
              </w:pBdr>
              <w:shd w:val="clear" w:color="auto" w:fill="EB1C27"/>
              <w:bidi w:val="0"/>
              <w:spacing w:before="0" w:after="0" w:line="240" w:lineRule="auto"/>
              <w:ind w:left="0" w:right="0" w:firstLine="280"/>
              <w:jc w:val="left"/>
              <w:rPr>
                <w:sz w:val="18"/>
                <w:szCs w:val="18"/>
              </w:rPr>
            </w:pPr>
            <w:r>
              <w:rPr>
                <w:rFonts w:ascii="Arial" w:eastAsia="Arial" w:hAnsi="Arial" w:cs="Arial"/>
                <w:color w:val="FFFFFF"/>
                <w:spacing w:val="0"/>
                <w:w w:val="100"/>
                <w:position w:val="0"/>
                <w:sz w:val="18"/>
                <w:szCs w:val="18"/>
              </w:rPr>
              <w:t>I Lenovo I</w:t>
            </w:r>
          </w:p>
        </w:tc>
        <w:tc>
          <w:tcPr>
            <w:tcBorders/>
            <w:shd w:val="clear" w:color="auto" w:fill="E9E8E5"/>
            <w:vAlign w:val="center"/>
          </w:tcPr>
          <w:p>
            <w:pPr>
              <w:pStyle w:val="Style2"/>
              <w:keepNext w:val="0"/>
              <w:keepLines w:val="0"/>
              <w:widowControl w:val="0"/>
              <w:shd w:val="clear" w:color="auto" w:fill="auto"/>
              <w:bidi w:val="0"/>
              <w:spacing w:before="0" w:after="0" w:line="240" w:lineRule="auto"/>
              <w:ind w:left="0" w:right="0" w:firstLine="0"/>
              <w:jc w:val="left"/>
              <w:rPr>
                <w:sz w:val="8"/>
                <w:szCs w:val="8"/>
              </w:rPr>
            </w:pPr>
            <w:r>
              <w:rPr>
                <w:rFonts w:ascii="SimHei" w:eastAsia="SimHei" w:hAnsi="SimHei" w:cs="SimHei"/>
                <w:color w:val="383636"/>
                <w:spacing w:val="0"/>
                <w:w w:val="100"/>
                <w:position w:val="0"/>
                <w:sz w:val="8"/>
                <w:szCs w:val="8"/>
              </w:rPr>
              <w:t>联烟</w:t>
            </w:r>
          </w:p>
        </w:tc>
        <w:tc>
          <w:tcPr>
            <w:tcBorders/>
            <w:shd w:val="clear" w:color="auto" w:fill="E9E8E5"/>
            <w:vAlign w:val="center"/>
          </w:tcPr>
          <w:p>
            <w:pPr>
              <w:pStyle w:val="Style2"/>
              <w:keepNext w:val="0"/>
              <w:keepLines w:val="0"/>
              <w:widowControl w:val="0"/>
              <w:shd w:val="clear" w:color="auto" w:fill="auto"/>
              <w:bidi w:val="0"/>
              <w:spacing w:before="0" w:after="0" w:line="240" w:lineRule="auto"/>
              <w:ind w:left="0" w:right="0" w:firstLine="500"/>
              <w:jc w:val="left"/>
              <w:rPr>
                <w:sz w:val="11"/>
                <w:szCs w:val="11"/>
              </w:rPr>
            </w:pPr>
            <w:r>
              <w:rPr>
                <w:rFonts w:ascii="SimHei" w:eastAsia="SimHei" w:hAnsi="SimHei" w:cs="SimHei"/>
                <w:color w:val="383636"/>
                <w:spacing w:val="0"/>
                <w:w w:val="100"/>
                <w:position w:val="0"/>
                <w:sz w:val="11"/>
                <w:szCs w:val="11"/>
              </w:rPr>
              <w:t>消费电子</w:t>
            </w:r>
          </w:p>
        </w:tc>
        <w:tc>
          <w:tcPr>
            <w:tcBorders/>
            <w:shd w:val="clear" w:color="auto" w:fill="E9E8E5"/>
            <w:vAlign w:val="center"/>
          </w:tcPr>
          <w:p>
            <w:pPr>
              <w:pStyle w:val="Style2"/>
              <w:keepNext w:val="0"/>
              <w:keepLines w:val="0"/>
              <w:widowControl w:val="0"/>
              <w:shd w:val="clear" w:color="auto" w:fill="auto"/>
              <w:bidi w:val="0"/>
              <w:spacing w:before="0" w:after="0" w:line="240" w:lineRule="auto"/>
              <w:ind w:left="0" w:right="0" w:firstLine="760"/>
              <w:jc w:val="left"/>
              <w:rPr>
                <w:sz w:val="18"/>
                <w:szCs w:val="18"/>
              </w:rPr>
            </w:pPr>
            <w:r>
              <w:rPr>
                <w:rFonts w:ascii="Times New Roman" w:eastAsia="Times New Roman" w:hAnsi="Times New Roman" w:cs="Times New Roman"/>
                <w:b/>
                <w:bCs/>
                <w:color w:val="464544"/>
                <w:spacing w:val="0"/>
                <w:w w:val="100"/>
                <w:position w:val="0"/>
                <w:sz w:val="18"/>
                <w:szCs w:val="18"/>
              </w:rPr>
              <w:t>1,881</w:t>
            </w:r>
          </w:p>
        </w:tc>
        <w:tc>
          <w:tcPr>
            <w:tcBorders/>
            <w:shd w:val="clear" w:color="auto" w:fill="E9E8E5"/>
            <w:vAlign w:val="center"/>
          </w:tcPr>
          <w:p>
            <w:pPr>
              <w:pStyle w:val="Style2"/>
              <w:keepNext w:val="0"/>
              <w:keepLines w:val="0"/>
              <w:widowControl w:val="0"/>
              <w:shd w:val="clear" w:color="auto" w:fill="auto"/>
              <w:bidi w:val="0"/>
              <w:spacing w:before="0" w:after="0" w:line="240" w:lineRule="auto"/>
              <w:ind w:left="0" w:right="0" w:firstLine="300"/>
              <w:jc w:val="left"/>
              <w:rPr>
                <w:sz w:val="11"/>
                <w:szCs w:val="11"/>
              </w:rPr>
            </w:pPr>
            <w:r>
              <w:rPr>
                <w:rFonts w:ascii="Times New Roman" w:eastAsia="Times New Roman" w:hAnsi="Times New Roman" w:cs="Times New Roman"/>
                <w:b/>
                <w:bCs/>
                <w:color w:val="6B6768"/>
                <w:spacing w:val="0"/>
                <w:w w:val="100"/>
                <w:position w:val="0"/>
                <w:sz w:val="11"/>
                <w:szCs w:val="11"/>
              </w:rPr>
              <w:t>+11%</w:t>
            </w:r>
          </w:p>
        </w:tc>
      </w:tr>
      <w:tr>
        <w:trPr>
          <w:trHeight w:val="398" w:hRule="exact"/>
        </w:trPr>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rFonts w:ascii="Times New Roman" w:eastAsia="Times New Roman" w:hAnsi="Times New Roman" w:cs="Times New Roman"/>
                <w:b/>
                <w:bCs/>
                <w:color w:val="BA9D9D"/>
                <w:spacing w:val="0"/>
                <w:w w:val="100"/>
                <w:position w:val="0"/>
                <w:sz w:val="18"/>
                <w:szCs w:val="18"/>
              </w:rPr>
              <w:t>3</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left"/>
              <w:rPr>
                <w:sz w:val="12"/>
                <w:szCs w:val="12"/>
              </w:rPr>
            </w:pPr>
            <w:r>
              <w:rPr>
                <w:rFonts w:ascii="Arial" w:eastAsia="Arial" w:hAnsi="Arial" w:cs="Arial"/>
                <w:b/>
                <w:bCs/>
                <w:color w:val="CD7D54"/>
                <w:spacing w:val="0"/>
                <w:w w:val="100"/>
                <w:position w:val="0"/>
                <w:sz w:val="12"/>
                <w:szCs w:val="12"/>
              </w:rPr>
              <w:t xml:space="preserve">Alibaba </w:t>
            </w:r>
            <w:r>
              <w:rPr>
                <w:rFonts w:ascii="Arial" w:eastAsia="Arial" w:hAnsi="Arial" w:cs="Arial"/>
                <w:b/>
                <w:bCs/>
                <w:color w:val="C99A80"/>
                <w:spacing w:val="0"/>
                <w:w w:val="100"/>
                <w:position w:val="0"/>
                <w:sz w:val="12"/>
                <w:szCs w:val="12"/>
              </w:rPr>
              <w:t>Group</w:t>
            </w:r>
          </w:p>
          <w:p>
            <w:pPr>
              <w:pStyle w:val="Style2"/>
              <w:keepNext w:val="0"/>
              <w:keepLines w:val="0"/>
              <w:widowControl w:val="0"/>
              <w:shd w:val="clear" w:color="auto" w:fill="auto"/>
              <w:bidi w:val="0"/>
              <w:spacing w:before="0" w:after="0" w:line="226" w:lineRule="auto"/>
              <w:ind w:left="0" w:right="0" w:firstLine="0"/>
              <w:jc w:val="left"/>
              <w:rPr>
                <w:sz w:val="12"/>
                <w:szCs w:val="12"/>
              </w:rPr>
            </w:pPr>
            <w:r>
              <w:rPr>
                <w:rFonts w:ascii="Arial" w:eastAsia="Arial" w:hAnsi="Arial" w:cs="Arial"/>
                <w:b/>
                <w:bCs/>
                <w:color w:val="CD7D54"/>
                <w:spacing w:val="0"/>
                <w:w w:val="100"/>
                <w:position w:val="0"/>
                <w:sz w:val="12"/>
                <w:szCs w:val="12"/>
              </w:rPr>
              <w:t xml:space="preserve">e J </w:t>
            </w:r>
            <w:r>
              <w:rPr>
                <w:rFonts w:ascii="Arial" w:eastAsia="Arial" w:hAnsi="Arial" w:cs="Arial"/>
                <w:b/>
                <w:bCs/>
                <w:color w:val="C99A80"/>
                <w:spacing w:val="0"/>
                <w:w w:val="100"/>
                <w:position w:val="0"/>
                <w:sz w:val="12"/>
                <w:szCs w:val="12"/>
              </w:rPr>
              <w:t>MSEEff■</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575656"/>
                <w:spacing w:val="0"/>
                <w:w w:val="100"/>
                <w:position w:val="0"/>
                <w:sz w:val="15"/>
                <w:szCs w:val="15"/>
              </w:rPr>
              <w:t>me</w:t>
            </w:r>
            <w:r>
              <w:rPr>
                <w:rFonts w:ascii="SimHei" w:eastAsia="SimHei" w:hAnsi="SimHei" w:cs="SimHei"/>
                <w:color w:val="575656"/>
                <w:spacing w:val="0"/>
                <w:w w:val="100"/>
                <w:position w:val="0"/>
                <w:sz w:val="8"/>
                <w:szCs w:val="8"/>
              </w:rPr>
              <w:t>巴</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left"/>
              <w:rPr>
                <w:sz w:val="11"/>
                <w:szCs w:val="11"/>
              </w:rPr>
            </w:pPr>
            <w:r>
              <w:rPr>
                <w:rFonts w:ascii="SimHei" w:eastAsia="SimHei" w:hAnsi="SimHei" w:cs="SimHei"/>
                <w:color w:val="464544"/>
                <w:spacing w:val="0"/>
                <w:w w:val="100"/>
                <w:position w:val="0"/>
                <w:sz w:val="11"/>
                <w:szCs w:val="11"/>
              </w:rPr>
              <w:t>电子商务</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rPr>
                <w:sz w:val="18"/>
                <w:szCs w:val="18"/>
              </w:rPr>
            </w:pPr>
            <w:r>
              <w:rPr>
                <w:rFonts w:ascii="Times New Roman" w:eastAsia="Times New Roman" w:hAnsi="Times New Roman" w:cs="Times New Roman"/>
                <w:b/>
                <w:bCs/>
                <w:color w:val="464544"/>
                <w:spacing w:val="0"/>
                <w:w w:val="100"/>
                <w:position w:val="0"/>
                <w:sz w:val="18"/>
                <w:szCs w:val="18"/>
              </w:rPr>
              <w:t>1,666</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rPr>
                <w:sz w:val="11"/>
                <w:szCs w:val="11"/>
              </w:rPr>
            </w:pPr>
            <w:r>
              <w:rPr>
                <w:rFonts w:ascii="Times New Roman" w:eastAsia="Times New Roman" w:hAnsi="Times New Roman" w:cs="Times New Roman"/>
                <w:b/>
                <w:bCs/>
                <w:color w:val="797777"/>
                <w:spacing w:val="0"/>
                <w:w w:val="100"/>
                <w:position w:val="0"/>
                <w:sz w:val="11"/>
                <w:szCs w:val="11"/>
              </w:rPr>
              <w:t>♦3%</w:t>
            </w:r>
          </w:p>
        </w:tc>
      </w:tr>
      <w:tr>
        <w:trPr>
          <w:trHeight w:val="370" w:hRule="exact"/>
        </w:trPr>
        <w:tc>
          <w:tcPr>
            <w:tcBorders/>
            <w:shd w:val="clear" w:color="auto" w:fill="E9E8E5"/>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rFonts w:ascii="Times New Roman" w:eastAsia="Times New Roman" w:hAnsi="Times New Roman" w:cs="Times New Roman"/>
                <w:b/>
                <w:bCs/>
                <w:color w:val="C99A80"/>
                <w:spacing w:val="0"/>
                <w:w w:val="100"/>
                <w:position w:val="0"/>
                <w:sz w:val="18"/>
                <w:szCs w:val="18"/>
              </w:rPr>
              <w:t>4</w:t>
            </w:r>
          </w:p>
        </w:tc>
        <w:tc>
          <w:tcPr>
            <w:tcBorders/>
            <w:shd w:val="clear" w:color="auto" w:fill="E9E8E5"/>
            <w:vAlign w:val="center"/>
          </w:tcPr>
          <w:p>
            <w:pPr>
              <w:pStyle w:val="Style2"/>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color w:val="49648E"/>
                <w:spacing w:val="0"/>
                <w:w w:val="100"/>
                <w:position w:val="0"/>
                <w:sz w:val="20"/>
                <w:szCs w:val="20"/>
              </w:rPr>
              <w:t>hi Byte Dance</w:t>
            </w:r>
          </w:p>
        </w:tc>
        <w:tc>
          <w:tcPr>
            <w:tcBorders/>
            <w:shd w:val="clear" w:color="auto" w:fill="E9E8E5"/>
            <w:vAlign w:val="center"/>
          </w:tcPr>
          <w:p>
            <w:pPr>
              <w:pStyle w:val="Style2"/>
              <w:keepNext w:val="0"/>
              <w:keepLines w:val="0"/>
              <w:widowControl w:val="0"/>
              <w:shd w:val="clear" w:color="auto" w:fill="auto"/>
              <w:bidi w:val="0"/>
              <w:spacing w:before="0" w:after="0" w:line="240" w:lineRule="auto"/>
              <w:ind w:left="0" w:right="0" w:firstLine="0"/>
              <w:jc w:val="left"/>
              <w:rPr>
                <w:sz w:val="8"/>
                <w:szCs w:val="8"/>
              </w:rPr>
            </w:pPr>
            <w:r>
              <w:rPr>
                <w:rFonts w:ascii="SimHei" w:eastAsia="SimHei" w:hAnsi="SimHei" w:cs="SimHei"/>
                <w:color w:val="464544"/>
                <w:spacing w:val="0"/>
                <w:w w:val="100"/>
                <w:position w:val="0"/>
                <w:sz w:val="8"/>
                <w:szCs w:val="8"/>
              </w:rPr>
              <w:t>字节龄动</w:t>
            </w:r>
          </w:p>
        </w:tc>
        <w:tc>
          <w:tcPr>
            <w:tcBorders/>
            <w:shd w:val="clear" w:color="auto" w:fill="E9E8E5"/>
            <w:vAlign w:val="center"/>
          </w:tcPr>
          <w:p>
            <w:pPr>
              <w:pStyle w:val="Style2"/>
              <w:keepNext w:val="0"/>
              <w:keepLines w:val="0"/>
              <w:widowControl w:val="0"/>
              <w:shd w:val="clear" w:color="auto" w:fill="auto"/>
              <w:bidi w:val="0"/>
              <w:spacing w:before="0" w:after="0" w:line="240" w:lineRule="auto"/>
              <w:ind w:left="0" w:right="0" w:firstLine="500"/>
              <w:jc w:val="left"/>
              <w:rPr>
                <w:sz w:val="12"/>
                <w:szCs w:val="12"/>
              </w:rPr>
            </w:pPr>
            <w:r>
              <w:rPr>
                <w:rFonts w:ascii="SimHei" w:eastAsia="SimHei" w:hAnsi="SimHei" w:cs="SimHei"/>
                <w:color w:val="464544"/>
                <w:spacing w:val="0"/>
                <w:w w:val="100"/>
                <w:position w:val="0"/>
                <w:sz w:val="11"/>
                <w:szCs w:val="11"/>
              </w:rPr>
              <w:t>内容型</w:t>
            </w:r>
            <w:r>
              <w:rPr>
                <w:rFonts w:ascii="Times New Roman" w:eastAsia="Times New Roman" w:hAnsi="Times New Roman" w:cs="Times New Roman"/>
                <w:color w:val="464544"/>
                <w:spacing w:val="0"/>
                <w:w w:val="100"/>
                <w:position w:val="0"/>
                <w:sz w:val="12"/>
                <w:szCs w:val="12"/>
              </w:rPr>
              <w:t>App</w:t>
            </w:r>
          </w:p>
        </w:tc>
        <w:tc>
          <w:tcPr>
            <w:tcBorders/>
            <w:shd w:val="clear" w:color="auto" w:fill="E9E8E5"/>
            <w:vAlign w:val="center"/>
          </w:tcPr>
          <w:p>
            <w:pPr>
              <w:pStyle w:val="Style2"/>
              <w:keepNext w:val="0"/>
              <w:keepLines w:val="0"/>
              <w:widowControl w:val="0"/>
              <w:shd w:val="clear" w:color="auto" w:fill="auto"/>
              <w:bidi w:val="0"/>
              <w:spacing w:before="0" w:after="0" w:line="240" w:lineRule="auto"/>
              <w:ind w:left="0" w:right="0" w:firstLine="760"/>
              <w:jc w:val="left"/>
              <w:rPr>
                <w:sz w:val="18"/>
                <w:szCs w:val="18"/>
              </w:rPr>
            </w:pPr>
            <w:r>
              <w:rPr>
                <w:rFonts w:ascii="Times New Roman" w:eastAsia="Times New Roman" w:hAnsi="Times New Roman" w:cs="Times New Roman"/>
                <w:b/>
                <w:bCs/>
                <w:color w:val="464544"/>
                <w:spacing w:val="0"/>
                <w:w w:val="100"/>
                <w:position w:val="0"/>
                <w:sz w:val="18"/>
                <w:szCs w:val="18"/>
              </w:rPr>
              <w:t>1, 368</w:t>
            </w:r>
          </w:p>
        </w:tc>
        <w:tc>
          <w:tcPr>
            <w:tcBorders/>
            <w:shd w:val="clear" w:color="auto" w:fill="E9E8E5"/>
            <w:vAlign w:val="center"/>
          </w:tcPr>
          <w:p>
            <w:pPr>
              <w:pStyle w:val="Style2"/>
              <w:keepNext w:val="0"/>
              <w:keepLines w:val="0"/>
              <w:widowControl w:val="0"/>
              <w:shd w:val="clear" w:color="auto" w:fill="auto"/>
              <w:bidi w:val="0"/>
              <w:spacing w:before="0" w:after="0" w:line="240" w:lineRule="auto"/>
              <w:ind w:left="0" w:right="0" w:firstLine="300"/>
              <w:jc w:val="left"/>
              <w:rPr>
                <w:sz w:val="11"/>
                <w:szCs w:val="11"/>
              </w:rPr>
            </w:pPr>
            <w:r>
              <w:rPr>
                <w:rFonts w:ascii="Times New Roman" w:eastAsia="Times New Roman" w:hAnsi="Times New Roman" w:cs="Times New Roman"/>
                <w:b/>
                <w:bCs/>
                <w:color w:val="6B6768"/>
                <w:spacing w:val="0"/>
                <w:w w:val="100"/>
                <w:position w:val="0"/>
                <w:sz w:val="11"/>
                <w:szCs w:val="11"/>
              </w:rPr>
              <w:t>♦50!k</w:t>
            </w:r>
          </w:p>
        </w:tc>
      </w:tr>
      <w:tr>
        <w:trPr>
          <w:trHeight w:val="379" w:hRule="exact"/>
        </w:trPr>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8"/>
                <w:szCs w:val="8"/>
              </w:rPr>
            </w:pPr>
            <w:r>
              <w:rPr>
                <w:rFonts w:ascii="SimHei" w:eastAsia="SimHei" w:hAnsi="SimHei" w:cs="SimHei"/>
                <w:color w:val="575656"/>
                <w:spacing w:val="0"/>
                <w:w w:val="100"/>
                <w:position w:val="0"/>
                <w:sz w:val="8"/>
                <w:szCs w:val="8"/>
              </w:rPr>
              <w:t>小米</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left"/>
              <w:rPr>
                <w:sz w:val="11"/>
                <w:szCs w:val="11"/>
              </w:rPr>
            </w:pPr>
            <w:r>
              <w:rPr>
                <w:rFonts w:ascii="SimHei" w:eastAsia="SimHei" w:hAnsi="SimHei" w:cs="SimHei"/>
                <w:color w:val="464544"/>
                <w:spacing w:val="0"/>
                <w:w w:val="100"/>
                <w:position w:val="0"/>
                <w:sz w:val="11"/>
                <w:szCs w:val="11"/>
              </w:rPr>
              <w:t>消费电子</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rPr>
                <w:sz w:val="18"/>
                <w:szCs w:val="18"/>
              </w:rPr>
            </w:pPr>
            <w:r>
              <w:rPr>
                <w:rFonts w:ascii="Times New Roman" w:eastAsia="Times New Roman" w:hAnsi="Times New Roman" w:cs="Times New Roman"/>
                <w:b/>
                <w:bCs/>
                <w:color w:val="464544"/>
                <w:spacing w:val="0"/>
                <w:w w:val="100"/>
                <w:position w:val="0"/>
                <w:sz w:val="18"/>
                <w:szCs w:val="18"/>
              </w:rPr>
              <w:t>1,098</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rPr>
                <w:sz w:val="11"/>
                <w:szCs w:val="11"/>
              </w:rPr>
            </w:pPr>
            <w:r>
              <w:rPr>
                <w:rFonts w:ascii="Times New Roman" w:eastAsia="Times New Roman" w:hAnsi="Times New Roman" w:cs="Times New Roman"/>
                <w:b/>
                <w:bCs/>
                <w:color w:val="797777"/>
                <w:spacing w:val="0"/>
                <w:w w:val="100"/>
                <w:position w:val="0"/>
                <w:sz w:val="11"/>
                <w:szCs w:val="11"/>
              </w:rPr>
              <w:t>♦3*</w:t>
            </w:r>
          </w:p>
        </w:tc>
      </w:tr>
      <w:tr>
        <w:trPr>
          <w:trHeight w:val="408" w:hRule="exact"/>
        </w:trPr>
        <w:tc>
          <w:tcPr>
            <w:tcBorders>
              <w:top w:val="single" w:sz="4"/>
              <w:left w:val="single" w:sz="4"/>
            </w:tcBorders>
            <w:shd w:val="clear" w:color="auto" w:fill="E9E8E5"/>
            <w:vAlign w:val="top"/>
          </w:tcPr>
          <w:p>
            <w:pPr>
              <w:widowControl w:val="0"/>
              <w:rPr>
                <w:sz w:val="10"/>
                <w:szCs w:val="10"/>
              </w:rPr>
            </w:pPr>
          </w:p>
        </w:tc>
        <w:tc>
          <w:tcPr>
            <w:tcBorders>
              <w:top w:val="single" w:sz="4"/>
            </w:tcBorders>
            <w:shd w:val="clear" w:color="auto" w:fill="E9E8E5"/>
            <w:vAlign w:val="top"/>
          </w:tcPr>
          <w:p>
            <w:pPr>
              <w:widowControl w:val="0"/>
              <w:rPr>
                <w:sz w:val="10"/>
                <w:szCs w:val="10"/>
              </w:rPr>
            </w:pPr>
          </w:p>
        </w:tc>
        <w:tc>
          <w:tcPr>
            <w:tcBorders>
              <w:top w:val="single" w:sz="4"/>
            </w:tcBorders>
            <w:shd w:val="clear" w:color="auto" w:fill="E9E8E5"/>
            <w:vAlign w:val="top"/>
          </w:tcPr>
          <w:p>
            <w:pPr>
              <w:widowControl w:val="0"/>
              <w:rPr>
                <w:sz w:val="10"/>
                <w:szCs w:val="10"/>
              </w:rPr>
            </w:pPr>
          </w:p>
        </w:tc>
        <w:tc>
          <w:tcPr>
            <w:tcBorders>
              <w:top w:val="single" w:sz="4"/>
            </w:tcBorders>
            <w:shd w:val="clear" w:color="auto" w:fill="E9E8E5"/>
            <w:vAlign w:val="center"/>
          </w:tcPr>
          <w:p>
            <w:pPr>
              <w:pStyle w:val="Style2"/>
              <w:keepNext w:val="0"/>
              <w:keepLines w:val="0"/>
              <w:widowControl w:val="0"/>
              <w:shd w:val="clear" w:color="auto" w:fill="auto"/>
              <w:bidi w:val="0"/>
              <w:spacing w:before="0" w:after="0" w:line="240" w:lineRule="auto"/>
              <w:ind w:left="0" w:right="0" w:firstLine="500"/>
              <w:jc w:val="left"/>
              <w:rPr>
                <w:sz w:val="11"/>
                <w:szCs w:val="11"/>
              </w:rPr>
            </w:pPr>
            <w:r>
              <w:rPr>
                <w:rFonts w:ascii="SimHei" w:eastAsia="SimHei" w:hAnsi="SimHei" w:cs="SimHei"/>
                <w:color w:val="383636"/>
                <w:spacing w:val="0"/>
                <w:w w:val="100"/>
                <w:position w:val="0"/>
                <w:sz w:val="11"/>
                <w:szCs w:val="11"/>
              </w:rPr>
              <w:t>移动游戏</w:t>
            </w:r>
          </w:p>
        </w:tc>
        <w:tc>
          <w:tcPr>
            <w:tcBorders>
              <w:top w:val="single" w:sz="4"/>
            </w:tcBorders>
            <w:shd w:val="clear" w:color="auto" w:fill="E9E8E5"/>
            <w:vAlign w:val="center"/>
          </w:tcPr>
          <w:p>
            <w:pPr>
              <w:pStyle w:val="Style2"/>
              <w:keepNext w:val="0"/>
              <w:keepLines w:val="0"/>
              <w:widowControl w:val="0"/>
              <w:shd w:val="clear" w:color="auto" w:fill="auto"/>
              <w:bidi w:val="0"/>
              <w:spacing w:before="0" w:after="0" w:line="240" w:lineRule="auto"/>
              <w:ind w:left="0" w:right="0" w:firstLine="820"/>
              <w:jc w:val="left"/>
              <w:rPr>
                <w:sz w:val="18"/>
                <w:szCs w:val="18"/>
              </w:rPr>
            </w:pPr>
            <w:r>
              <w:rPr>
                <w:rFonts w:ascii="Times New Roman" w:eastAsia="Times New Roman" w:hAnsi="Times New Roman" w:cs="Times New Roman"/>
                <w:b/>
                <w:bCs/>
                <w:color w:val="464544"/>
                <w:spacing w:val="0"/>
                <w:w w:val="100"/>
                <w:position w:val="0"/>
                <w:sz w:val="18"/>
                <w:szCs w:val="18"/>
              </w:rPr>
              <w:t>186</w:t>
            </w:r>
          </w:p>
        </w:tc>
        <w:tc>
          <w:tcPr>
            <w:tcBorders>
              <w:top w:val="single" w:sz="4"/>
              <w:right w:val="single" w:sz="4"/>
            </w:tcBorders>
            <w:shd w:val="clear" w:color="auto" w:fill="E9E8E5"/>
            <w:vAlign w:val="center"/>
          </w:tcPr>
          <w:p>
            <w:pPr>
              <w:pStyle w:val="Style2"/>
              <w:keepNext w:val="0"/>
              <w:keepLines w:val="0"/>
              <w:widowControl w:val="0"/>
              <w:shd w:val="clear" w:color="auto" w:fill="auto"/>
              <w:bidi w:val="0"/>
              <w:spacing w:before="0" w:after="0" w:line="240" w:lineRule="auto"/>
              <w:ind w:left="0" w:right="0" w:firstLine="300"/>
              <w:jc w:val="left"/>
              <w:rPr>
                <w:sz w:val="11"/>
                <w:szCs w:val="11"/>
              </w:rPr>
            </w:pPr>
            <w:r>
              <w:rPr>
                <w:rFonts w:ascii="Times New Roman" w:eastAsia="Times New Roman" w:hAnsi="Times New Roman" w:cs="Times New Roman"/>
                <w:b/>
                <w:bCs/>
                <w:color w:val="6B6768"/>
                <w:spacing w:val="0"/>
                <w:w w:val="100"/>
                <w:position w:val="0"/>
                <w:sz w:val="11"/>
                <w:szCs w:val="11"/>
              </w:rPr>
              <w:t>NEW</w:t>
            </w:r>
          </w:p>
        </w:tc>
      </w:tr>
      <w:tr>
        <w:trPr>
          <w:trHeight w:val="269" w:hRule="exact"/>
        </w:trPr>
        <w:tc>
          <w:tcPr>
            <w:tcBorders>
              <w:top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b/>
                <w:bCs/>
                <w:color w:val="BA9D9D"/>
                <w:spacing w:val="0"/>
                <w:w w:val="100"/>
                <w:position w:val="0"/>
                <w:sz w:val="18"/>
                <w:szCs w:val="18"/>
              </w:rPr>
              <w:t>50</w:t>
            </w:r>
          </w:p>
        </w:tc>
        <w:tc>
          <w:tcPr>
            <w:tcBorders>
              <w:top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80"/>
              <w:jc w:val="left"/>
              <w:rPr>
                <w:sz w:val="22"/>
                <w:szCs w:val="22"/>
              </w:rPr>
            </w:pPr>
            <w:r>
              <w:rPr>
                <w:rFonts w:ascii="Arial" w:eastAsia="Arial" w:hAnsi="Arial" w:cs="Arial"/>
                <w:b/>
                <w:bCs/>
                <w:color w:val="1C1A1D"/>
                <w:spacing w:val="0"/>
                <w:w w:val="100"/>
                <w:position w:val="0"/>
                <w:sz w:val="22"/>
                <w:szCs w:val="22"/>
              </w:rPr>
              <w:t xml:space="preserve">□ HE </w:t>
            </w:r>
            <w:r>
              <w:rPr>
                <w:rFonts w:ascii="Arial" w:eastAsia="Arial" w:hAnsi="Arial" w:cs="Arial"/>
                <w:i/>
                <w:iCs/>
                <w:color w:val="1C1A1D"/>
                <w:spacing w:val="0"/>
                <w:w w:val="100"/>
                <w:position w:val="0"/>
                <w:sz w:val="22"/>
                <w:szCs w:val="22"/>
              </w:rPr>
              <w:t>T</w:t>
            </w:r>
          </w:p>
        </w:tc>
        <w:tc>
          <w:tcPr>
            <w:tcBorders>
              <w:top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8"/>
                <w:szCs w:val="8"/>
              </w:rPr>
            </w:pPr>
            <w:r>
              <w:rPr>
                <w:rFonts w:ascii="SimHei" w:eastAsia="SimHei" w:hAnsi="SimHei" w:cs="SimHei"/>
                <w:color w:val="464544"/>
                <w:spacing w:val="0"/>
                <w:w w:val="100"/>
                <w:position w:val="0"/>
                <w:sz w:val="8"/>
                <w:szCs w:val="8"/>
              </w:rPr>
              <w:t>龙</w:t>
            </w:r>
            <w:r>
              <w:rPr>
                <w:rFonts w:ascii="Arial" w:eastAsia="Arial" w:hAnsi="Arial" w:cs="Arial"/>
                <w:color w:val="464544"/>
                <w:spacing w:val="0"/>
                <w:w w:val="100"/>
                <w:position w:val="0"/>
                <w:sz w:val="15"/>
                <w:szCs w:val="15"/>
              </w:rPr>
              <w:t>M</w:t>
            </w:r>
            <w:r>
              <w:rPr>
                <w:rFonts w:ascii="SimHei" w:eastAsia="SimHei" w:hAnsi="SimHei" w:cs="SimHei"/>
                <w:color w:val="464544"/>
                <w:spacing w:val="0"/>
                <w:w w:val="100"/>
                <w:position w:val="0"/>
                <w:sz w:val="8"/>
                <w:szCs w:val="8"/>
              </w:rPr>
              <w:t>合</w:t>
            </w:r>
          </w:p>
        </w:tc>
        <w:tc>
          <w:tcPr>
            <w:tcBorders>
              <w:top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500"/>
              <w:jc w:val="left"/>
              <w:rPr>
                <w:sz w:val="11"/>
                <w:szCs w:val="11"/>
              </w:rPr>
            </w:pPr>
            <w:r>
              <w:rPr>
                <w:rFonts w:ascii="SimHei" w:eastAsia="SimHei" w:hAnsi="SimHei" w:cs="SimHei"/>
                <w:color w:val="383636"/>
                <w:spacing w:val="0"/>
                <w:w w:val="100"/>
                <w:position w:val="0"/>
                <w:sz w:val="11"/>
                <w:szCs w:val="11"/>
              </w:rPr>
              <w:t>移动游戏</w:t>
            </w:r>
          </w:p>
        </w:tc>
        <w:tc>
          <w:tcPr>
            <w:tcBorders>
              <w:top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820"/>
              <w:jc w:val="left"/>
              <w:rPr>
                <w:sz w:val="18"/>
                <w:szCs w:val="18"/>
              </w:rPr>
            </w:pPr>
            <w:r>
              <w:rPr>
                <w:rFonts w:ascii="Times New Roman" w:eastAsia="Times New Roman" w:hAnsi="Times New Roman" w:cs="Times New Roman"/>
                <w:b/>
                <w:bCs/>
                <w:color w:val="464544"/>
                <w:spacing w:val="0"/>
                <w:w w:val="100"/>
                <w:position w:val="0"/>
                <w:sz w:val="18"/>
                <w:szCs w:val="18"/>
              </w:rPr>
              <w:t>185</w:t>
            </w:r>
          </w:p>
        </w:tc>
        <w:tc>
          <w:tcPr>
            <w:tcBorders>
              <w:top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00"/>
              <w:jc w:val="left"/>
              <w:rPr>
                <w:sz w:val="11"/>
                <w:szCs w:val="11"/>
              </w:rPr>
            </w:pPr>
            <w:r>
              <w:rPr>
                <w:rFonts w:ascii="Times New Roman" w:eastAsia="Times New Roman" w:hAnsi="Times New Roman" w:cs="Times New Roman"/>
                <w:b/>
                <w:bCs/>
                <w:color w:val="6B6768"/>
                <w:spacing w:val="0"/>
                <w:w w:val="100"/>
                <w:position w:val="0"/>
                <w:sz w:val="11"/>
                <w:szCs w:val="11"/>
              </w:rPr>
              <w:t>NEW</w:t>
            </w:r>
          </w:p>
        </w:tc>
      </w:tr>
    </w:tbl>
    <w:p>
      <w:pPr>
        <w:widowControl w:val="0"/>
        <w:spacing w:after="379" w:line="1" w:lineRule="exact"/>
      </w:pPr>
    </w:p>
    <w:p>
      <w:pPr>
        <w:pStyle w:val="Style41"/>
        <w:keepNext w:val="0"/>
        <w:keepLines w:val="0"/>
        <w:widowControl w:val="0"/>
        <w:shd w:val="clear" w:color="auto" w:fill="auto"/>
        <w:bidi w:val="0"/>
        <w:spacing w:before="0" w:after="280" w:line="240" w:lineRule="auto"/>
        <w:ind w:left="0" w:right="0" w:firstLine="0"/>
        <w:jc w:val="center"/>
        <w:sectPr>
          <w:headerReference w:type="default" r:id="rId37"/>
          <w:footerReference w:type="default" r:id="rId38"/>
          <w:headerReference w:type="even" r:id="rId39"/>
          <w:footerReference w:type="even" r:id="rId40"/>
          <w:footnotePr>
            <w:pos w:val="pageBottom"/>
            <w:numFmt w:val="decimal"/>
            <w:numRestart w:val="continuous"/>
          </w:footnotePr>
          <w:pgSz w:w="11904" w:h="17375"/>
          <w:pgMar w:top="1070" w:right="1013" w:bottom="1425" w:left="1104" w:header="642" w:footer="3" w:gutter="0"/>
          <w:cols w:space="720"/>
          <w:noEndnote/>
          <w:rtlGutter w:val="0"/>
          <w:docGrid w:linePitch="360"/>
        </w:sectPr>
      </w:pPr>
      <w:r>
        <w:rPr>
          <w:b/>
          <w:bCs/>
          <w:color w:val="000000"/>
          <w:spacing w:val="0"/>
          <w:w w:val="100"/>
          <w:position w:val="0"/>
        </w:rPr>
        <w:t>（</w:t>
      </w:r>
      <w:r>
        <w:rPr>
          <w:rFonts w:ascii="Times New Roman" w:eastAsia="Times New Roman" w:hAnsi="Times New Roman" w:cs="Times New Roman"/>
          <w:b/>
          <w:bCs/>
          <w:color w:val="000000"/>
          <w:spacing w:val="0"/>
          <w:w w:val="100"/>
          <w:position w:val="0"/>
          <w:sz w:val="18"/>
          <w:szCs w:val="18"/>
        </w:rPr>
        <w:t>“2020</w:t>
      </w:r>
      <w:r>
        <w:rPr>
          <w:b/>
          <w:bCs/>
          <w:color w:val="000000"/>
          <w:spacing w:val="0"/>
          <w:w w:val="100"/>
          <w:position w:val="0"/>
        </w:rPr>
        <w:t>年</w:t>
      </w:r>
      <w:r>
        <w:rPr>
          <w:rFonts w:ascii="Times New Roman" w:eastAsia="Times New Roman" w:hAnsi="Times New Roman" w:cs="Times New Roman"/>
          <w:b/>
          <w:bCs/>
          <w:color w:val="000000"/>
          <w:spacing w:val="0"/>
          <w:w w:val="100"/>
          <w:position w:val="0"/>
          <w:sz w:val="18"/>
          <w:szCs w:val="18"/>
        </w:rPr>
        <w:t>BrandZ</w:t>
      </w:r>
      <w:r>
        <w:rPr>
          <w:b/>
          <w:bCs/>
          <w:color w:val="000000"/>
          <w:spacing w:val="0"/>
          <w:w w:val="100"/>
          <w:position w:val="0"/>
        </w:rPr>
        <w:t>中国全球化品牌</w:t>
      </w:r>
      <w:r>
        <w:rPr>
          <w:rFonts w:ascii="Times New Roman" w:eastAsia="Times New Roman" w:hAnsi="Times New Roman" w:cs="Times New Roman"/>
          <w:b/>
          <w:bCs/>
          <w:color w:val="000000"/>
          <w:spacing w:val="0"/>
          <w:w w:val="100"/>
          <w:position w:val="0"/>
          <w:sz w:val="18"/>
          <w:szCs w:val="18"/>
        </w:rPr>
        <w:t>50</w:t>
      </w:r>
      <w:r>
        <w:rPr>
          <w:b/>
          <w:bCs/>
          <w:color w:val="000000"/>
          <w:spacing w:val="0"/>
          <w:w w:val="100"/>
          <w:position w:val="0"/>
        </w:rPr>
        <w:t>强</w:t>
      </w:r>
      <w:r>
        <w:rPr>
          <w:rFonts w:ascii="Times New Roman" w:eastAsia="Times New Roman" w:hAnsi="Times New Roman" w:cs="Times New Roman"/>
          <w:b/>
          <w:bCs/>
          <w:color w:val="000000"/>
          <w:spacing w:val="0"/>
          <w:w w:val="100"/>
          <w:position w:val="0"/>
          <w:sz w:val="18"/>
          <w:szCs w:val="18"/>
        </w:rPr>
        <w:t>”</w:t>
      </w:r>
      <w:r>
        <w:rPr>
          <w:b/>
          <w:bCs/>
          <w:color w:val="000000"/>
          <w:spacing w:val="0"/>
          <w:w w:val="100"/>
          <w:position w:val="0"/>
        </w:rPr>
        <w:t>榜单）</w:t>
      </w:r>
    </w:p>
    <w:p>
      <w:pPr>
        <w:pStyle w:val="Style58"/>
        <w:keepNext/>
        <w:keepLines/>
        <w:widowControl w:val="0"/>
        <w:shd w:val="clear" w:color="auto" w:fill="auto"/>
        <w:bidi w:val="0"/>
        <w:spacing w:before="180" w:after="0" w:line="240" w:lineRule="auto"/>
        <w:ind w:left="0" w:right="0"/>
        <w:jc w:val="both"/>
      </w:pPr>
      <w:bookmarkStart w:id="77" w:name="bookmark77"/>
      <w:bookmarkStart w:id="78" w:name="bookmark78"/>
      <w:bookmarkStart w:id="79" w:name="bookmark79"/>
      <w:r>
        <w:rPr>
          <w:rFonts w:ascii="Times New Roman" w:eastAsia="Times New Roman" w:hAnsi="Times New Roman" w:cs="Times New Roman"/>
          <w:b/>
          <w:bCs/>
          <w:color w:val="000000"/>
          <w:spacing w:val="0"/>
          <w:w w:val="100"/>
          <w:position w:val="0"/>
          <w:sz w:val="18"/>
          <w:szCs w:val="18"/>
        </w:rPr>
        <w:t>2.1</w:t>
      </w:r>
      <w:r>
        <w:rPr>
          <w:b/>
          <w:bCs/>
          <w:color w:val="000000"/>
          <w:spacing w:val="0"/>
          <w:w w:val="100"/>
          <w:position w:val="0"/>
        </w:rPr>
        <w:t>核心的产品</w:t>
      </w:r>
      <w:bookmarkEnd w:id="77"/>
      <w:bookmarkEnd w:id="78"/>
      <w:bookmarkEnd w:id="79"/>
    </w:p>
    <w:p>
      <w:pPr>
        <w:pStyle w:val="Style41"/>
        <w:keepNext w:val="0"/>
        <w:keepLines w:val="0"/>
        <w:widowControl w:val="0"/>
        <w:shd w:val="clear" w:color="auto" w:fill="auto"/>
        <w:bidi w:val="0"/>
        <w:spacing w:before="0" w:after="140" w:line="469" w:lineRule="exact"/>
        <w:ind w:left="0" w:right="0"/>
        <w:jc w:val="both"/>
      </w:pPr>
      <w:r>
        <w:rPr>
          <w:color w:val="000000"/>
          <w:spacing w:val="0"/>
          <w:w w:val="100"/>
          <w:position w:val="0"/>
        </w:rPr>
        <w:t>公司已成功研发并发行了《小小帝国》、</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War and Order</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Age of Z Origins</w:t>
      </w:r>
      <w:r>
        <w:rPr>
          <w:color w:val="000000"/>
          <w:spacing w:val="0"/>
          <w:w w:val="100"/>
          <w:position w:val="0"/>
        </w:rPr>
        <w:t>》</w:t>
      </w:r>
      <w:r>
        <w:rPr>
          <w:color w:val="000000"/>
          <w:spacing w:val="0"/>
          <w:w w:val="100"/>
          <w:position w:val="0"/>
        </w:rPr>
        <w:t>等大型重度游戏。</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War and Order</w:t>
      </w:r>
      <w:r>
        <w:rPr>
          <w:color w:val="000000"/>
          <w:spacing w:val="0"/>
          <w:w w:val="100"/>
          <w:position w:val="0"/>
        </w:rPr>
        <w:t xml:space="preserve">》 </w:t>
      </w:r>
      <w:r>
        <w:rPr>
          <w:color w:val="000000"/>
          <w:spacing w:val="0"/>
          <w:w w:val="100"/>
          <w:position w:val="0"/>
        </w:rPr>
        <w:t>上线至今已获得多次谷歌全球精选游戏首页推荐、荣获</w:t>
      </w:r>
      <w:r>
        <w:rPr>
          <w:rFonts w:ascii="Times New Roman" w:eastAsia="Times New Roman" w:hAnsi="Times New Roman" w:cs="Times New Roman"/>
          <w:color w:val="000000"/>
          <w:spacing w:val="0"/>
          <w:w w:val="100"/>
          <w:position w:val="0"/>
          <w:sz w:val="18"/>
          <w:szCs w:val="18"/>
        </w:rPr>
        <w:t xml:space="preserve">“NextWorld </w:t>
      </w:r>
      <w:r>
        <w:rPr>
          <w:rFonts w:ascii="Times New Roman" w:eastAsia="Times New Roman" w:hAnsi="Times New Roman" w:cs="Times New Roman"/>
          <w:color w:val="000000"/>
          <w:spacing w:val="0"/>
          <w:w w:val="100"/>
          <w:position w:val="0"/>
          <w:sz w:val="18"/>
          <w:szCs w:val="18"/>
        </w:rPr>
        <w:t>2017</w:t>
      </w:r>
      <w:r>
        <w:rPr>
          <w:color w:val="000000"/>
          <w:spacing w:val="0"/>
          <w:w w:val="100"/>
          <w:position w:val="0"/>
        </w:rPr>
        <w:t>年度最具风采</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创享游戏</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大奖，</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War and Order</w:t>
      </w:r>
      <w:r>
        <w:rPr>
          <w:color w:val="000000"/>
          <w:spacing w:val="0"/>
          <w:w w:val="100"/>
          <w:position w:val="0"/>
        </w:rPr>
        <w:t xml:space="preserve">》 </w:t>
      </w:r>
      <w:r>
        <w:rPr>
          <w:color w:val="000000"/>
          <w:spacing w:val="0"/>
          <w:w w:val="100"/>
          <w:position w:val="0"/>
        </w:rPr>
        <w:t>自</w:t>
      </w:r>
      <w:r>
        <w:rPr>
          <w:rFonts w:ascii="Times New Roman" w:eastAsia="Times New Roman" w:hAnsi="Times New Roman" w:cs="Times New Roman"/>
          <w:color w:val="000000"/>
          <w:spacing w:val="0"/>
          <w:w w:val="100"/>
          <w:position w:val="0"/>
          <w:sz w:val="18"/>
          <w:szCs w:val="18"/>
        </w:rPr>
        <w:t>2016</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4</w:t>
      </w:r>
      <w:r>
        <w:rPr>
          <w:color w:val="000000"/>
          <w:spacing w:val="0"/>
          <w:w w:val="100"/>
          <w:position w:val="0"/>
        </w:rPr>
        <w:t>月上线，已进入成熟运营期，</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年全年总流水较</w:t>
      </w:r>
      <w:r>
        <w:rPr>
          <w:rFonts w:ascii="Times New Roman" w:eastAsia="Times New Roman" w:hAnsi="Times New Roman" w:cs="Times New Roman"/>
          <w:color w:val="000000"/>
          <w:spacing w:val="0"/>
          <w:w w:val="100"/>
          <w:position w:val="0"/>
          <w:sz w:val="18"/>
          <w:szCs w:val="18"/>
        </w:rPr>
        <w:t>2019</w:t>
      </w:r>
      <w:r>
        <w:rPr>
          <w:color w:val="000000"/>
          <w:spacing w:val="0"/>
          <w:w w:val="100"/>
          <w:position w:val="0"/>
        </w:rPr>
        <w:t>年有较大幅度增长，体现了强劲的长线经营能力。</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Age of Z Origins</w:t>
      </w:r>
      <w:r>
        <w:rPr>
          <w:color w:val="000000"/>
          <w:spacing w:val="0"/>
          <w:w w:val="100"/>
          <w:position w:val="0"/>
        </w:rPr>
        <w:t>》</w:t>
      </w:r>
      <w:r>
        <w:rPr>
          <w:color w:val="000000"/>
          <w:spacing w:val="0"/>
          <w:w w:val="100"/>
          <w:position w:val="0"/>
        </w:rPr>
        <w:t>继续保持高速增长，现已超过</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War and Order</w:t>
      </w:r>
      <w:r>
        <w:rPr>
          <w:color w:val="000000"/>
          <w:spacing w:val="0"/>
          <w:w w:val="100"/>
          <w:position w:val="0"/>
        </w:rPr>
        <w:t>》</w:t>
      </w:r>
      <w:r>
        <w:rPr>
          <w:color w:val="000000"/>
          <w:spacing w:val="0"/>
          <w:w w:val="100"/>
          <w:position w:val="0"/>
        </w:rPr>
        <w:t>成为公司贡献营业收入最高的游戏产品。</w:t>
      </w:r>
    </w:p>
    <w:p>
      <w:pPr>
        <w:framePr w:w="8328" w:h="1834" w:hSpace="14" w:vSpace="5" w:wrap="notBeside" w:vAnchor="text" w:hAnchor="text" w:x="726" w:y="1"/>
        <w:widowControl w:val="0"/>
        <w:rPr>
          <w:sz w:val="2"/>
          <w:szCs w:val="2"/>
        </w:rPr>
      </w:pPr>
      <w:r>
        <w:drawing>
          <wp:inline>
            <wp:extent cx="5291455" cy="1164590"/>
            <wp:docPr id="159" name="Picutre 159"/>
            <a:graphic xmlns:a="http://schemas.openxmlformats.org/drawingml/2006/main">
              <a:graphicData uri="http://schemas.openxmlformats.org/drawingml/2006/picture">
                <pic:pic xmlns:pic="http://schemas.openxmlformats.org/drawingml/2006/picture">
                  <pic:nvPicPr>
                    <pic:cNvPr id="159" name="Picture 159"/>
                    <pic:cNvPicPr/>
                  </pic:nvPicPr>
                  <pic:blipFill>
                    <a:blip r:embed="rId41"/>
                    <a:stretch/>
                  </pic:blipFill>
                  <pic:spPr>
                    <a:xfrm>
                      <a:ext cx="5291455" cy="1164590"/>
                    </a:xfrm>
                    <a:prstGeom prst="rect"/>
                  </pic:spPr>
                </pic:pic>
              </a:graphicData>
            </a:graphic>
          </wp:inline>
        </w:drawing>
      </w:r>
    </w:p>
    <w:p>
      <w:pPr>
        <w:widowControl w:val="0"/>
        <w:spacing w:line="1" w:lineRule="exact"/>
      </w:pPr>
      <w:r>
        <mc:AlternateContent>
          <mc:Choice Requires="wps">
            <w:drawing>
              <wp:anchor distT="0" distB="0" distL="460375" distR="4986655" simplePos="0" relativeHeight="125829396" behindDoc="0" locked="0" layoutInCell="1" allowOverlap="1">
                <wp:simplePos x="0" y="0"/>
                <wp:positionH relativeFrom="column">
                  <wp:posOffset>475615</wp:posOffset>
                </wp:positionH>
                <wp:positionV relativeFrom="paragraph">
                  <wp:posOffset>1012190</wp:posOffset>
                </wp:positionV>
                <wp:extent cx="770890" cy="155575"/>
                <wp:wrapTopAndBottom/>
                <wp:docPr id="160" name="Shape 160"/>
                <a:graphic xmlns:a="http://schemas.openxmlformats.org/drawingml/2006/main">
                  <a:graphicData uri="http://schemas.microsoft.com/office/word/2010/wordprocessingShape">
                    <wps:wsp>
                      <wps:cNvSpPr txBox="1"/>
                      <wps:spPr>
                        <a:xfrm>
                          <a:ext cx="770890" cy="155575"/>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b/>
                                <w:bCs/>
                                <w:color w:val="575656"/>
                                <w:spacing w:val="0"/>
                                <w:w w:val="100"/>
                                <w:position w:val="0"/>
                                <w:sz w:val="17"/>
                                <w:szCs w:val="17"/>
                              </w:rPr>
                              <w:t>《</w:t>
                            </w:r>
                            <w:r>
                              <w:rPr>
                                <w:rFonts w:ascii="Arial" w:eastAsia="Arial" w:hAnsi="Arial" w:cs="Arial"/>
                                <w:b/>
                                <w:bCs/>
                                <w:color w:val="575656"/>
                                <w:spacing w:val="0"/>
                                <w:w w:val="100"/>
                                <w:position w:val="0"/>
                                <w:sz w:val="16"/>
                                <w:szCs w:val="16"/>
                              </w:rPr>
                              <w:t>Little Empire</w:t>
                            </w:r>
                            <w:r>
                              <w:rPr>
                                <w:rFonts w:ascii="SimSun" w:eastAsia="SimSun" w:hAnsi="SimSun" w:cs="SimSun"/>
                                <w:b/>
                                <w:bCs/>
                                <w:color w:val="575656"/>
                                <w:spacing w:val="0"/>
                                <w:w w:val="100"/>
                                <w:position w:val="0"/>
                                <w:sz w:val="17"/>
                                <w:szCs w:val="17"/>
                              </w:rPr>
                              <w:t>》</w:t>
                            </w:r>
                          </w:p>
                        </w:txbxContent>
                      </wps:txbx>
                      <wps:bodyPr lIns="0" tIns="0" rIns="0" bIns="0">
                        <a:noAutoFit/>
                      </wps:bodyPr>
                    </wps:wsp>
                  </a:graphicData>
                </a:graphic>
              </wp:anchor>
            </w:drawing>
          </mc:Choice>
          <mc:Fallback>
            <w:pict>
              <v:shape id="_x0000_s1186" type="#_x0000_t202" style="position:absolute;margin-left:37.450000000000003pt;margin-top:79.700000000000003pt;width:60.700000000000003pt;height:12.25pt;z-index:-125829357;mso-wrap-distance-left:36.25pt;mso-wrap-distance-right:392.65000000000003pt" filled="f" stroked="f">
                <v:textbox inset="0,0,0,0">
                  <w:txbxContent>
                    <w:p>
                      <w:pPr>
                        <w:pStyle w:val="Style6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b/>
                          <w:bCs/>
                          <w:color w:val="575656"/>
                          <w:spacing w:val="0"/>
                          <w:w w:val="100"/>
                          <w:position w:val="0"/>
                          <w:sz w:val="17"/>
                          <w:szCs w:val="17"/>
                        </w:rPr>
                        <w:t>《</w:t>
                      </w:r>
                      <w:r>
                        <w:rPr>
                          <w:rFonts w:ascii="Arial" w:eastAsia="Arial" w:hAnsi="Arial" w:cs="Arial"/>
                          <w:b/>
                          <w:bCs/>
                          <w:color w:val="575656"/>
                          <w:spacing w:val="0"/>
                          <w:w w:val="100"/>
                          <w:position w:val="0"/>
                          <w:sz w:val="16"/>
                          <w:szCs w:val="16"/>
                        </w:rPr>
                        <w:t>Little Empire</w:t>
                      </w:r>
                      <w:r>
                        <w:rPr>
                          <w:rFonts w:ascii="SimSun" w:eastAsia="SimSun" w:hAnsi="SimSun" w:cs="SimSun"/>
                          <w:b/>
                          <w:bCs/>
                          <w:color w:val="575656"/>
                          <w:spacing w:val="0"/>
                          <w:w w:val="100"/>
                          <w:position w:val="0"/>
                          <w:sz w:val="17"/>
                          <w:szCs w:val="17"/>
                        </w:rPr>
                        <w:t>》</w:t>
                      </w:r>
                    </w:p>
                  </w:txbxContent>
                </v:textbox>
                <w10:wrap type="topAndBottom"/>
              </v:shape>
            </w:pict>
          </mc:Fallback>
        </mc:AlternateContent>
      </w:r>
      <w:r>
        <mc:AlternateContent>
          <mc:Choice Requires="wps">
            <w:drawing>
              <wp:anchor distT="0" distB="0" distL="460375" distR="2245995" simplePos="0" relativeHeight="125829398" behindDoc="0" locked="0" layoutInCell="1" allowOverlap="1">
                <wp:simplePos x="0" y="0"/>
                <wp:positionH relativeFrom="column">
                  <wp:posOffset>2246630</wp:posOffset>
                </wp:positionH>
                <wp:positionV relativeFrom="paragraph">
                  <wp:posOffset>1012190</wp:posOffset>
                </wp:positionV>
                <wp:extent cx="3511550" cy="146050"/>
                <wp:wrapTopAndBottom/>
                <wp:docPr id="162" name="Shape 162"/>
                <a:graphic xmlns:a="http://schemas.openxmlformats.org/drawingml/2006/main">
                  <a:graphicData uri="http://schemas.microsoft.com/office/word/2010/wordprocessingShape">
                    <wps:wsp>
                      <wps:cNvSpPr txBox="1"/>
                      <wps:spPr>
                        <a:xfrm>
                          <a:ext cx="3511550" cy="146050"/>
                        </a:xfrm>
                        <a:prstGeom prst="rect"/>
                        <a:noFill/>
                      </wps:spPr>
                      <wps:txbx>
                        <w:txbxContent>
                          <w:p>
                            <w:pPr>
                              <w:pStyle w:val="Style65"/>
                              <w:keepNext w:val="0"/>
                              <w:keepLines w:val="0"/>
                              <w:widowControl w:val="0"/>
                              <w:shd w:val="clear" w:color="auto" w:fill="auto"/>
                              <w:tabs>
                                <w:tab w:pos="2746" w:val="left"/>
                              </w:tabs>
                              <w:bidi w:val="0"/>
                              <w:spacing w:before="0" w:after="0" w:line="240" w:lineRule="auto"/>
                              <w:ind w:left="0" w:right="0" w:firstLine="0"/>
                              <w:jc w:val="left"/>
                              <w:rPr>
                                <w:sz w:val="17"/>
                                <w:szCs w:val="17"/>
                              </w:rPr>
                            </w:pPr>
                            <w:r>
                              <w:rPr>
                                <w:rFonts w:ascii="SimSun" w:eastAsia="SimSun" w:hAnsi="SimSun" w:cs="SimSun"/>
                                <w:b/>
                                <w:bCs/>
                                <w:spacing w:val="0"/>
                                <w:w w:val="100"/>
                                <w:position w:val="0"/>
                                <w:sz w:val="17"/>
                                <w:szCs w:val="17"/>
                              </w:rPr>
                              <w:t>《</w:t>
                            </w:r>
                            <w:r>
                              <w:rPr>
                                <w:rFonts w:ascii="Arial" w:eastAsia="Arial" w:hAnsi="Arial" w:cs="Arial"/>
                                <w:b/>
                                <w:bCs/>
                                <w:spacing w:val="0"/>
                                <w:w w:val="100"/>
                                <w:position w:val="0"/>
                                <w:sz w:val="16"/>
                                <w:szCs w:val="16"/>
                              </w:rPr>
                              <w:t>Titan Throne</w:t>
                            </w:r>
                            <w:r>
                              <w:rPr>
                                <w:rFonts w:ascii="SimSun" w:eastAsia="SimSun" w:hAnsi="SimSun" w:cs="SimSun"/>
                                <w:b/>
                                <w:bCs/>
                                <w:spacing w:val="0"/>
                                <w:w w:val="100"/>
                                <w:position w:val="0"/>
                                <w:sz w:val="17"/>
                                <w:szCs w:val="17"/>
                              </w:rPr>
                              <w:t>》</w:t>
                            </w:r>
                            <w:r>
                              <w:rPr>
                                <w:rFonts w:ascii="Times New Roman" w:eastAsia="Times New Roman" w:hAnsi="Times New Roman" w:cs="Times New Roman"/>
                                <w:color w:val="EBBE24"/>
                                <w:spacing w:val="0"/>
                                <w:w w:val="100"/>
                                <w:position w:val="0"/>
                                <w:sz w:val="16"/>
                                <w:szCs w:val="16"/>
                              </w:rPr>
                              <w:t>?Age of Z G</w:t>
                              <w:tab/>
                            </w:r>
                            <w:r>
                              <w:rPr>
                                <w:rFonts w:ascii="SimSun" w:eastAsia="SimSun" w:hAnsi="SimSun" w:cs="SimSun"/>
                                <w:b/>
                                <w:bCs/>
                                <w:spacing w:val="0"/>
                                <w:w w:val="100"/>
                                <w:position w:val="0"/>
                                <w:sz w:val="17"/>
                                <w:szCs w:val="17"/>
                              </w:rPr>
                              <w:t>《</w:t>
                            </w:r>
                            <w:r>
                              <w:rPr>
                                <w:rFonts w:ascii="Arial" w:eastAsia="Arial" w:hAnsi="Arial" w:cs="Arial"/>
                                <w:b/>
                                <w:bCs/>
                                <w:spacing w:val="0"/>
                                <w:w w:val="100"/>
                                <w:position w:val="0"/>
                                <w:sz w:val="16"/>
                                <w:szCs w:val="16"/>
                              </w:rPr>
                              <w:t>War of Destiny</w:t>
                            </w:r>
                            <w:r>
                              <w:rPr>
                                <w:rFonts w:ascii="SimSun" w:eastAsia="SimSun" w:hAnsi="SimSun" w:cs="SimSun"/>
                                <w:b/>
                                <w:bCs/>
                                <w:spacing w:val="0"/>
                                <w:w w:val="100"/>
                                <w:position w:val="0"/>
                                <w:sz w:val="17"/>
                                <w:szCs w:val="17"/>
                              </w:rPr>
                              <w:t>》</w:t>
                            </w:r>
                            <w:r>
                              <w:rPr>
                                <w:rFonts w:ascii="SimSun" w:eastAsia="SimSun" w:hAnsi="SimSun" w:cs="SimSun"/>
                                <w:b/>
                                <w:bCs/>
                                <w:color w:val="383636"/>
                                <w:spacing w:val="0"/>
                                <w:w w:val="100"/>
                                <w:position w:val="0"/>
                                <w:sz w:val="17"/>
                                <w:szCs w:val="17"/>
                              </w:rPr>
                              <w:t>《</w:t>
                            </w:r>
                            <w:r>
                              <w:rPr>
                                <w:rFonts w:ascii="Arial" w:eastAsia="Arial" w:hAnsi="Arial" w:cs="Arial"/>
                                <w:b/>
                                <w:bCs/>
                                <w:color w:val="383636"/>
                                <w:spacing w:val="0"/>
                                <w:w w:val="100"/>
                                <w:position w:val="0"/>
                                <w:sz w:val="16"/>
                                <w:szCs w:val="16"/>
                              </w:rPr>
                              <w:t>Infinite Galaxy</w:t>
                            </w:r>
                            <w:r>
                              <w:rPr>
                                <w:rFonts w:ascii="SimSun" w:eastAsia="SimSun" w:hAnsi="SimSun" w:cs="SimSun"/>
                                <w:b/>
                                <w:bCs/>
                                <w:color w:val="383636"/>
                                <w:spacing w:val="0"/>
                                <w:w w:val="100"/>
                                <w:position w:val="0"/>
                                <w:sz w:val="17"/>
                                <w:szCs w:val="17"/>
                              </w:rPr>
                              <w:t>》</w:t>
                            </w:r>
                          </w:p>
                        </w:txbxContent>
                      </wps:txbx>
                      <wps:bodyPr lIns="0" tIns="0" rIns="0" bIns="0">
                        <a:noAutoFit/>
                      </wps:bodyPr>
                    </wps:wsp>
                  </a:graphicData>
                </a:graphic>
              </wp:anchor>
            </w:drawing>
          </mc:Choice>
          <mc:Fallback>
            <w:pict>
              <v:shape id="_x0000_s1188" type="#_x0000_t202" style="position:absolute;margin-left:176.90000000000001pt;margin-top:79.700000000000003pt;width:276.5pt;height:11.5pt;z-index:-125829355;mso-wrap-distance-left:36.25pt;mso-wrap-distance-right:176.84999999999999pt" filled="f" stroked="f">
                <v:textbox inset="0,0,0,0">
                  <w:txbxContent>
                    <w:p>
                      <w:pPr>
                        <w:pStyle w:val="Style65"/>
                        <w:keepNext w:val="0"/>
                        <w:keepLines w:val="0"/>
                        <w:widowControl w:val="0"/>
                        <w:shd w:val="clear" w:color="auto" w:fill="auto"/>
                        <w:tabs>
                          <w:tab w:pos="2746" w:val="left"/>
                        </w:tabs>
                        <w:bidi w:val="0"/>
                        <w:spacing w:before="0" w:after="0" w:line="240" w:lineRule="auto"/>
                        <w:ind w:left="0" w:right="0" w:firstLine="0"/>
                        <w:jc w:val="left"/>
                        <w:rPr>
                          <w:sz w:val="17"/>
                          <w:szCs w:val="17"/>
                        </w:rPr>
                      </w:pPr>
                      <w:r>
                        <w:rPr>
                          <w:rFonts w:ascii="SimSun" w:eastAsia="SimSun" w:hAnsi="SimSun" w:cs="SimSun"/>
                          <w:b/>
                          <w:bCs/>
                          <w:spacing w:val="0"/>
                          <w:w w:val="100"/>
                          <w:position w:val="0"/>
                          <w:sz w:val="17"/>
                          <w:szCs w:val="17"/>
                        </w:rPr>
                        <w:t>《</w:t>
                      </w:r>
                      <w:r>
                        <w:rPr>
                          <w:rFonts w:ascii="Arial" w:eastAsia="Arial" w:hAnsi="Arial" w:cs="Arial"/>
                          <w:b/>
                          <w:bCs/>
                          <w:spacing w:val="0"/>
                          <w:w w:val="100"/>
                          <w:position w:val="0"/>
                          <w:sz w:val="16"/>
                          <w:szCs w:val="16"/>
                        </w:rPr>
                        <w:t>Titan Throne</w:t>
                      </w:r>
                      <w:r>
                        <w:rPr>
                          <w:rFonts w:ascii="SimSun" w:eastAsia="SimSun" w:hAnsi="SimSun" w:cs="SimSun"/>
                          <w:b/>
                          <w:bCs/>
                          <w:spacing w:val="0"/>
                          <w:w w:val="100"/>
                          <w:position w:val="0"/>
                          <w:sz w:val="17"/>
                          <w:szCs w:val="17"/>
                        </w:rPr>
                        <w:t>》</w:t>
                      </w:r>
                      <w:r>
                        <w:rPr>
                          <w:rFonts w:ascii="Times New Roman" w:eastAsia="Times New Roman" w:hAnsi="Times New Roman" w:cs="Times New Roman"/>
                          <w:color w:val="EBBE24"/>
                          <w:spacing w:val="0"/>
                          <w:w w:val="100"/>
                          <w:position w:val="0"/>
                          <w:sz w:val="16"/>
                          <w:szCs w:val="16"/>
                        </w:rPr>
                        <w:t>?Age of Z G</w:t>
                        <w:tab/>
                      </w:r>
                      <w:r>
                        <w:rPr>
                          <w:rFonts w:ascii="SimSun" w:eastAsia="SimSun" w:hAnsi="SimSun" w:cs="SimSun"/>
                          <w:b/>
                          <w:bCs/>
                          <w:spacing w:val="0"/>
                          <w:w w:val="100"/>
                          <w:position w:val="0"/>
                          <w:sz w:val="17"/>
                          <w:szCs w:val="17"/>
                        </w:rPr>
                        <w:t>《</w:t>
                      </w:r>
                      <w:r>
                        <w:rPr>
                          <w:rFonts w:ascii="Arial" w:eastAsia="Arial" w:hAnsi="Arial" w:cs="Arial"/>
                          <w:b/>
                          <w:bCs/>
                          <w:spacing w:val="0"/>
                          <w:w w:val="100"/>
                          <w:position w:val="0"/>
                          <w:sz w:val="16"/>
                          <w:szCs w:val="16"/>
                        </w:rPr>
                        <w:t>War of Destiny</w:t>
                      </w:r>
                      <w:r>
                        <w:rPr>
                          <w:rFonts w:ascii="SimSun" w:eastAsia="SimSun" w:hAnsi="SimSun" w:cs="SimSun"/>
                          <w:b/>
                          <w:bCs/>
                          <w:spacing w:val="0"/>
                          <w:w w:val="100"/>
                          <w:position w:val="0"/>
                          <w:sz w:val="17"/>
                          <w:szCs w:val="17"/>
                        </w:rPr>
                        <w:t>》</w:t>
                      </w:r>
                      <w:r>
                        <w:rPr>
                          <w:rFonts w:ascii="SimSun" w:eastAsia="SimSun" w:hAnsi="SimSun" w:cs="SimSun"/>
                          <w:b/>
                          <w:bCs/>
                          <w:color w:val="383636"/>
                          <w:spacing w:val="0"/>
                          <w:w w:val="100"/>
                          <w:position w:val="0"/>
                          <w:sz w:val="17"/>
                          <w:szCs w:val="17"/>
                        </w:rPr>
                        <w:t>《</w:t>
                      </w:r>
                      <w:r>
                        <w:rPr>
                          <w:rFonts w:ascii="Arial" w:eastAsia="Arial" w:hAnsi="Arial" w:cs="Arial"/>
                          <w:b/>
                          <w:bCs/>
                          <w:color w:val="383636"/>
                          <w:spacing w:val="0"/>
                          <w:w w:val="100"/>
                          <w:position w:val="0"/>
                          <w:sz w:val="16"/>
                          <w:szCs w:val="16"/>
                        </w:rPr>
                        <w:t>Infinite Galaxy</w:t>
                      </w:r>
                      <w:r>
                        <w:rPr>
                          <w:rFonts w:ascii="SimSun" w:eastAsia="SimSun" w:hAnsi="SimSun" w:cs="SimSun"/>
                          <w:b/>
                          <w:bCs/>
                          <w:color w:val="383636"/>
                          <w:spacing w:val="0"/>
                          <w:w w:val="100"/>
                          <w:position w:val="0"/>
                          <w:sz w:val="17"/>
                          <w:szCs w:val="17"/>
                        </w:rPr>
                        <w:t>》</w:t>
                      </w:r>
                    </w:p>
                  </w:txbxContent>
                </v:textbox>
                <w10:wrap type="topAndBottom"/>
              </v:shape>
            </w:pict>
          </mc:Fallback>
        </mc:AlternateContent>
      </w:r>
    </w:p>
    <w:p>
      <w:pPr>
        <w:pStyle w:val="Style41"/>
        <w:keepNext w:val="0"/>
        <w:keepLines w:val="0"/>
        <w:widowControl w:val="0"/>
        <w:shd w:val="clear" w:color="auto" w:fill="auto"/>
        <w:bidi w:val="0"/>
        <w:spacing w:before="0" w:after="260" w:line="466" w:lineRule="exact"/>
        <w:ind w:left="0" w:right="0" w:firstLine="0"/>
        <w:jc w:val="center"/>
      </w:pPr>
      <w:r>
        <w:rPr>
          <w:b/>
          <w:bCs/>
          <w:color w:val="000000"/>
          <w:spacing w:val="0"/>
          <w:w w:val="100"/>
          <w:position w:val="0"/>
        </w:rPr>
        <w:t>（公司主要游戏产品）</w:t>
      </w:r>
    </w:p>
    <w:p>
      <w:pPr>
        <w:pStyle w:val="Style58"/>
        <w:keepNext/>
        <w:keepLines/>
        <w:widowControl w:val="0"/>
        <w:shd w:val="clear" w:color="auto" w:fill="auto"/>
        <w:bidi w:val="0"/>
        <w:spacing w:before="0" w:after="0" w:line="540" w:lineRule="auto"/>
        <w:ind w:left="0" w:right="0"/>
        <w:jc w:val="both"/>
      </w:pPr>
      <w:bookmarkStart w:id="80" w:name="bookmark80"/>
      <w:bookmarkStart w:id="81" w:name="bookmark81"/>
      <w:bookmarkStart w:id="82" w:name="bookmark82"/>
      <w:r>
        <w:rPr>
          <w:rFonts w:ascii="Times New Roman" w:eastAsia="Times New Roman" w:hAnsi="Times New Roman" w:cs="Times New Roman"/>
          <w:b/>
          <w:bCs/>
          <w:color w:val="000000"/>
          <w:spacing w:val="0"/>
          <w:w w:val="100"/>
          <w:position w:val="0"/>
          <w:sz w:val="18"/>
          <w:szCs w:val="18"/>
        </w:rPr>
        <w:t>2.2</w:t>
      </w:r>
      <w:r>
        <w:rPr>
          <w:b/>
          <w:bCs/>
          <w:color w:val="000000"/>
          <w:spacing w:val="0"/>
          <w:w w:val="100"/>
          <w:position w:val="0"/>
        </w:rPr>
        <w:t>核心的竞争优势</w:t>
      </w:r>
      <w:bookmarkEnd w:id="80"/>
      <w:bookmarkEnd w:id="81"/>
      <w:bookmarkEnd w:id="82"/>
    </w:p>
    <w:p>
      <w:pPr>
        <w:pStyle w:val="Style58"/>
        <w:keepNext/>
        <w:keepLines/>
        <w:widowControl w:val="0"/>
        <w:shd w:val="clear" w:color="auto" w:fill="auto"/>
        <w:tabs>
          <w:tab w:pos="747" w:val="left"/>
        </w:tabs>
        <w:bidi w:val="0"/>
        <w:spacing w:before="0" w:after="0" w:line="466" w:lineRule="exact"/>
        <w:ind w:left="0" w:right="0"/>
        <w:jc w:val="both"/>
      </w:pPr>
      <w:bookmarkStart w:id="80" w:name="bookmark80"/>
      <w:bookmarkStart w:id="81" w:name="bookmark81"/>
      <w:bookmarkStart w:id="83" w:name="bookmark83"/>
      <w:r>
        <w:rPr>
          <w:rFonts w:ascii="Times New Roman" w:eastAsia="Times New Roman" w:hAnsi="Times New Roman" w:cs="Times New Roman"/>
          <w:b/>
          <w:bCs/>
          <w:color w:val="000000"/>
          <w:spacing w:val="0"/>
          <w:w w:val="100"/>
          <w:position w:val="0"/>
          <w:sz w:val="18"/>
          <w:szCs w:val="18"/>
        </w:rPr>
        <w:t>A</w:t>
      </w:r>
      <w:bookmarkEnd w:id="83"/>
      <w:r>
        <w:rPr>
          <w:b/>
          <w:bCs/>
          <w:color w:val="000000"/>
          <w:spacing w:val="0"/>
          <w:w w:val="100"/>
          <w:position w:val="0"/>
        </w:rPr>
        <w:t>、</w:t>
        <w:tab/>
      </w:r>
      <w:r>
        <w:rPr>
          <w:b/>
          <w:bCs/>
          <w:color w:val="000000"/>
          <w:spacing w:val="0"/>
          <w:w w:val="100"/>
          <w:position w:val="0"/>
        </w:rPr>
        <w:t>实力雄厚的研发团队</w:t>
      </w:r>
      <w:bookmarkEnd w:id="80"/>
      <w:bookmarkEnd w:id="81"/>
    </w:p>
    <w:p>
      <w:pPr>
        <w:pStyle w:val="Style41"/>
        <w:keepNext w:val="0"/>
        <w:keepLines w:val="0"/>
        <w:widowControl w:val="0"/>
        <w:shd w:val="clear" w:color="auto" w:fill="auto"/>
        <w:bidi w:val="0"/>
        <w:spacing w:before="0" w:after="0" w:line="466" w:lineRule="exact"/>
        <w:ind w:left="0" w:right="0"/>
        <w:jc w:val="both"/>
      </w:pPr>
      <w:r>
        <w:rPr>
          <w:color w:val="000000"/>
          <w:spacing w:val="0"/>
          <w:w w:val="100"/>
          <w:position w:val="0"/>
        </w:rPr>
        <w:t>公司自成立以来，一直专注于</w:t>
      </w:r>
      <w:r>
        <w:rPr>
          <w:rFonts w:ascii="Times New Roman" w:eastAsia="Times New Roman" w:hAnsi="Times New Roman" w:cs="Times New Roman"/>
          <w:color w:val="000000"/>
          <w:spacing w:val="0"/>
          <w:w w:val="100"/>
          <w:position w:val="0"/>
          <w:sz w:val="18"/>
          <w:szCs w:val="18"/>
        </w:rPr>
        <w:t>Android</w:t>
      </w:r>
      <w:r>
        <w:rPr>
          <w:color w:val="000000"/>
          <w:spacing w:val="0"/>
          <w:w w:val="100"/>
          <w:position w:val="0"/>
        </w:rPr>
        <w:t>及</w:t>
      </w:r>
      <w:r>
        <w:rPr>
          <w:rFonts w:ascii="Times New Roman" w:eastAsia="Times New Roman" w:hAnsi="Times New Roman" w:cs="Times New Roman"/>
          <w:color w:val="000000"/>
          <w:spacing w:val="0"/>
          <w:w w:val="100"/>
          <w:position w:val="0"/>
          <w:sz w:val="18"/>
          <w:szCs w:val="18"/>
        </w:rPr>
        <w:t>iOS</w:t>
      </w:r>
      <w:r>
        <w:rPr>
          <w:color w:val="000000"/>
          <w:spacing w:val="0"/>
          <w:w w:val="100"/>
          <w:position w:val="0"/>
        </w:rPr>
        <w:t>平台的高质量游戏研发和运营，已积累了一支拥有专业手机游戏开发经验 的研发团队。公司坚持打造精英化研发团队，核心成员多毕业于知名高校，具有十年以上的游戏行业从业经验。公司研发团 队于</w:t>
      </w:r>
      <w:r>
        <w:rPr>
          <w:rFonts w:ascii="Times New Roman" w:eastAsia="Times New Roman" w:hAnsi="Times New Roman" w:cs="Times New Roman"/>
          <w:color w:val="000000"/>
          <w:spacing w:val="0"/>
          <w:w w:val="100"/>
          <w:position w:val="0"/>
          <w:sz w:val="18"/>
          <w:szCs w:val="18"/>
        </w:rPr>
        <w:t>2011</w:t>
      </w:r>
      <w:r>
        <w:rPr>
          <w:color w:val="000000"/>
          <w:spacing w:val="0"/>
          <w:w w:val="100"/>
          <w:position w:val="0"/>
        </w:rPr>
        <w:t>年获得</w:t>
      </w:r>
      <w:r>
        <w:rPr>
          <w:rFonts w:ascii="Times New Roman" w:eastAsia="Times New Roman" w:hAnsi="Times New Roman" w:cs="Times New Roman"/>
          <w:color w:val="000000"/>
          <w:spacing w:val="0"/>
          <w:w w:val="100"/>
          <w:position w:val="0"/>
          <w:sz w:val="18"/>
          <w:szCs w:val="18"/>
        </w:rPr>
        <w:t>Google</w:t>
      </w:r>
      <w:r>
        <w:rPr>
          <w:color w:val="000000"/>
          <w:spacing w:val="0"/>
          <w:w w:val="100"/>
          <w:position w:val="0"/>
        </w:rPr>
        <w:t>官方颁布的</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顶级开发者</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认证。</w:t>
      </w:r>
    </w:p>
    <w:p>
      <w:pPr>
        <w:pStyle w:val="Style41"/>
        <w:keepNext w:val="0"/>
        <w:keepLines w:val="0"/>
        <w:widowControl w:val="0"/>
        <w:shd w:val="clear" w:color="auto" w:fill="auto"/>
        <w:bidi w:val="0"/>
        <w:spacing w:before="0" w:after="260" w:line="466" w:lineRule="exact"/>
        <w:ind w:left="0" w:right="0"/>
        <w:jc w:val="both"/>
      </w:pPr>
      <w:r>
        <w:rPr>
          <w:color w:val="000000"/>
          <w:spacing w:val="0"/>
          <w:w w:val="100"/>
          <w:position w:val="0"/>
        </w:rPr>
        <w:t>研发团队历经了单机游戏到联网游戏，</w:t>
      </w:r>
      <w:r>
        <w:rPr>
          <w:rFonts w:ascii="Times New Roman" w:eastAsia="Times New Roman" w:hAnsi="Times New Roman" w:cs="Times New Roman"/>
          <w:color w:val="000000"/>
          <w:spacing w:val="0"/>
          <w:w w:val="100"/>
          <w:position w:val="0"/>
          <w:sz w:val="18"/>
          <w:szCs w:val="18"/>
        </w:rPr>
        <w:t>2D</w:t>
      </w:r>
      <w:r>
        <w:rPr>
          <w:color w:val="000000"/>
          <w:spacing w:val="0"/>
          <w:w w:val="100"/>
          <w:position w:val="0"/>
        </w:rPr>
        <w:t>游戏到</w:t>
      </w:r>
      <w:r>
        <w:rPr>
          <w:rFonts w:ascii="Times New Roman" w:eastAsia="Times New Roman" w:hAnsi="Times New Roman" w:cs="Times New Roman"/>
          <w:color w:val="000000"/>
          <w:spacing w:val="0"/>
          <w:w w:val="100"/>
          <w:position w:val="0"/>
          <w:sz w:val="18"/>
          <w:szCs w:val="18"/>
        </w:rPr>
        <w:t>3D</w:t>
      </w:r>
      <w:r>
        <w:rPr>
          <w:color w:val="000000"/>
          <w:spacing w:val="0"/>
          <w:w w:val="100"/>
          <w:position w:val="0"/>
        </w:rPr>
        <w:t>游戏，自研引擎到商业化引擎等多个维度方面的更迭。在这期间 打下了深厚的技术基础，沉淀了久经考验的成熟商业化技术框架，在不同阶段项目研发中发挥了有力的支撑作用，为项目开 发中避免弯路、快速复用、商业稳定化打下坚实的基础。</w:t>
      </w:r>
    </w:p>
    <w:p>
      <w:pPr>
        <w:pStyle w:val="Style41"/>
        <w:keepNext w:val="0"/>
        <w:keepLines w:val="0"/>
        <w:widowControl w:val="0"/>
        <w:shd w:val="clear" w:color="auto" w:fill="auto"/>
        <w:tabs>
          <w:tab w:pos="747" w:val="left"/>
        </w:tabs>
        <w:bidi w:val="0"/>
        <w:spacing w:before="0" w:after="0" w:line="540" w:lineRule="auto"/>
        <w:ind w:left="0" w:right="0"/>
        <w:jc w:val="both"/>
      </w:pPr>
      <w:bookmarkStart w:id="84" w:name="bookmark84"/>
      <w:r>
        <w:rPr>
          <w:rFonts w:ascii="Times New Roman" w:eastAsia="Times New Roman" w:hAnsi="Times New Roman" w:cs="Times New Roman"/>
          <w:b/>
          <w:bCs/>
          <w:color w:val="000000"/>
          <w:spacing w:val="0"/>
          <w:w w:val="100"/>
          <w:position w:val="0"/>
          <w:sz w:val="18"/>
          <w:szCs w:val="18"/>
        </w:rPr>
        <w:t>B</w:t>
      </w:r>
      <w:bookmarkEnd w:id="84"/>
      <w:r>
        <w:rPr>
          <w:b/>
          <w:bCs/>
          <w:color w:val="000000"/>
          <w:spacing w:val="0"/>
          <w:w w:val="100"/>
          <w:position w:val="0"/>
        </w:rPr>
        <w:t>、</w:t>
        <w:tab/>
      </w:r>
      <w:r>
        <w:rPr>
          <w:b/>
          <w:bCs/>
          <w:color w:val="000000"/>
          <w:spacing w:val="0"/>
          <w:w w:val="100"/>
          <w:position w:val="0"/>
        </w:rPr>
        <w:t>高度的专注能力</w:t>
      </w:r>
    </w:p>
    <w:p>
      <w:pPr>
        <w:pStyle w:val="Style41"/>
        <w:keepNext w:val="0"/>
        <w:keepLines w:val="0"/>
        <w:widowControl w:val="0"/>
        <w:shd w:val="clear" w:color="auto" w:fill="auto"/>
        <w:bidi w:val="0"/>
        <w:spacing w:before="0" w:after="0" w:line="466" w:lineRule="exact"/>
        <w:ind w:left="0" w:right="0"/>
        <w:jc w:val="both"/>
      </w:pPr>
      <w:r>
        <w:rPr>
          <w:color w:val="000000"/>
          <w:spacing w:val="0"/>
          <w:w w:val="100"/>
          <w:position w:val="0"/>
        </w:rPr>
        <w:t>公司手机游戏研发团队主要致力于打造精品重度游戏，从推出《小小帝国》开始，就专注于海外市场</w:t>
      </w:r>
      <w:r>
        <w:rPr>
          <w:rFonts w:ascii="Times New Roman" w:eastAsia="Times New Roman" w:hAnsi="Times New Roman" w:cs="Times New Roman"/>
          <w:color w:val="000000"/>
          <w:spacing w:val="0"/>
          <w:w w:val="100"/>
          <w:position w:val="0"/>
          <w:sz w:val="18"/>
          <w:szCs w:val="18"/>
        </w:rPr>
        <w:t>SLG</w:t>
      </w:r>
      <w:r>
        <w:rPr>
          <w:color w:val="000000"/>
          <w:spacing w:val="0"/>
          <w:w w:val="100"/>
          <w:position w:val="0"/>
        </w:rPr>
        <w:t>类游戏，深 入研究海外</w:t>
      </w:r>
      <w:r>
        <w:rPr>
          <w:rFonts w:ascii="Times New Roman" w:eastAsia="Times New Roman" w:hAnsi="Times New Roman" w:cs="Times New Roman"/>
          <w:color w:val="000000"/>
          <w:spacing w:val="0"/>
          <w:w w:val="100"/>
          <w:position w:val="0"/>
          <w:sz w:val="18"/>
          <w:szCs w:val="18"/>
        </w:rPr>
        <w:t>SLG</w:t>
      </w:r>
      <w:r>
        <w:rPr>
          <w:color w:val="000000"/>
          <w:spacing w:val="0"/>
          <w:w w:val="100"/>
          <w:position w:val="0"/>
        </w:rPr>
        <w:t>类用户的喜好和特点，积累了丰富的海外</w:t>
      </w:r>
      <w:r>
        <w:rPr>
          <w:rFonts w:ascii="Times New Roman" w:eastAsia="Times New Roman" w:hAnsi="Times New Roman" w:cs="Times New Roman"/>
          <w:color w:val="000000"/>
          <w:spacing w:val="0"/>
          <w:w w:val="100"/>
          <w:position w:val="0"/>
          <w:sz w:val="18"/>
          <w:szCs w:val="18"/>
        </w:rPr>
        <w:t>SLG</w:t>
      </w:r>
      <w:r>
        <w:rPr>
          <w:color w:val="000000"/>
          <w:spacing w:val="0"/>
          <w:w w:val="100"/>
          <w:position w:val="0"/>
        </w:rPr>
        <w:t>游戏研发和运营经验。在第三方移动应用数据分析平台</w:t>
      </w:r>
      <w:r>
        <w:rPr>
          <w:rFonts w:ascii="Times New Roman" w:eastAsia="Times New Roman" w:hAnsi="Times New Roman" w:cs="Times New Roman"/>
          <w:color w:val="000000"/>
          <w:spacing w:val="0"/>
          <w:w w:val="100"/>
          <w:position w:val="0"/>
          <w:sz w:val="18"/>
          <w:szCs w:val="18"/>
        </w:rPr>
        <w:t>App Annie</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Sensor Tower</w:t>
      </w:r>
      <w:r>
        <w:rPr>
          <w:color w:val="000000"/>
          <w:spacing w:val="0"/>
          <w:w w:val="100"/>
          <w:position w:val="0"/>
        </w:rPr>
        <w:t>发布的国内手游公司海外市场收入排名的</w:t>
      </w:r>
      <w:r>
        <w:rPr>
          <w:rFonts w:ascii="Times New Roman" w:eastAsia="Times New Roman" w:hAnsi="Times New Roman" w:cs="Times New Roman"/>
          <w:color w:val="000000"/>
          <w:spacing w:val="0"/>
          <w:w w:val="100"/>
          <w:position w:val="0"/>
          <w:sz w:val="18"/>
          <w:szCs w:val="18"/>
        </w:rPr>
        <w:t>30</w:t>
      </w:r>
      <w:r>
        <w:rPr>
          <w:color w:val="000000"/>
          <w:spacing w:val="0"/>
          <w:w w:val="100"/>
          <w:position w:val="0"/>
        </w:rPr>
        <w:t>强榜单中占有一席之地。</w:t>
      </w:r>
    </w:p>
    <w:p>
      <w:pPr>
        <w:pStyle w:val="Style41"/>
        <w:keepNext w:val="0"/>
        <w:keepLines w:val="0"/>
        <w:widowControl w:val="0"/>
        <w:shd w:val="clear" w:color="auto" w:fill="auto"/>
        <w:bidi w:val="0"/>
        <w:spacing w:before="0" w:after="460" w:line="466" w:lineRule="exact"/>
        <w:ind w:left="0" w:right="0"/>
        <w:jc w:val="both"/>
      </w:pPr>
      <w:r>
        <w:rPr>
          <w:color w:val="000000"/>
          <w:spacing w:val="0"/>
          <w:w w:val="100"/>
          <w:position w:val="0"/>
        </w:rPr>
        <w:t>公司基于多年的手机游戏开发经验，已拥有一套成熟且优秀的游戏开发体系，可保障游戏产品在各个环节的研发质量。 同时，经过多款游戏长期以来的运营经验积累，公司游戏运营团队对玩家的游戏心理有着较强的分析和运营能力。游戏开发 体系和专业的运营管理团队可有效的提升玩家付费意愿、延长游戏生命周期，为公司游戏业务发展提供有力的保障。</w:t>
      </w:r>
    </w:p>
    <w:p>
      <w:pPr>
        <w:pStyle w:val="Style47"/>
        <w:keepNext/>
        <w:keepLines/>
        <w:widowControl w:val="0"/>
        <w:shd w:val="clear" w:color="auto" w:fill="auto"/>
        <w:bidi w:val="0"/>
        <w:spacing w:before="0" w:after="0" w:line="480" w:lineRule="exact"/>
        <w:ind w:left="0" w:right="0" w:firstLine="380"/>
        <w:jc w:val="both"/>
      </w:pPr>
      <w:bookmarkStart w:id="85" w:name="bookmark85"/>
      <w:bookmarkStart w:id="86" w:name="bookmark86"/>
      <w:bookmarkStart w:id="87" w:name="bookmark87"/>
      <w:bookmarkStart w:id="88" w:name="bookmark88"/>
      <w:r>
        <w:rPr>
          <w:rFonts w:ascii="Times New Roman" w:eastAsia="Times New Roman" w:hAnsi="Times New Roman" w:cs="Times New Roman"/>
          <w:color w:val="000000"/>
          <w:spacing w:val="0"/>
          <w:w w:val="100"/>
          <w:position w:val="0"/>
        </w:rPr>
        <w:t>3</w:t>
      </w:r>
      <w:bookmarkEnd w:id="87"/>
      <w:r>
        <w:rPr>
          <w:color w:val="000000"/>
          <w:spacing w:val="0"/>
          <w:w w:val="100"/>
          <w:position w:val="0"/>
        </w:rPr>
        <w:t>、物联网</w:t>
      </w:r>
      <w:r>
        <w:rPr>
          <w:rFonts w:ascii="Times New Roman" w:eastAsia="Times New Roman" w:hAnsi="Times New Roman" w:cs="Times New Roman"/>
          <w:color w:val="000000"/>
          <w:spacing w:val="0"/>
          <w:w w:val="100"/>
          <w:position w:val="0"/>
        </w:rPr>
        <w:t>/</w:t>
      </w:r>
      <w:r>
        <w:rPr>
          <w:color w:val="000000"/>
          <w:spacing w:val="0"/>
          <w:w w:val="100"/>
          <w:position w:val="0"/>
        </w:rPr>
        <w:t>通讯业务板块</w:t>
      </w:r>
      <w:bookmarkEnd w:id="85"/>
      <w:bookmarkEnd w:id="86"/>
      <w:bookmarkEnd w:id="88"/>
    </w:p>
    <w:p>
      <w:pPr>
        <w:pStyle w:val="Style41"/>
        <w:keepNext w:val="0"/>
        <w:keepLines w:val="0"/>
        <w:widowControl w:val="0"/>
        <w:shd w:val="clear" w:color="auto" w:fill="auto"/>
        <w:bidi w:val="0"/>
        <w:spacing w:before="0" w:after="0" w:line="480" w:lineRule="exact"/>
        <w:ind w:left="0" w:right="0"/>
        <w:jc w:val="both"/>
      </w:pPr>
      <w:r>
        <w:rPr>
          <w:color w:val="000000"/>
          <w:spacing w:val="0"/>
          <w:w w:val="100"/>
          <w:position w:val="0"/>
        </w:rPr>
        <w:t>物联网</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Internet of Things</w:t>
      </w:r>
      <w:r>
        <w:rPr>
          <w:color w:val="000000"/>
          <w:spacing w:val="0"/>
          <w:w w:val="100"/>
          <w:position w:val="0"/>
        </w:rPr>
        <w:t>，</w:t>
      </w:r>
      <w:r>
        <w:rPr>
          <w:color w:val="000000"/>
          <w:spacing w:val="0"/>
          <w:w w:val="100"/>
          <w:position w:val="0"/>
        </w:rPr>
        <w:t>简称</w:t>
      </w:r>
      <w:r>
        <w:rPr>
          <w:rFonts w:ascii="Times New Roman" w:eastAsia="Times New Roman" w:hAnsi="Times New Roman" w:cs="Times New Roman"/>
          <w:color w:val="000000"/>
          <w:spacing w:val="0"/>
          <w:w w:val="100"/>
          <w:position w:val="0"/>
          <w:sz w:val="18"/>
          <w:szCs w:val="18"/>
        </w:rPr>
        <w:t>IoT</w:t>
      </w:r>
      <w:r>
        <w:rPr>
          <w:color w:val="000000"/>
          <w:spacing w:val="0"/>
          <w:w w:val="100"/>
          <w:position w:val="0"/>
        </w:rPr>
        <w:t>），</w:t>
      </w:r>
      <w:r>
        <w:rPr>
          <w:color w:val="000000"/>
          <w:spacing w:val="0"/>
          <w:w w:val="100"/>
          <w:position w:val="0"/>
        </w:rPr>
        <w:t>是新一代信息科技的重要组成部分，是继计算机、互联网之后世界信息发展的 第三次浪潮，也可通俗理解为</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物与物相连的互联网</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p>
      <w:pPr>
        <w:pStyle w:val="Style41"/>
        <w:keepNext w:val="0"/>
        <w:keepLines w:val="0"/>
        <w:widowControl w:val="0"/>
        <w:shd w:val="clear" w:color="auto" w:fill="auto"/>
        <w:bidi w:val="0"/>
        <w:spacing w:before="0" w:after="200" w:line="480" w:lineRule="exact"/>
        <w:ind w:left="0" w:right="0"/>
        <w:jc w:val="both"/>
      </w:pPr>
      <w:r>
        <w:rPr>
          <w:color w:val="000000"/>
          <w:spacing w:val="0"/>
          <w:w w:val="100"/>
          <w:position w:val="0"/>
        </w:rPr>
        <w:t>物联网的技术架构分为感知层、传输层、平台层和应用层。公司在物联网通讯领域重点专注于感知层、传输层的技术研</w:t>
      </w:r>
    </w:p>
    <w:p>
      <w:pPr>
        <w:pStyle w:val="Style41"/>
        <w:keepNext w:val="0"/>
        <w:keepLines w:val="0"/>
        <w:widowControl w:val="0"/>
        <w:shd w:val="clear" w:color="auto" w:fill="auto"/>
        <w:bidi w:val="0"/>
        <w:spacing w:before="0" w:after="260" w:line="469" w:lineRule="exact"/>
        <w:ind w:left="0" w:right="0" w:firstLine="820"/>
        <w:jc w:val="both"/>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 究和应用。</w:t>
      </w:r>
      <w:r>
        <w:rPr>
          <w:rFonts w:ascii="Times New Roman" w:eastAsia="Times New Roman" w:hAnsi="Times New Roman" w:cs="Times New Roman"/>
          <w:color w:val="000000"/>
          <w:spacing w:val="0"/>
          <w:w w:val="100"/>
          <w:position w:val="0"/>
          <w:sz w:val="18"/>
          <w:szCs w:val="18"/>
        </w:rPr>
        <w:t>5G</w:t>
      </w:r>
      <w:r>
        <w:rPr>
          <w:color w:val="000000"/>
          <w:spacing w:val="0"/>
          <w:w w:val="100"/>
          <w:position w:val="0"/>
        </w:rPr>
        <w:t>不仅是我国的国家战略，也是我国新基建的重要基石，更是发展数字经济的新引擎，给各行各业数字化都带 来了巨大的推动，特别是车联网、医疗、工业等领域面临变革性的升级，公司将</w:t>
      </w:r>
      <w:r>
        <w:rPr>
          <w:rFonts w:ascii="Times New Roman" w:eastAsia="Times New Roman" w:hAnsi="Times New Roman" w:cs="Times New Roman"/>
          <w:color w:val="000000"/>
          <w:spacing w:val="0"/>
          <w:w w:val="100"/>
          <w:position w:val="0"/>
          <w:sz w:val="18"/>
          <w:szCs w:val="18"/>
        </w:rPr>
        <w:t>5G</w:t>
      </w:r>
      <w:r>
        <w:rPr>
          <w:color w:val="000000"/>
          <w:spacing w:val="0"/>
          <w:w w:val="100"/>
          <w:position w:val="0"/>
        </w:rPr>
        <w:t>技术与自身专有物联网通信技术深度融 合，构建出面向智慧应用的基础通信使能平台，通过一套架构为用户同时提供</w:t>
      </w:r>
      <w:r>
        <w:rPr>
          <w:rFonts w:ascii="Times New Roman" w:eastAsia="Times New Roman" w:hAnsi="Times New Roman" w:cs="Times New Roman"/>
          <w:color w:val="000000"/>
          <w:spacing w:val="0"/>
          <w:w w:val="100"/>
          <w:position w:val="0"/>
          <w:sz w:val="18"/>
          <w:szCs w:val="18"/>
        </w:rPr>
        <w:t>5G</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WiFi</w:t>
      </w:r>
      <w:r>
        <w:rPr>
          <w:color w:val="000000"/>
          <w:spacing w:val="0"/>
          <w:w w:val="100"/>
          <w:position w:val="0"/>
        </w:rPr>
        <w:t>、</w:t>
      </w:r>
      <w:r>
        <w:rPr>
          <w:color w:val="000000"/>
          <w:spacing w:val="0"/>
          <w:w w:val="100"/>
          <w:position w:val="0"/>
        </w:rPr>
        <w:t>低功耗泛物联网</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IoT</w:t>
      </w:r>
      <w:r>
        <w:rPr>
          <w:color w:val="000000"/>
          <w:spacing w:val="0"/>
          <w:w w:val="100"/>
          <w:position w:val="0"/>
        </w:rPr>
        <w:t>）</w:t>
      </w:r>
      <w:r>
        <w:rPr>
          <w:color w:val="000000"/>
          <w:spacing w:val="0"/>
          <w:w w:val="100"/>
          <w:position w:val="0"/>
        </w:rPr>
        <w:t>三网覆盖, 突破传统通信的边界限制，达成广泛的终端接入，海量数据传输；以边缘计算、网络切片、实时通信等技术助力行业实现数 字化转型的应用场景，为智能制造、远程操控、智慧园区、智慧电力等更多工业互联网场景提供智能化赋能。</w:t>
      </w:r>
    </w:p>
    <w:p>
      <w:pPr>
        <w:pStyle w:val="Style58"/>
        <w:keepNext/>
        <w:keepLines/>
        <w:widowControl w:val="0"/>
        <w:shd w:val="clear" w:color="auto" w:fill="auto"/>
        <w:bidi w:val="0"/>
        <w:spacing w:before="0" w:after="0" w:line="545" w:lineRule="auto"/>
        <w:ind w:left="0" w:right="0"/>
        <w:jc w:val="both"/>
      </w:pPr>
      <w:bookmarkStart w:id="89" w:name="bookmark89"/>
      <w:bookmarkStart w:id="90" w:name="bookmark90"/>
      <w:bookmarkStart w:id="91" w:name="bookmark91"/>
      <w:r>
        <w:rPr>
          <w:rFonts w:ascii="Times New Roman" w:eastAsia="Times New Roman" w:hAnsi="Times New Roman" w:cs="Times New Roman"/>
          <w:b/>
          <w:bCs/>
          <w:color w:val="000000"/>
          <w:spacing w:val="0"/>
          <w:w w:val="100"/>
          <w:position w:val="0"/>
          <w:sz w:val="18"/>
          <w:szCs w:val="18"/>
        </w:rPr>
        <w:t>3.1</w:t>
      </w:r>
      <w:r>
        <w:rPr>
          <w:b/>
          <w:bCs/>
          <w:color w:val="000000"/>
          <w:spacing w:val="0"/>
          <w:w w:val="100"/>
          <w:position w:val="0"/>
        </w:rPr>
        <w:t>核心产品系列</w:t>
      </w:r>
      <w:bookmarkEnd w:id="89"/>
      <w:bookmarkEnd w:id="90"/>
      <w:bookmarkEnd w:id="91"/>
    </w:p>
    <w:p>
      <w:pPr>
        <w:pStyle w:val="Style58"/>
        <w:keepNext/>
        <w:keepLines/>
        <w:widowControl w:val="0"/>
        <w:shd w:val="clear" w:color="auto" w:fill="auto"/>
        <w:bidi w:val="0"/>
        <w:spacing w:before="0" w:after="0" w:line="469" w:lineRule="exact"/>
        <w:ind w:left="0" w:right="0"/>
        <w:jc w:val="both"/>
      </w:pPr>
      <w:bookmarkStart w:id="89" w:name="bookmark89"/>
      <w:bookmarkStart w:id="90" w:name="bookmark90"/>
      <w:r>
        <w:rPr>
          <w:rFonts w:ascii="Times New Roman" w:eastAsia="Times New Roman" w:hAnsi="Times New Roman" w:cs="Times New Roman"/>
          <w:b/>
          <w:bCs/>
          <w:color w:val="000000"/>
          <w:spacing w:val="0"/>
          <w:w w:val="100"/>
          <w:position w:val="0"/>
          <w:sz w:val="18"/>
          <w:szCs w:val="18"/>
        </w:rPr>
        <w:t>A</w:t>
      </w:r>
      <w:r>
        <w:rPr>
          <w:b/>
          <w:bCs/>
          <w:color w:val="000000"/>
          <w:spacing w:val="0"/>
          <w:w w:val="100"/>
          <w:position w:val="0"/>
        </w:rPr>
        <w:t>、</w:t>
      </w:r>
      <w:r>
        <w:rPr>
          <w:b/>
          <w:bCs/>
          <w:color w:val="000000"/>
          <w:spacing w:val="0"/>
          <w:w w:val="100"/>
          <w:position w:val="0"/>
        </w:rPr>
        <w:t>核通讯产品：</w:t>
      </w:r>
      <w:r>
        <w:rPr>
          <w:rFonts w:ascii="Times New Roman" w:eastAsia="Times New Roman" w:hAnsi="Times New Roman" w:cs="Times New Roman"/>
          <w:b/>
          <w:bCs/>
          <w:color w:val="000000"/>
          <w:spacing w:val="0"/>
          <w:w w:val="100"/>
          <w:position w:val="0"/>
          <w:sz w:val="18"/>
          <w:szCs w:val="18"/>
        </w:rPr>
        <w:t>Nu-Comm</w:t>
      </w:r>
      <w:r>
        <w:rPr>
          <w:b/>
          <w:bCs/>
          <w:color w:val="000000"/>
          <w:spacing w:val="0"/>
          <w:w w:val="100"/>
          <w:position w:val="0"/>
        </w:rPr>
        <w:t>融合通信系统</w:t>
      </w:r>
      <w:bookmarkEnd w:id="89"/>
      <w:bookmarkEnd w:id="90"/>
    </w:p>
    <w:p>
      <w:pPr>
        <w:pStyle w:val="Style41"/>
        <w:keepNext w:val="0"/>
        <w:keepLines w:val="0"/>
        <w:widowControl w:val="0"/>
        <w:shd w:val="clear" w:color="auto" w:fill="auto"/>
        <w:bidi w:val="0"/>
        <w:spacing w:before="0" w:after="0" w:line="469" w:lineRule="exact"/>
        <w:ind w:left="0" w:right="0"/>
        <w:jc w:val="both"/>
      </w:pPr>
      <w:r>
        <w:rPr>
          <w:rFonts w:ascii="Times New Roman" w:eastAsia="Times New Roman" w:hAnsi="Times New Roman" w:cs="Times New Roman"/>
          <w:color w:val="000000"/>
          <w:spacing w:val="0"/>
          <w:w w:val="100"/>
          <w:position w:val="0"/>
          <w:sz w:val="18"/>
          <w:szCs w:val="18"/>
        </w:rPr>
        <w:t>Nu-Comm</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Nuclear-Communication</w:t>
      </w:r>
      <w:r>
        <w:rPr>
          <w:color w:val="000000"/>
          <w:spacing w:val="0"/>
          <w:w w:val="100"/>
          <w:position w:val="0"/>
        </w:rPr>
        <w:t>）是原</w:t>
      </w:r>
      <w:r>
        <w:rPr>
          <w:rFonts w:ascii="Times New Roman" w:eastAsia="Times New Roman" w:hAnsi="Times New Roman" w:cs="Times New Roman"/>
          <w:color w:val="000000"/>
          <w:spacing w:val="0"/>
          <w:w w:val="100"/>
          <w:position w:val="0"/>
          <w:sz w:val="18"/>
          <w:szCs w:val="18"/>
        </w:rPr>
        <w:t>Nu-Comm</w:t>
      </w:r>
      <w:r>
        <w:rPr>
          <w:color w:val="000000"/>
          <w:spacing w:val="0"/>
          <w:w w:val="100"/>
          <w:position w:val="0"/>
        </w:rPr>
        <w:t>系统的升级版本，该无线通信系统是一套针对核电特殊电磁安全要 求、信息安全要求以及复杂使用环境要求的专用融合通信系统。系统以高密度和极低辐射功率的物联网技术为基础，为核电 用户提供无线宽带网络服务及大容量物联网终端接入能力。通过对基站和无线终端的发射功率控制，以及接入认证的有效安 全管理，结合在研的</w:t>
      </w:r>
      <w:r>
        <w:rPr>
          <w:rFonts w:ascii="Times New Roman" w:eastAsia="Times New Roman" w:hAnsi="Times New Roman" w:cs="Times New Roman"/>
          <w:color w:val="000000"/>
          <w:spacing w:val="0"/>
          <w:w w:val="100"/>
          <w:position w:val="0"/>
          <w:sz w:val="18"/>
          <w:szCs w:val="18"/>
        </w:rPr>
        <w:t>5G</w:t>
      </w:r>
      <w:r>
        <w:rPr>
          <w:color w:val="000000"/>
          <w:spacing w:val="0"/>
          <w:w w:val="100"/>
          <w:position w:val="0"/>
        </w:rPr>
        <w:t>技术，使得系统在具备</w:t>
      </w:r>
      <w:r>
        <w:rPr>
          <w:rFonts w:ascii="Times New Roman" w:eastAsia="Times New Roman" w:hAnsi="Times New Roman" w:cs="Times New Roman"/>
          <w:color w:val="000000"/>
          <w:spacing w:val="0"/>
          <w:w w:val="100"/>
          <w:position w:val="0"/>
          <w:sz w:val="18"/>
          <w:szCs w:val="18"/>
        </w:rPr>
        <w:t>5G</w:t>
      </w:r>
      <w:r>
        <w:rPr>
          <w:color w:val="000000"/>
          <w:spacing w:val="0"/>
          <w:w w:val="100"/>
          <w:position w:val="0"/>
        </w:rPr>
        <w:t>通信技术低时延、高宽带、大并发等优点的同时，融合物联网在电磁兼 容和信息安全特性方面的优势，有效解决了高电磁环境、高信息安全和核辐射安全等特殊场景的应用难题。</w:t>
      </w:r>
    </w:p>
    <w:p>
      <w:pPr>
        <w:pStyle w:val="Style41"/>
        <w:keepNext w:val="0"/>
        <w:keepLines w:val="0"/>
        <w:widowControl w:val="0"/>
        <w:shd w:val="clear" w:color="auto" w:fill="auto"/>
        <w:bidi w:val="0"/>
        <w:spacing w:before="0" w:after="120" w:line="469" w:lineRule="exact"/>
        <w:ind w:left="0" w:right="0"/>
        <w:jc w:val="both"/>
      </w:pPr>
      <w:r>
        <w:rPr>
          <w:color w:val="000000"/>
          <w:spacing w:val="0"/>
          <w:w w:val="100"/>
          <w:position w:val="0"/>
        </w:rPr>
        <w:t>目前该系统在中核及中广核均已成功落地，先后中标并成功实施中核集团田湾核电站</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6</w:t>
      </w:r>
      <w:r>
        <w:rPr>
          <w:color w:val="000000"/>
          <w:spacing w:val="0"/>
          <w:w w:val="100"/>
          <w:position w:val="0"/>
        </w:rPr>
        <w:t>号机组无线通信网项目、中 广核防城港核电</w:t>
      </w:r>
      <w:r>
        <w:rPr>
          <w:rFonts w:ascii="Times New Roman" w:eastAsia="Times New Roman" w:hAnsi="Times New Roman" w:cs="Times New Roman"/>
          <w:color w:val="000000"/>
          <w:spacing w:val="0"/>
          <w:w w:val="100"/>
          <w:position w:val="0"/>
          <w:sz w:val="18"/>
          <w:szCs w:val="18"/>
        </w:rPr>
        <w:t>1-4</w:t>
      </w:r>
      <w:r>
        <w:rPr>
          <w:color w:val="000000"/>
          <w:spacing w:val="0"/>
          <w:w w:val="100"/>
          <w:position w:val="0"/>
        </w:rPr>
        <w:t>号机组无线通信系统项目、宁德核电</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号机组无线系统改造项目、防城港二期</w:t>
      </w:r>
      <w:r>
        <w:rPr>
          <w:rFonts w:ascii="Times New Roman" w:eastAsia="Times New Roman" w:hAnsi="Times New Roman" w:cs="Times New Roman"/>
          <w:color w:val="000000"/>
          <w:spacing w:val="0"/>
          <w:w w:val="100"/>
          <w:position w:val="0"/>
          <w:sz w:val="18"/>
          <w:szCs w:val="18"/>
        </w:rPr>
        <w:t>LOT78G</w:t>
      </w:r>
      <w:r>
        <w:rPr>
          <w:color w:val="000000"/>
          <w:spacing w:val="0"/>
          <w:w w:val="100"/>
          <w:position w:val="0"/>
        </w:rPr>
        <w:t>无线通信系统项 目、阳江核电无线通讯系统项目、台山核电基地融合通讯系统平台项目、核动力运行研究所天网系统项目。</w:t>
      </w:r>
    </w:p>
    <w:p>
      <w:pPr>
        <w:widowControl w:val="0"/>
        <w:jc w:val="center"/>
        <w:rPr>
          <w:sz w:val="2"/>
          <w:szCs w:val="2"/>
        </w:rPr>
      </w:pPr>
      <w:r>
        <w:drawing>
          <wp:inline>
            <wp:extent cx="4907280" cy="1359535"/>
            <wp:docPr id="164" name="Picutre 164"/>
            <a:graphic xmlns:a="http://schemas.openxmlformats.org/drawingml/2006/main">
              <a:graphicData uri="http://schemas.openxmlformats.org/drawingml/2006/picture">
                <pic:pic xmlns:pic="http://schemas.openxmlformats.org/drawingml/2006/picture">
                  <pic:nvPicPr>
                    <pic:cNvPr id="164" name="Picture 164"/>
                    <pic:cNvPicPr/>
                  </pic:nvPicPr>
                  <pic:blipFill>
                    <a:blip r:embed="rId43"/>
                    <a:stretch/>
                  </pic:blipFill>
                  <pic:spPr>
                    <a:xfrm>
                      <a:ext cx="4907280" cy="1359535"/>
                    </a:xfrm>
                    <a:prstGeom prst="rect"/>
                  </pic:spPr>
                </pic:pic>
              </a:graphicData>
            </a:graphic>
          </wp:inline>
        </w:drawing>
      </w:r>
    </w:p>
    <w:p>
      <w:pPr>
        <w:pStyle w:val="Style41"/>
        <w:keepNext w:val="0"/>
        <w:keepLines w:val="0"/>
        <w:widowControl w:val="0"/>
        <w:shd w:val="clear" w:color="auto" w:fill="auto"/>
        <w:bidi w:val="0"/>
        <w:spacing w:before="0" w:after="0" w:line="469" w:lineRule="exact"/>
        <w:ind w:left="0" w:right="0" w:firstLine="0"/>
        <w:jc w:val="center"/>
      </w:pPr>
      <w:r>
        <w:rPr>
          <w:b/>
          <w:bCs/>
          <w:color w:val="000000"/>
          <w:spacing w:val="0"/>
          <w:w w:val="100"/>
          <w:position w:val="0"/>
        </w:rPr>
        <w:t>（部分核电项目示意图）</w:t>
      </w:r>
    </w:p>
    <w:p>
      <w:pPr>
        <w:pStyle w:val="Style41"/>
        <w:keepNext w:val="0"/>
        <w:keepLines w:val="0"/>
        <w:widowControl w:val="0"/>
        <w:shd w:val="clear" w:color="auto" w:fill="auto"/>
        <w:tabs>
          <w:tab w:pos="702" w:val="left"/>
        </w:tabs>
        <w:bidi w:val="0"/>
        <w:spacing w:before="0" w:after="0" w:line="469" w:lineRule="exact"/>
        <w:ind w:left="0" w:right="0"/>
        <w:jc w:val="both"/>
      </w:pPr>
      <w:bookmarkStart w:id="92" w:name="bookmark92"/>
      <w:r>
        <w:rPr>
          <w:rFonts w:ascii="Times New Roman" w:eastAsia="Times New Roman" w:hAnsi="Times New Roman" w:cs="Times New Roman"/>
          <w:b/>
          <w:bCs/>
          <w:color w:val="000000"/>
          <w:spacing w:val="0"/>
          <w:w w:val="100"/>
          <w:position w:val="0"/>
          <w:sz w:val="18"/>
          <w:szCs w:val="18"/>
        </w:rPr>
        <w:t>B</w:t>
      </w:r>
      <w:bookmarkEnd w:id="92"/>
      <w:r>
        <w:rPr>
          <w:b/>
          <w:bCs/>
          <w:color w:val="000000"/>
          <w:spacing w:val="0"/>
          <w:w w:val="100"/>
          <w:position w:val="0"/>
        </w:rPr>
        <w:t>、</w:t>
        <w:tab/>
      </w:r>
      <w:r>
        <w:rPr>
          <w:b/>
          <w:bCs/>
          <w:color w:val="000000"/>
          <w:spacing w:val="0"/>
          <w:w w:val="100"/>
          <w:position w:val="0"/>
        </w:rPr>
        <w:t>周界安防产品：智慧墙入侵探测系统</w:t>
      </w:r>
    </w:p>
    <w:p>
      <w:pPr>
        <w:pStyle w:val="Style41"/>
        <w:keepNext w:val="0"/>
        <w:keepLines w:val="0"/>
        <w:widowControl w:val="0"/>
        <w:shd w:val="clear" w:color="auto" w:fill="auto"/>
        <w:bidi w:val="0"/>
        <w:spacing w:before="0" w:after="0" w:line="469" w:lineRule="exact"/>
        <w:ind w:left="0" w:right="0"/>
        <w:jc w:val="both"/>
      </w:pPr>
      <w:r>
        <w:rPr>
          <w:rFonts w:ascii="Times New Roman" w:eastAsia="Times New Roman" w:hAnsi="Times New Roman" w:cs="Times New Roman"/>
          <w:color w:val="000000"/>
          <w:spacing w:val="0"/>
          <w:w w:val="100"/>
          <w:position w:val="0"/>
          <w:sz w:val="18"/>
          <w:szCs w:val="18"/>
        </w:rPr>
        <w:t>SmartWall-</w:t>
      </w:r>
      <w:r>
        <w:rPr>
          <w:color w:val="000000"/>
          <w:spacing w:val="0"/>
          <w:w w:val="100"/>
          <w:position w:val="0"/>
        </w:rPr>
        <w:t xml:space="preserve">智慧墙是公司开发的一款主动性周界安防系统。它采用微波阵列智能探测技术，以智能探测线缆形态分布式 部署前端探测器。智慧墙入侵探测系统专为适应户外严酷环境下的安防应用而设计。通过芯片内嵌线缆，分布式前端探测器； </w:t>
      </w:r>
      <w:r>
        <w:rPr>
          <w:rFonts w:ascii="Times New Roman" w:eastAsia="Times New Roman" w:hAnsi="Times New Roman" w:cs="Times New Roman"/>
          <w:color w:val="000000"/>
          <w:spacing w:val="0"/>
          <w:w w:val="100"/>
          <w:position w:val="0"/>
          <w:sz w:val="18"/>
          <w:szCs w:val="18"/>
        </w:rPr>
        <w:t>AI</w:t>
      </w:r>
      <w:r>
        <w:rPr>
          <w:color w:val="000000"/>
          <w:spacing w:val="0"/>
          <w:w w:val="100"/>
          <w:position w:val="0"/>
        </w:rPr>
        <w:t>算法，大数据分析等技术，使系统具备态势感知、数据处理、智能分析、协同联动、智慧决策等能力，来实现安防报警、 巡检维护、人员管理、应急调度等多种业务功能。该系统从产品形态、部署方式、探测效果、数据传输上与传统的周界探测 系统不同，具有零漏报、低误报的优势，目前该系统已在故宫博物院、独山子石化、田湾核电站、红沿河核电站、乌鲁木齐 地窝堡机场、榆林机场，泉州晋江机场等对周界安防有高要求的项目上提供方案。</w:t>
      </w:r>
    </w:p>
    <w:p>
      <w:pPr>
        <w:pStyle w:val="Style41"/>
        <w:keepNext w:val="0"/>
        <w:keepLines w:val="0"/>
        <w:widowControl w:val="0"/>
        <w:shd w:val="clear" w:color="auto" w:fill="auto"/>
        <w:tabs>
          <w:tab w:pos="707" w:val="left"/>
        </w:tabs>
        <w:bidi w:val="0"/>
        <w:spacing w:before="0" w:after="0" w:line="469" w:lineRule="exact"/>
        <w:ind w:left="0" w:right="0"/>
        <w:jc w:val="both"/>
      </w:pPr>
      <w:bookmarkStart w:id="93" w:name="bookmark93"/>
      <w:r>
        <w:rPr>
          <w:rFonts w:ascii="Times New Roman" w:eastAsia="Times New Roman" w:hAnsi="Times New Roman" w:cs="Times New Roman"/>
          <w:b/>
          <w:bCs/>
          <w:color w:val="000000"/>
          <w:spacing w:val="0"/>
          <w:w w:val="100"/>
          <w:position w:val="0"/>
          <w:sz w:val="18"/>
          <w:szCs w:val="18"/>
        </w:rPr>
        <w:t>C</w:t>
      </w:r>
      <w:bookmarkEnd w:id="93"/>
      <w:r>
        <w:rPr>
          <w:b/>
          <w:bCs/>
          <w:color w:val="000000"/>
          <w:spacing w:val="0"/>
          <w:w w:val="100"/>
          <w:position w:val="0"/>
        </w:rPr>
        <w:t>、</w:t>
        <w:tab/>
      </w:r>
      <w:r>
        <w:rPr>
          <w:b/>
          <w:bCs/>
          <w:color w:val="000000"/>
          <w:spacing w:val="0"/>
          <w:w w:val="100"/>
          <w:position w:val="0"/>
        </w:rPr>
        <w:t>地下空间通信安防一体化产品：城市综合管廊通信安防一体化系统</w:t>
      </w:r>
    </w:p>
    <w:p>
      <w:pPr>
        <w:pStyle w:val="Style41"/>
        <w:keepNext w:val="0"/>
        <w:keepLines w:val="0"/>
        <w:widowControl w:val="0"/>
        <w:shd w:val="clear" w:color="auto" w:fill="auto"/>
        <w:bidi w:val="0"/>
        <w:spacing w:before="0" w:after="200" w:line="469" w:lineRule="exact"/>
        <w:ind w:left="0" w:right="0"/>
        <w:jc w:val="both"/>
      </w:pPr>
      <w:r>
        <w:rPr>
          <w:color w:val="000000"/>
          <w:spacing w:val="0"/>
          <w:w w:val="100"/>
          <w:position w:val="0"/>
        </w:rPr>
        <w:t>综合管廊安防通信一体化系统是以公司隧道物联网技术为基础，针对城市综合管廊的管理、维护和安全特性，打造的管</w:t>
      </w:r>
      <w:r>
        <w:br w:type="page"/>
      </w:r>
    </w:p>
    <w:p>
      <w:pPr>
        <w:pStyle w:val="Style41"/>
        <w:keepNext w:val="0"/>
        <w:keepLines w:val="0"/>
        <w:widowControl w:val="0"/>
        <w:shd w:val="clear" w:color="auto" w:fill="auto"/>
        <w:bidi w:val="0"/>
        <w:spacing w:before="0" w:after="0" w:line="465" w:lineRule="exact"/>
        <w:ind w:left="0" w:right="0" w:firstLine="820"/>
        <w:jc w:val="both"/>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 廊内</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物联网融合通信平台</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，实现移动通信、精确定位、入侵报警与无线宽带四大(基础)功能，并在此基础上已经扩展人 员管理、区域管理、能源管理、安防系统联动、智能在线巡检、环境监测等丰富的业务应用。安防通信一体化系统同时融合 了智慧线、自适应微波阵列、改进型</w:t>
      </w:r>
      <w:r>
        <w:rPr>
          <w:rFonts w:ascii="Times New Roman" w:eastAsia="Times New Roman" w:hAnsi="Times New Roman" w:cs="Times New Roman"/>
          <w:color w:val="000000"/>
          <w:spacing w:val="0"/>
          <w:w w:val="100"/>
          <w:position w:val="0"/>
          <w:sz w:val="18"/>
          <w:szCs w:val="18"/>
        </w:rPr>
        <w:t xml:space="preserve">Wi-F </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技术，该系统可以为用户提供全廊道入侵探测及定位、人员精准定位、在线式电 子巡查、无线语音通信、</w:t>
      </w:r>
      <w:r>
        <w:rPr>
          <w:rFonts w:ascii="Times New Roman" w:eastAsia="Times New Roman" w:hAnsi="Times New Roman" w:cs="Times New Roman"/>
          <w:color w:val="000000"/>
          <w:spacing w:val="0"/>
          <w:w w:val="100"/>
          <w:position w:val="0"/>
          <w:sz w:val="18"/>
          <w:szCs w:val="18"/>
        </w:rPr>
        <w:t>2M+300M</w:t>
      </w:r>
      <w:r>
        <w:rPr>
          <w:color w:val="000000"/>
          <w:spacing w:val="0"/>
          <w:w w:val="100"/>
          <w:position w:val="0"/>
        </w:rPr>
        <w:t>物联网融合通信等服务。</w:t>
      </w:r>
    </w:p>
    <w:p>
      <w:pPr>
        <w:pStyle w:val="Style41"/>
        <w:keepNext w:val="0"/>
        <w:keepLines w:val="0"/>
        <w:widowControl w:val="0"/>
        <w:shd w:val="clear" w:color="auto" w:fill="auto"/>
        <w:bidi w:val="0"/>
        <w:spacing w:before="0" w:after="0" w:line="465" w:lineRule="exact"/>
        <w:ind w:left="0" w:right="0"/>
        <w:jc w:val="left"/>
      </w:pPr>
      <w:r>
        <w:rPr>
          <w:color w:val="000000"/>
          <w:spacing w:val="0"/>
          <w:w w:val="100"/>
          <w:position w:val="0"/>
        </w:rPr>
        <w:t>同时，公司与中国建筑集团成立混合所有制公司一中建智能技术有限公司，依托中建集团及中建水务在建筑、水务领 域的资源优势，研发和推进领域业务，提供业界一流的智慧水务、智慧工地等智慧化运营解决方案，助力客户实现高质量、 可持续的项目运营。</w:t>
      </w:r>
    </w:p>
    <w:p>
      <w:pPr>
        <w:widowControl w:val="0"/>
        <w:spacing w:line="1" w:lineRule="exact"/>
      </w:pPr>
      <w:r>
        <w:drawing>
          <wp:anchor distT="152400" distB="0" distL="0" distR="0" simplePos="0" relativeHeight="125829400" behindDoc="0" locked="0" layoutInCell="1" allowOverlap="1">
            <wp:simplePos x="0" y="0"/>
            <wp:positionH relativeFrom="page">
              <wp:posOffset>1113155</wp:posOffset>
            </wp:positionH>
            <wp:positionV relativeFrom="paragraph">
              <wp:posOffset>152400</wp:posOffset>
            </wp:positionV>
            <wp:extent cx="1017905" cy="798830"/>
            <wp:wrapTopAndBottom/>
            <wp:docPr id="165" name="Shape 165"/>
            <a:graphic xmlns:a="http://schemas.openxmlformats.org/drawingml/2006/main">
              <a:graphicData uri="http://schemas.openxmlformats.org/drawingml/2006/picture">
                <pic:pic xmlns:pic="http://schemas.openxmlformats.org/drawingml/2006/picture">
                  <pic:nvPicPr>
                    <pic:cNvPr id="166" name="Picture box 166"/>
                    <pic:cNvPicPr/>
                  </pic:nvPicPr>
                  <pic:blipFill>
                    <a:blip r:embed="rId45"/>
                    <a:stretch/>
                  </pic:blipFill>
                  <pic:spPr>
                    <a:xfrm>
                      <a:ext cx="1017905" cy="798830"/>
                    </a:xfrm>
                    <a:prstGeom prst="rect"/>
                  </pic:spPr>
                </pic:pic>
              </a:graphicData>
            </a:graphic>
          </wp:anchor>
        </w:drawing>
      </w:r>
      <w:r>
        <w:drawing>
          <wp:anchor distT="152400" distB="0" distL="0" distR="0" simplePos="0" relativeHeight="125829401" behindDoc="0" locked="0" layoutInCell="1" allowOverlap="1">
            <wp:simplePos x="0" y="0"/>
            <wp:positionH relativeFrom="page">
              <wp:posOffset>2308225</wp:posOffset>
            </wp:positionH>
            <wp:positionV relativeFrom="paragraph">
              <wp:posOffset>152400</wp:posOffset>
            </wp:positionV>
            <wp:extent cx="2206625" cy="798830"/>
            <wp:wrapTopAndBottom/>
            <wp:docPr id="167" name="Shape 167"/>
            <a:graphic xmlns:a="http://schemas.openxmlformats.org/drawingml/2006/main">
              <a:graphicData uri="http://schemas.openxmlformats.org/drawingml/2006/picture">
                <pic:pic xmlns:pic="http://schemas.openxmlformats.org/drawingml/2006/picture">
                  <pic:nvPicPr>
                    <pic:cNvPr id="168" name="Picture box 168"/>
                    <pic:cNvPicPr/>
                  </pic:nvPicPr>
                  <pic:blipFill>
                    <a:blip r:embed="rId47"/>
                    <a:stretch/>
                  </pic:blipFill>
                  <pic:spPr>
                    <a:xfrm>
                      <a:ext cx="2206625" cy="798830"/>
                    </a:xfrm>
                    <a:prstGeom prst="rect"/>
                  </pic:spPr>
                </pic:pic>
              </a:graphicData>
            </a:graphic>
          </wp:anchor>
        </w:drawing>
      </w:r>
      <w:r>
        <w:drawing>
          <wp:anchor distT="152400" distB="0" distL="0" distR="0" simplePos="0" relativeHeight="125829402" behindDoc="0" locked="0" layoutInCell="1" allowOverlap="1">
            <wp:simplePos x="0" y="0"/>
            <wp:positionH relativeFrom="page">
              <wp:posOffset>4691380</wp:posOffset>
            </wp:positionH>
            <wp:positionV relativeFrom="paragraph">
              <wp:posOffset>152400</wp:posOffset>
            </wp:positionV>
            <wp:extent cx="2206625" cy="798830"/>
            <wp:wrapTopAndBottom/>
            <wp:docPr id="169" name="Shape 169"/>
            <a:graphic xmlns:a="http://schemas.openxmlformats.org/drawingml/2006/main">
              <a:graphicData uri="http://schemas.openxmlformats.org/drawingml/2006/picture">
                <pic:pic xmlns:pic="http://schemas.openxmlformats.org/drawingml/2006/picture">
                  <pic:nvPicPr>
                    <pic:cNvPr id="170" name="Picture box 170"/>
                    <pic:cNvPicPr/>
                  </pic:nvPicPr>
                  <pic:blipFill>
                    <a:blip r:embed="rId49"/>
                    <a:stretch/>
                  </pic:blipFill>
                  <pic:spPr>
                    <a:xfrm>
                      <a:ext cx="2206625" cy="798830"/>
                    </a:xfrm>
                    <a:prstGeom prst="rect"/>
                  </pic:spPr>
                </pic:pic>
              </a:graphicData>
            </a:graphic>
          </wp:anchor>
        </w:drawing>
      </w:r>
    </w:p>
    <w:p>
      <w:pPr>
        <w:pStyle w:val="Style2"/>
        <w:keepNext w:val="0"/>
        <w:keepLines w:val="0"/>
        <w:widowControl w:val="0"/>
        <w:shd w:val="clear" w:color="auto" w:fill="auto"/>
        <w:tabs>
          <w:tab w:pos="2746" w:val="left"/>
          <w:tab w:pos="4642" w:val="left"/>
          <w:tab w:pos="6547" w:val="left"/>
          <w:tab w:pos="8587" w:val="left"/>
        </w:tabs>
        <w:bidi w:val="0"/>
        <w:spacing w:before="0" w:after="260" w:line="240" w:lineRule="auto"/>
        <w:ind w:left="0" w:right="0" w:firstLine="960"/>
        <w:jc w:val="both"/>
        <w:rPr>
          <w:sz w:val="14"/>
          <w:szCs w:val="14"/>
        </w:rPr>
      </w:pPr>
      <w:r>
        <w:rPr>
          <w:rFonts w:ascii="SimHei" w:eastAsia="SimHei" w:hAnsi="SimHei" w:cs="SimHei"/>
          <w:color w:val="49648E"/>
          <w:spacing w:val="0"/>
          <w:w w:val="100"/>
          <w:position w:val="0"/>
          <w:sz w:val="14"/>
          <w:szCs w:val="14"/>
        </w:rPr>
        <w:t>北京通州中心</w:t>
        <w:tab/>
        <w:t>首钢秀池东奥园区</w:t>
        <w:tab/>
        <w:t>北京未来科技城</w:t>
        <w:tab/>
        <w:t>天津中新生态城</w:t>
        <w:tab/>
        <w:t>南宁佛子的</w:t>
      </w:r>
    </w:p>
    <w:p>
      <w:pPr>
        <w:pStyle w:val="Style41"/>
        <w:keepNext w:val="0"/>
        <w:keepLines w:val="0"/>
        <w:widowControl w:val="0"/>
        <w:shd w:val="clear" w:color="auto" w:fill="auto"/>
        <w:bidi w:val="0"/>
        <w:spacing w:before="0" w:after="260" w:line="466" w:lineRule="exact"/>
        <w:ind w:left="0" w:right="0" w:firstLine="0"/>
        <w:jc w:val="center"/>
      </w:pPr>
      <w:r>
        <w:rPr>
          <w:b/>
          <w:bCs/>
          <w:color w:val="000000"/>
          <w:spacing w:val="0"/>
          <w:w w:val="100"/>
          <w:position w:val="0"/>
        </w:rPr>
        <w:t>(部分城市综合地下管廊项目示意图)</w:t>
      </w:r>
    </w:p>
    <w:p>
      <w:pPr>
        <w:pStyle w:val="Style41"/>
        <w:keepNext w:val="0"/>
        <w:keepLines w:val="0"/>
        <w:widowControl w:val="0"/>
        <w:shd w:val="clear" w:color="auto" w:fill="auto"/>
        <w:bidi w:val="0"/>
        <w:spacing w:before="0" w:after="0" w:line="542" w:lineRule="auto"/>
        <w:ind w:left="0" w:right="0"/>
        <w:jc w:val="both"/>
      </w:pPr>
      <w:r>
        <w:rPr>
          <w:rFonts w:ascii="Times New Roman" w:eastAsia="Times New Roman" w:hAnsi="Times New Roman" w:cs="Times New Roman"/>
          <w:b/>
          <w:bCs/>
          <w:color w:val="000000"/>
          <w:spacing w:val="0"/>
          <w:w w:val="100"/>
          <w:position w:val="0"/>
          <w:sz w:val="18"/>
          <w:szCs w:val="18"/>
        </w:rPr>
        <w:t>D</w:t>
      </w:r>
      <w:r>
        <w:rPr>
          <w:b/>
          <w:bCs/>
          <w:color w:val="000000"/>
          <w:spacing w:val="0"/>
          <w:w w:val="100"/>
          <w:position w:val="0"/>
        </w:rPr>
        <w:t>、</w:t>
      </w:r>
      <w:r>
        <w:rPr>
          <w:b/>
          <w:bCs/>
          <w:color w:val="000000"/>
          <w:spacing w:val="0"/>
          <w:w w:val="100"/>
          <w:position w:val="0"/>
        </w:rPr>
        <w:t>电力物联网产品系列：变电站智能监测系统解决方案</w:t>
      </w:r>
    </w:p>
    <w:p>
      <w:pPr>
        <w:pStyle w:val="Style58"/>
        <w:keepNext/>
        <w:keepLines/>
        <w:widowControl w:val="0"/>
        <w:shd w:val="clear" w:color="auto" w:fill="auto"/>
        <w:bidi w:val="0"/>
        <w:spacing w:before="0" w:after="260" w:line="466" w:lineRule="exact"/>
        <w:ind w:left="0" w:right="0"/>
        <w:jc w:val="both"/>
      </w:pPr>
      <w:bookmarkStart w:id="94" w:name="bookmark94"/>
      <w:bookmarkStart w:id="95" w:name="bookmark95"/>
      <w:bookmarkStart w:id="96" w:name="bookmark96"/>
      <w:r>
        <w:rPr>
          <w:color w:val="000000"/>
          <w:spacing w:val="0"/>
          <w:w w:val="100"/>
          <w:position w:val="0"/>
        </w:rPr>
        <w:t>公司致力于在电力输变配电领域，为客户提供安全、可靠、智慧的在线监测系统解决方案，提供稳定的数据传输通道和 多维度融合的数据服务。自主研发符合国家电网《输变电设备物联网节点设备无线组网协议》、《输变电设备物联网微功率 无线网通信协议》企业标准的接入节点设备和汇聚节点设备、多形态智能传感器、无线通信模块和终端</w:t>
      </w:r>
      <w:r>
        <w:rPr>
          <w:rFonts w:ascii="Times New Roman" w:eastAsia="Times New Roman" w:hAnsi="Times New Roman" w:cs="Times New Roman"/>
          <w:color w:val="000000"/>
          <w:spacing w:val="0"/>
          <w:w w:val="100"/>
          <w:position w:val="0"/>
          <w:sz w:val="18"/>
          <w:szCs w:val="18"/>
        </w:rPr>
        <w:t>APP</w:t>
      </w:r>
      <w:r>
        <w:rPr>
          <w:color w:val="000000"/>
          <w:spacing w:val="0"/>
          <w:w w:val="100"/>
          <w:position w:val="0"/>
        </w:rPr>
        <w:t>在内的物联网 多场景解决方案。</w:t>
      </w:r>
      <w:bookmarkEnd w:id="94"/>
      <w:bookmarkEnd w:id="95"/>
      <w:bookmarkEnd w:id="96"/>
    </w:p>
    <w:p>
      <w:pPr>
        <w:pStyle w:val="Style58"/>
        <w:keepNext/>
        <w:keepLines/>
        <w:widowControl w:val="0"/>
        <w:shd w:val="clear" w:color="auto" w:fill="auto"/>
        <w:bidi w:val="0"/>
        <w:spacing w:before="0" w:after="0" w:line="542" w:lineRule="auto"/>
        <w:ind w:left="0" w:right="0"/>
        <w:jc w:val="both"/>
      </w:pPr>
      <w:bookmarkStart w:id="97" w:name="bookmark97"/>
      <w:bookmarkStart w:id="98" w:name="bookmark98"/>
      <w:bookmarkStart w:id="99" w:name="bookmark99"/>
      <w:r>
        <w:rPr>
          <w:rFonts w:ascii="Times New Roman" w:eastAsia="Times New Roman" w:hAnsi="Times New Roman" w:cs="Times New Roman"/>
          <w:b/>
          <w:bCs/>
          <w:color w:val="000000"/>
          <w:spacing w:val="0"/>
          <w:w w:val="100"/>
          <w:position w:val="0"/>
          <w:sz w:val="18"/>
          <w:szCs w:val="18"/>
        </w:rPr>
        <w:t>3.2</w:t>
      </w:r>
      <w:r>
        <w:rPr>
          <w:b/>
          <w:bCs/>
          <w:color w:val="000000"/>
          <w:spacing w:val="0"/>
          <w:w w:val="100"/>
          <w:position w:val="0"/>
        </w:rPr>
        <w:t>核心的竞争优势</w:t>
      </w:r>
      <w:bookmarkEnd w:id="97"/>
      <w:bookmarkEnd w:id="98"/>
      <w:bookmarkEnd w:id="99"/>
    </w:p>
    <w:p>
      <w:pPr>
        <w:pStyle w:val="Style58"/>
        <w:keepNext/>
        <w:keepLines/>
        <w:widowControl w:val="0"/>
        <w:shd w:val="clear" w:color="auto" w:fill="auto"/>
        <w:bidi w:val="0"/>
        <w:spacing w:before="0" w:after="0" w:line="542" w:lineRule="auto"/>
        <w:ind w:left="0" w:right="0"/>
        <w:jc w:val="both"/>
      </w:pPr>
      <w:bookmarkStart w:id="100" w:name="bookmark100"/>
      <w:bookmarkStart w:id="97" w:name="bookmark97"/>
      <w:bookmarkStart w:id="98" w:name="bookmark98"/>
      <w:r>
        <w:rPr>
          <w:rFonts w:ascii="Times New Roman" w:eastAsia="Times New Roman" w:hAnsi="Times New Roman" w:cs="Times New Roman"/>
          <w:b/>
          <w:bCs/>
          <w:color w:val="000000"/>
          <w:spacing w:val="0"/>
          <w:w w:val="100"/>
          <w:position w:val="0"/>
          <w:sz w:val="18"/>
          <w:szCs w:val="18"/>
        </w:rPr>
        <w:t>A</w:t>
      </w:r>
      <w:bookmarkEnd w:id="100"/>
      <w:r>
        <w:rPr>
          <w:b/>
          <w:bCs/>
          <w:color w:val="000000"/>
          <w:spacing w:val="0"/>
          <w:w w:val="100"/>
          <w:position w:val="0"/>
        </w:rPr>
        <w:t>、</w:t>
      </w:r>
      <w:r>
        <w:rPr>
          <w:b/>
          <w:bCs/>
          <w:color w:val="000000"/>
          <w:spacing w:val="0"/>
          <w:w w:val="100"/>
          <w:position w:val="0"/>
        </w:rPr>
        <w:t>自主可控、技术领先</w:t>
      </w:r>
      <w:bookmarkEnd w:id="97"/>
      <w:bookmarkEnd w:id="98"/>
    </w:p>
    <w:p>
      <w:pPr>
        <w:pStyle w:val="Style41"/>
        <w:keepNext w:val="0"/>
        <w:keepLines w:val="0"/>
        <w:widowControl w:val="0"/>
        <w:shd w:val="clear" w:color="auto" w:fill="auto"/>
        <w:bidi w:val="0"/>
        <w:spacing w:before="0" w:after="0" w:line="466" w:lineRule="exact"/>
        <w:ind w:left="0" w:right="0"/>
        <w:jc w:val="both"/>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智慧线</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是基于安全生产物联网与信息交互系统标准体系设计的物联网融合通信设备，将射频单元、基带处理单元、天 馈系统以及传输线、电源线等全部汇集到一条线缆内，实现无线信号的均匀覆盖，支持终端分布式接入，具备语音通信、无 线终端接入、定位数据采集、入侵传感探测等功能，有着覆盖均匀、易安装、低功率、维护简便的优点。智慧线从底层协议 栈、操作系统、关键工艺与材料、关键电路、平台、算法等都是自主研发，</w:t>
      </w:r>
      <w:r>
        <w:rPr>
          <w:b/>
          <w:bCs/>
          <w:color w:val="000000"/>
          <w:spacing w:val="0"/>
          <w:w w:val="100"/>
          <w:position w:val="0"/>
        </w:rPr>
        <w:t>截至</w:t>
      </w:r>
      <w:r>
        <w:rPr>
          <w:rFonts w:ascii="Times New Roman" w:eastAsia="Times New Roman" w:hAnsi="Times New Roman" w:cs="Times New Roman"/>
          <w:b/>
          <w:bCs/>
          <w:color w:val="000000"/>
          <w:spacing w:val="0"/>
          <w:w w:val="100"/>
          <w:position w:val="0"/>
          <w:sz w:val="18"/>
          <w:szCs w:val="18"/>
        </w:rPr>
        <w:t>2020</w:t>
      </w:r>
      <w:r>
        <w:rPr>
          <w:b/>
          <w:bCs/>
          <w:color w:val="000000"/>
          <w:spacing w:val="0"/>
          <w:w w:val="100"/>
          <w:position w:val="0"/>
        </w:rPr>
        <w:t xml:space="preserve">年末，公司在物联网领域已申请专利 </w:t>
      </w:r>
      <w:r>
        <w:rPr>
          <w:rFonts w:ascii="Times New Roman" w:eastAsia="Times New Roman" w:hAnsi="Times New Roman" w:cs="Times New Roman"/>
          <w:b/>
          <w:bCs/>
          <w:color w:val="000000"/>
          <w:spacing w:val="0"/>
          <w:w w:val="100"/>
          <w:position w:val="0"/>
          <w:sz w:val="18"/>
          <w:szCs w:val="18"/>
        </w:rPr>
        <w:t>178</w:t>
      </w:r>
      <w:r>
        <w:rPr>
          <w:b/>
          <w:bCs/>
          <w:color w:val="000000"/>
          <w:spacing w:val="0"/>
          <w:w w:val="100"/>
          <w:position w:val="0"/>
        </w:rPr>
        <w:t>件，其中</w:t>
      </w:r>
      <w:r>
        <w:rPr>
          <w:rFonts w:ascii="Times New Roman" w:eastAsia="Times New Roman" w:hAnsi="Times New Roman" w:cs="Times New Roman"/>
          <w:b/>
          <w:bCs/>
          <w:color w:val="000000"/>
          <w:spacing w:val="0"/>
          <w:w w:val="100"/>
          <w:position w:val="0"/>
          <w:sz w:val="18"/>
          <w:szCs w:val="18"/>
        </w:rPr>
        <w:t>113</w:t>
      </w:r>
      <w:r>
        <w:rPr>
          <w:b/>
          <w:bCs/>
          <w:color w:val="000000"/>
          <w:spacing w:val="0"/>
          <w:w w:val="100"/>
          <w:position w:val="0"/>
        </w:rPr>
        <w:t>件为发明专利，</w:t>
      </w:r>
      <w:r>
        <w:rPr>
          <w:rFonts w:ascii="Times New Roman" w:eastAsia="Times New Roman" w:hAnsi="Times New Roman" w:cs="Times New Roman"/>
          <w:b/>
          <w:bCs/>
          <w:color w:val="000000"/>
          <w:spacing w:val="0"/>
          <w:w w:val="100"/>
          <w:position w:val="0"/>
          <w:sz w:val="18"/>
          <w:szCs w:val="18"/>
        </w:rPr>
        <w:t>14</w:t>
      </w:r>
      <w:r>
        <w:rPr>
          <w:b/>
          <w:bCs/>
          <w:color w:val="000000"/>
          <w:spacing w:val="0"/>
          <w:w w:val="100"/>
          <w:position w:val="0"/>
        </w:rPr>
        <w:t>件为</w:t>
      </w:r>
      <w:r>
        <w:rPr>
          <w:rFonts w:ascii="Times New Roman" w:eastAsia="Times New Roman" w:hAnsi="Times New Roman" w:cs="Times New Roman"/>
          <w:b/>
          <w:bCs/>
          <w:color w:val="000000"/>
          <w:spacing w:val="0"/>
          <w:w w:val="100"/>
          <w:position w:val="0"/>
          <w:sz w:val="18"/>
          <w:szCs w:val="18"/>
        </w:rPr>
        <w:t>PCT</w:t>
      </w:r>
      <w:r>
        <w:rPr>
          <w:b/>
          <w:bCs/>
          <w:color w:val="000000"/>
          <w:spacing w:val="0"/>
          <w:w w:val="100"/>
          <w:position w:val="0"/>
        </w:rPr>
        <w:t>专利。</w:t>
      </w:r>
    </w:p>
    <w:p>
      <w:pPr>
        <w:pStyle w:val="Style41"/>
        <w:keepNext w:val="0"/>
        <w:keepLines w:val="0"/>
        <w:widowControl w:val="0"/>
        <w:shd w:val="clear" w:color="auto" w:fill="auto"/>
        <w:bidi w:val="0"/>
        <w:spacing w:before="0" w:after="260" w:line="466" w:lineRule="exact"/>
        <w:ind w:left="0" w:right="0"/>
        <w:jc w:val="both"/>
      </w:pPr>
      <w:r>
        <w:rPr>
          <w:color w:val="000000"/>
          <w:spacing w:val="0"/>
          <w:w w:val="100"/>
          <w:position w:val="0"/>
        </w:rPr>
        <w:t>公司主导提出了智慧矿山物联网相关系列标准，被国家安监总局、中国电子学会接纳并部分正式发布，为我国未来矿山 物联网产业的发展奠定关键基础；参与编写的《城市地下综合管廊运行维护及安全技术标准》正式获得住房和城乡建设部批 准并发布公告，标准编号</w:t>
      </w:r>
      <w:r>
        <w:rPr>
          <w:rFonts w:ascii="Times New Roman" w:eastAsia="Times New Roman" w:hAnsi="Times New Roman" w:cs="Times New Roman"/>
          <w:color w:val="000000"/>
          <w:spacing w:val="0"/>
          <w:w w:val="100"/>
          <w:position w:val="0"/>
          <w:sz w:val="18"/>
          <w:szCs w:val="18"/>
        </w:rPr>
        <w:t>GB51354-2019</w:t>
      </w:r>
      <w:r>
        <w:rPr>
          <w:color w:val="000000"/>
          <w:spacing w:val="0"/>
          <w:w w:val="100"/>
          <w:position w:val="0"/>
        </w:rPr>
        <w:t>，</w:t>
      </w:r>
      <w:r>
        <w:rPr>
          <w:color w:val="000000"/>
          <w:spacing w:val="0"/>
          <w:w w:val="100"/>
          <w:position w:val="0"/>
        </w:rPr>
        <w:t>自</w:t>
      </w:r>
      <w:r>
        <w:rPr>
          <w:rFonts w:ascii="Times New Roman" w:eastAsia="Times New Roman" w:hAnsi="Times New Roman" w:cs="Times New Roman"/>
          <w:color w:val="000000"/>
          <w:spacing w:val="0"/>
          <w:w w:val="100"/>
          <w:position w:val="0"/>
          <w:sz w:val="18"/>
          <w:szCs w:val="18"/>
        </w:rPr>
        <w:t>2019</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8</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日起实施；参与编写的北京市地方标准《城市综合管廊智慧运营管 理系统技术规范》</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DB11/T 1669-2019</w:t>
      </w:r>
      <w:r>
        <w:rPr>
          <w:color w:val="000000"/>
          <w:spacing w:val="0"/>
          <w:w w:val="100"/>
          <w:position w:val="0"/>
        </w:rPr>
        <w:t>)</w:t>
      </w:r>
      <w:r>
        <w:rPr>
          <w:color w:val="000000"/>
          <w:spacing w:val="0"/>
          <w:w w:val="100"/>
          <w:position w:val="0"/>
        </w:rPr>
        <w:t>和《城市综合管廊设施设备编码规范》</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DB11/T 1670-2019</w:t>
      </w:r>
      <w:r>
        <w:rPr>
          <w:color w:val="000000"/>
          <w:spacing w:val="0"/>
          <w:w w:val="100"/>
          <w:position w:val="0"/>
        </w:rPr>
        <w:t>)</w:t>
      </w:r>
      <w:r>
        <w:rPr>
          <w:color w:val="000000"/>
          <w:spacing w:val="0"/>
          <w:w w:val="100"/>
          <w:position w:val="0"/>
        </w:rPr>
        <w:t>也获批准并发布。</w:t>
      </w:r>
    </w:p>
    <w:p>
      <w:pPr>
        <w:pStyle w:val="Style41"/>
        <w:keepNext w:val="0"/>
        <w:keepLines w:val="0"/>
        <w:widowControl w:val="0"/>
        <w:shd w:val="clear" w:color="auto" w:fill="auto"/>
        <w:bidi w:val="0"/>
        <w:spacing w:before="0" w:after="260" w:line="240" w:lineRule="auto"/>
        <w:ind w:left="0" w:right="0"/>
        <w:jc w:val="both"/>
        <w:sectPr>
          <w:headerReference w:type="default" r:id="rId51"/>
          <w:footerReference w:type="default" r:id="rId52"/>
          <w:headerReference w:type="even" r:id="rId53"/>
          <w:footerReference w:type="even" r:id="rId54"/>
          <w:headerReference w:type="first" r:id="rId55"/>
          <w:footerReference w:type="first" r:id="rId56"/>
          <w:footnotePr>
            <w:pos w:val="pageBottom"/>
            <w:numFmt w:val="decimal"/>
            <w:numRestart w:val="continuous"/>
          </w:footnotePr>
          <w:pgSz w:w="11904" w:h="17375"/>
          <w:pgMar w:top="1565" w:right="1023" w:bottom="1616" w:left="1088" w:header="0" w:footer="3" w:gutter="0"/>
          <w:cols w:space="720"/>
          <w:noEndnote/>
          <w:titlePg/>
          <w:rtlGutter w:val="0"/>
          <w:docGrid w:linePitch="360"/>
        </w:sectPr>
      </w:pPr>
      <w:bookmarkStart w:id="101" w:name="bookmark101"/>
      <w:r>
        <w:rPr>
          <w:rFonts w:ascii="Times New Roman" w:eastAsia="Times New Roman" w:hAnsi="Times New Roman" w:cs="Times New Roman"/>
          <w:b/>
          <w:bCs/>
          <w:color w:val="000000"/>
          <w:spacing w:val="0"/>
          <w:w w:val="100"/>
          <w:position w:val="0"/>
          <w:sz w:val="18"/>
          <w:szCs w:val="18"/>
        </w:rPr>
        <w:t>B</w:t>
      </w:r>
      <w:bookmarkEnd w:id="101"/>
      <w:r>
        <w:rPr>
          <w:b/>
          <w:bCs/>
          <w:color w:val="000000"/>
          <w:spacing w:val="0"/>
          <w:w w:val="100"/>
          <w:position w:val="0"/>
        </w:rPr>
        <w:t>、</w:t>
      </w:r>
      <w:r>
        <w:rPr>
          <w:b/>
          <w:bCs/>
          <w:color w:val="000000"/>
          <w:spacing w:val="0"/>
          <w:w w:val="100"/>
          <w:position w:val="0"/>
        </w:rPr>
        <w:t>极低的干扰等级和超强的抗干扰能力</w:t>
      </w:r>
    </w:p>
    <w:p>
      <w:pPr>
        <w:pStyle w:val="Style41"/>
        <w:keepNext w:val="0"/>
        <w:keepLines w:val="0"/>
        <w:widowControl w:val="0"/>
        <w:shd w:val="clear" w:color="auto" w:fill="auto"/>
        <w:bidi w:val="0"/>
        <w:spacing w:before="0" w:after="0" w:line="469" w:lineRule="exact"/>
        <w:ind w:left="0" w:right="0"/>
        <w:jc w:val="both"/>
      </w:pPr>
      <w:r>
        <w:rPr>
          <w:color w:val="000000"/>
          <w:spacing w:val="0"/>
          <w:w w:val="100"/>
          <w:position w:val="0"/>
        </w:rPr>
        <w:t>无线通信（语音、数据、定位）已是通用技术，但在具有复杂电磁环境和超高物理安全要求的核岛场景下的应用却仍难 以超越。</w:t>
      </w:r>
    </w:p>
    <w:p>
      <w:pPr>
        <w:pStyle w:val="Style41"/>
        <w:keepNext w:val="0"/>
        <w:keepLines w:val="0"/>
        <w:widowControl w:val="0"/>
        <w:shd w:val="clear" w:color="auto" w:fill="auto"/>
        <w:bidi w:val="0"/>
        <w:spacing w:before="0" w:after="0" w:line="469" w:lineRule="exact"/>
        <w:ind w:left="0" w:right="0"/>
        <w:jc w:val="both"/>
      </w:pPr>
      <w:r>
        <w:rPr>
          <w:color w:val="000000"/>
          <w:spacing w:val="0"/>
          <w:w w:val="100"/>
          <w:position w:val="0"/>
        </w:rPr>
        <w:t>公司核电通讯技术，凭借功率控制、单向</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双向通信模式切换、物联网与宽带双覆盖以及无线接入的安全管控等创新， 有效解决了复杂电磁干扰问题，提升了核岛运维效率和通信安全问题，根据相关调研与评测，</w:t>
      </w:r>
      <w:r>
        <w:rPr>
          <w:rFonts w:ascii="Times New Roman" w:eastAsia="Times New Roman" w:hAnsi="Times New Roman" w:cs="Times New Roman"/>
          <w:color w:val="000000"/>
          <w:spacing w:val="0"/>
          <w:w w:val="100"/>
          <w:position w:val="0"/>
          <w:sz w:val="18"/>
          <w:szCs w:val="18"/>
        </w:rPr>
        <w:t>Nu-Comm</w:t>
      </w:r>
      <w:r>
        <w:rPr>
          <w:color w:val="000000"/>
          <w:spacing w:val="0"/>
          <w:w w:val="100"/>
          <w:position w:val="0"/>
        </w:rPr>
        <w:t>核专业无线通信系 统可完全满足核电站高电磁安全、高信息安全、高辐照要求，是满足未来智慧核电发展建设需求的无线通信系统。</w:t>
      </w:r>
    </w:p>
    <w:p>
      <w:pPr>
        <w:pStyle w:val="Style41"/>
        <w:keepNext w:val="0"/>
        <w:keepLines w:val="0"/>
        <w:widowControl w:val="0"/>
        <w:shd w:val="clear" w:color="auto" w:fill="auto"/>
        <w:tabs>
          <w:tab w:pos="714" w:val="left"/>
        </w:tabs>
        <w:bidi w:val="0"/>
        <w:spacing w:before="0" w:after="0" w:line="469" w:lineRule="exact"/>
        <w:ind w:left="0" w:right="0"/>
        <w:jc w:val="both"/>
      </w:pPr>
      <w:bookmarkStart w:id="102" w:name="bookmark102"/>
      <w:r>
        <w:rPr>
          <w:rFonts w:ascii="Times New Roman" w:eastAsia="Times New Roman" w:hAnsi="Times New Roman" w:cs="Times New Roman"/>
          <w:b/>
          <w:bCs/>
          <w:color w:val="000000"/>
          <w:spacing w:val="0"/>
          <w:w w:val="100"/>
          <w:position w:val="0"/>
          <w:sz w:val="18"/>
          <w:szCs w:val="18"/>
        </w:rPr>
        <w:t>C</w:t>
      </w:r>
      <w:bookmarkEnd w:id="102"/>
      <w:r>
        <w:rPr>
          <w:b/>
          <w:bCs/>
          <w:color w:val="000000"/>
          <w:spacing w:val="0"/>
          <w:w w:val="100"/>
          <w:position w:val="0"/>
        </w:rPr>
        <w:t>、</w:t>
        <w:tab/>
      </w:r>
      <w:r>
        <w:rPr>
          <w:b/>
          <w:bCs/>
          <w:color w:val="000000"/>
          <w:spacing w:val="0"/>
          <w:w w:val="100"/>
          <w:position w:val="0"/>
        </w:rPr>
        <w:t>高质量的移动语音通信系统和高精度的定位能力</w:t>
      </w:r>
    </w:p>
    <w:p>
      <w:pPr>
        <w:pStyle w:val="Style41"/>
        <w:keepNext w:val="0"/>
        <w:keepLines w:val="0"/>
        <w:widowControl w:val="0"/>
        <w:shd w:val="clear" w:color="auto" w:fill="auto"/>
        <w:bidi w:val="0"/>
        <w:spacing w:before="0" w:after="0" w:line="469" w:lineRule="exact"/>
        <w:ind w:left="0" w:right="0"/>
        <w:jc w:val="both"/>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智慧线</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及</w:t>
      </w:r>
      <w:r>
        <w:rPr>
          <w:rFonts w:ascii="Times New Roman" w:eastAsia="Times New Roman" w:hAnsi="Times New Roman" w:cs="Times New Roman"/>
          <w:color w:val="000000"/>
          <w:spacing w:val="0"/>
          <w:w w:val="100"/>
          <w:position w:val="0"/>
          <w:sz w:val="18"/>
          <w:szCs w:val="18"/>
        </w:rPr>
        <w:t>Nu-Comm</w:t>
      </w:r>
      <w:r>
        <w:rPr>
          <w:color w:val="000000"/>
          <w:spacing w:val="0"/>
          <w:w w:val="100"/>
          <w:position w:val="0"/>
        </w:rPr>
        <w:t>采用的低功耗物联网技术接收灵敏度高、抗干扰能力强，并设计有专有的移动性管理策略能沟通 提供优秀的切换体验，独创的全系统同步接收、多芯片并行服务技术，确保用户不论静止还是移动都不存在任何切换过程， 语音通信质量极高；原生自带定位能力，多芯片（多基站）联合实现实时定位精度可达</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米以内。</w:t>
      </w:r>
    </w:p>
    <w:p>
      <w:pPr>
        <w:pStyle w:val="Style41"/>
        <w:keepNext w:val="0"/>
        <w:keepLines w:val="0"/>
        <w:widowControl w:val="0"/>
        <w:shd w:val="clear" w:color="auto" w:fill="auto"/>
        <w:tabs>
          <w:tab w:pos="724" w:val="left"/>
        </w:tabs>
        <w:bidi w:val="0"/>
        <w:spacing w:before="0" w:after="0" w:line="469" w:lineRule="exact"/>
        <w:ind w:left="0" w:right="0"/>
        <w:jc w:val="both"/>
      </w:pPr>
      <w:bookmarkStart w:id="103" w:name="bookmark103"/>
      <w:r>
        <w:rPr>
          <w:rFonts w:ascii="Times New Roman" w:eastAsia="Times New Roman" w:hAnsi="Times New Roman" w:cs="Times New Roman"/>
          <w:b/>
          <w:bCs/>
          <w:color w:val="000000"/>
          <w:spacing w:val="0"/>
          <w:w w:val="100"/>
          <w:position w:val="0"/>
          <w:sz w:val="18"/>
          <w:szCs w:val="18"/>
        </w:rPr>
        <w:t>D</w:t>
      </w:r>
      <w:bookmarkEnd w:id="103"/>
      <w:r>
        <w:rPr>
          <w:b/>
          <w:bCs/>
          <w:color w:val="000000"/>
          <w:spacing w:val="0"/>
          <w:w w:val="100"/>
          <w:position w:val="0"/>
        </w:rPr>
        <w:t>、</w:t>
        <w:tab/>
      </w:r>
      <w:r>
        <w:rPr>
          <w:b/>
          <w:bCs/>
          <w:color w:val="000000"/>
          <w:spacing w:val="0"/>
          <w:w w:val="100"/>
          <w:position w:val="0"/>
        </w:rPr>
        <w:t>可支持大容量物联网终端的接入</w:t>
      </w:r>
    </w:p>
    <w:p>
      <w:pPr>
        <w:pStyle w:val="Style41"/>
        <w:keepNext w:val="0"/>
        <w:keepLines w:val="0"/>
        <w:widowControl w:val="0"/>
        <w:shd w:val="clear" w:color="auto" w:fill="auto"/>
        <w:bidi w:val="0"/>
        <w:spacing w:before="0" w:after="260" w:line="469" w:lineRule="exact"/>
        <w:ind w:left="0" w:right="0"/>
        <w:jc w:val="both"/>
      </w:pPr>
      <w:r>
        <w:rPr>
          <w:color w:val="000000"/>
          <w:spacing w:val="0"/>
          <w:w w:val="100"/>
          <w:position w:val="0"/>
        </w:rPr>
        <w:t>每千米的</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智慧线</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支持高达</w:t>
      </w:r>
      <w:r>
        <w:rPr>
          <w:rFonts w:ascii="Times New Roman" w:eastAsia="Times New Roman" w:hAnsi="Times New Roman" w:cs="Times New Roman"/>
          <w:color w:val="000000"/>
          <w:spacing w:val="0"/>
          <w:w w:val="100"/>
          <w:position w:val="0"/>
          <w:sz w:val="18"/>
          <w:szCs w:val="18"/>
        </w:rPr>
        <w:t>4,000</w:t>
      </w:r>
      <w:r>
        <w:rPr>
          <w:color w:val="000000"/>
          <w:spacing w:val="0"/>
          <w:w w:val="100"/>
          <w:position w:val="0"/>
        </w:rPr>
        <w:t>个终端的接入，每个</w:t>
      </w:r>
      <w:r>
        <w:rPr>
          <w:rFonts w:ascii="Times New Roman" w:eastAsia="Times New Roman" w:hAnsi="Times New Roman" w:cs="Times New Roman"/>
          <w:color w:val="000000"/>
          <w:spacing w:val="0"/>
          <w:w w:val="100"/>
          <w:position w:val="0"/>
          <w:sz w:val="18"/>
          <w:szCs w:val="18"/>
        </w:rPr>
        <w:t>Nu-Comm</w:t>
      </w:r>
      <w:r>
        <w:rPr>
          <w:color w:val="000000"/>
          <w:spacing w:val="0"/>
          <w:w w:val="100"/>
          <w:position w:val="0"/>
        </w:rPr>
        <w:t>微基站可支持</w:t>
      </w:r>
      <w:r>
        <w:rPr>
          <w:rFonts w:ascii="Times New Roman" w:eastAsia="Times New Roman" w:hAnsi="Times New Roman" w:cs="Times New Roman"/>
          <w:color w:val="000000"/>
          <w:spacing w:val="0"/>
          <w:w w:val="100"/>
          <w:position w:val="0"/>
          <w:sz w:val="18"/>
          <w:szCs w:val="18"/>
        </w:rPr>
        <w:t>200</w:t>
      </w:r>
      <w:r>
        <w:rPr>
          <w:color w:val="000000"/>
          <w:spacing w:val="0"/>
          <w:w w:val="100"/>
          <w:position w:val="0"/>
        </w:rPr>
        <w:t>个终端的接入，所有终端均可采用低功 耗模式设计，从休眠至唤醒切换时间为3级（微秒级），可在</w:t>
      </w:r>
      <w:r>
        <w:rPr>
          <w:rFonts w:ascii="Times New Roman" w:eastAsia="Times New Roman" w:hAnsi="Times New Roman" w:cs="Times New Roman"/>
          <w:color w:val="000000"/>
          <w:spacing w:val="0"/>
          <w:w w:val="100"/>
          <w:position w:val="0"/>
          <w:sz w:val="18"/>
          <w:szCs w:val="18"/>
        </w:rPr>
        <w:t>ms</w:t>
      </w:r>
      <w:r>
        <w:rPr>
          <w:color w:val="000000"/>
          <w:spacing w:val="0"/>
          <w:w w:val="100"/>
          <w:position w:val="0"/>
        </w:rPr>
        <w:t>级将传感信息发送至网络。</w:t>
      </w:r>
    </w:p>
    <w:p>
      <w:pPr>
        <w:pStyle w:val="Style41"/>
        <w:keepNext w:val="0"/>
        <w:keepLines w:val="0"/>
        <w:widowControl w:val="0"/>
        <w:shd w:val="clear" w:color="auto" w:fill="auto"/>
        <w:tabs>
          <w:tab w:pos="724" w:val="left"/>
        </w:tabs>
        <w:bidi w:val="0"/>
        <w:spacing w:before="0" w:after="0" w:line="545" w:lineRule="auto"/>
        <w:ind w:left="0" w:right="0"/>
        <w:jc w:val="both"/>
      </w:pPr>
      <w:bookmarkStart w:id="104" w:name="bookmark104"/>
      <w:r>
        <w:rPr>
          <w:rFonts w:ascii="Times New Roman" w:eastAsia="Times New Roman" w:hAnsi="Times New Roman" w:cs="Times New Roman"/>
          <w:b/>
          <w:bCs/>
          <w:color w:val="000000"/>
          <w:spacing w:val="0"/>
          <w:w w:val="100"/>
          <w:position w:val="0"/>
          <w:sz w:val="18"/>
          <w:szCs w:val="18"/>
        </w:rPr>
        <w:t>E</w:t>
      </w:r>
      <w:bookmarkEnd w:id="104"/>
      <w:r>
        <w:rPr>
          <w:b/>
          <w:bCs/>
          <w:color w:val="000000"/>
          <w:spacing w:val="0"/>
          <w:w w:val="100"/>
          <w:position w:val="0"/>
        </w:rPr>
        <w:t>、</w:t>
        <w:tab/>
      </w:r>
      <w:r>
        <w:rPr>
          <w:b/>
          <w:bCs/>
          <w:color w:val="000000"/>
          <w:spacing w:val="0"/>
          <w:w w:val="100"/>
          <w:position w:val="0"/>
        </w:rPr>
        <w:t>高便利性与可靠性</w:t>
      </w:r>
    </w:p>
    <w:p>
      <w:pPr>
        <w:pStyle w:val="Style41"/>
        <w:keepNext w:val="0"/>
        <w:keepLines w:val="0"/>
        <w:widowControl w:val="0"/>
        <w:shd w:val="clear" w:color="auto" w:fill="auto"/>
        <w:bidi w:val="0"/>
        <w:spacing w:before="0" w:after="480" w:line="469" w:lineRule="exact"/>
        <w:ind w:left="0" w:right="0"/>
        <w:jc w:val="both"/>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智慧线</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具备极高的便利性与可靠性，其将供电、数字、模拟、射频、天线等所有单元集成至线缆内，安装时无需安装 任何基站、天线等设备，安装、维护极其简便，大大降低相关成本；同时可在零下</w:t>
      </w:r>
      <w:r>
        <w:rPr>
          <w:rFonts w:ascii="Times New Roman" w:eastAsia="Times New Roman" w:hAnsi="Times New Roman" w:cs="Times New Roman"/>
          <w:color w:val="000000"/>
          <w:spacing w:val="0"/>
          <w:w w:val="100"/>
          <w:position w:val="0"/>
          <w:sz w:val="18"/>
          <w:szCs w:val="18"/>
        </w:rPr>
        <w:t>40</w:t>
      </w:r>
      <w:r>
        <w:rPr>
          <w:color w:val="000000"/>
          <w:spacing w:val="0"/>
          <w:w w:val="100"/>
          <w:position w:val="0"/>
        </w:rPr>
        <w:t>度到零上</w:t>
      </w:r>
      <w:r>
        <w:rPr>
          <w:rFonts w:ascii="Times New Roman" w:eastAsia="Times New Roman" w:hAnsi="Times New Roman" w:cs="Times New Roman"/>
          <w:color w:val="000000"/>
          <w:spacing w:val="0"/>
          <w:w w:val="100"/>
          <w:position w:val="0"/>
          <w:sz w:val="18"/>
          <w:szCs w:val="18"/>
        </w:rPr>
        <w:t>85</w:t>
      </w:r>
      <w:r>
        <w:rPr>
          <w:color w:val="000000"/>
          <w:spacing w:val="0"/>
          <w:w w:val="100"/>
          <w:position w:val="0"/>
        </w:rPr>
        <w:t>度宽温范围运行，防水和 耐盐雾等级达到特殊领域的等级要求。</w:t>
      </w:r>
    </w:p>
    <w:p>
      <w:pPr>
        <w:pStyle w:val="Style47"/>
        <w:keepNext/>
        <w:keepLines/>
        <w:widowControl w:val="0"/>
        <w:shd w:val="clear" w:color="auto" w:fill="auto"/>
        <w:bidi w:val="0"/>
        <w:spacing w:before="0" w:after="0" w:line="468" w:lineRule="exact"/>
        <w:ind w:left="0" w:right="0" w:firstLine="380"/>
        <w:jc w:val="both"/>
      </w:pPr>
      <w:bookmarkStart w:id="105" w:name="bookmark105"/>
      <w:bookmarkStart w:id="106" w:name="bookmark106"/>
      <w:bookmarkStart w:id="107" w:name="bookmark107"/>
      <w:bookmarkStart w:id="108" w:name="bookmark108"/>
      <w:r>
        <w:rPr>
          <w:rFonts w:ascii="Times New Roman" w:eastAsia="Times New Roman" w:hAnsi="Times New Roman" w:cs="Times New Roman"/>
          <w:color w:val="000000"/>
          <w:spacing w:val="0"/>
          <w:w w:val="100"/>
          <w:position w:val="0"/>
        </w:rPr>
        <w:t>4</w:t>
      </w:r>
      <w:bookmarkEnd w:id="107"/>
      <w:r>
        <w:rPr>
          <w:color w:val="000000"/>
          <w:spacing w:val="0"/>
          <w:w w:val="100"/>
          <w:position w:val="0"/>
        </w:rPr>
        <w:t>、人工智能</w:t>
      </w:r>
      <w:r>
        <w:rPr>
          <w:rFonts w:ascii="Times New Roman" w:eastAsia="Times New Roman" w:hAnsi="Times New Roman" w:cs="Times New Roman"/>
          <w:color w:val="000000"/>
          <w:spacing w:val="0"/>
          <w:w w:val="100"/>
          <w:position w:val="0"/>
        </w:rPr>
        <w:t>/</w:t>
      </w:r>
      <w:r>
        <w:rPr>
          <w:color w:val="000000"/>
          <w:spacing w:val="0"/>
          <w:w w:val="100"/>
          <w:position w:val="0"/>
        </w:rPr>
        <w:t>大数据业务板块</w:t>
      </w:r>
      <w:bookmarkEnd w:id="105"/>
      <w:bookmarkEnd w:id="106"/>
      <w:bookmarkEnd w:id="108"/>
    </w:p>
    <w:p>
      <w:pPr>
        <w:pStyle w:val="Style41"/>
        <w:keepNext w:val="0"/>
        <w:keepLines w:val="0"/>
        <w:widowControl w:val="0"/>
        <w:shd w:val="clear" w:color="auto" w:fill="auto"/>
        <w:bidi w:val="0"/>
        <w:spacing w:before="0" w:after="0" w:line="468" w:lineRule="exact"/>
        <w:ind w:left="0" w:right="0"/>
        <w:jc w:val="both"/>
      </w:pPr>
      <w:r>
        <w:rPr>
          <w:color w:val="000000"/>
          <w:spacing w:val="0"/>
          <w:w w:val="100"/>
          <w:position w:val="0"/>
        </w:rPr>
        <w:t>公司人工智能</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大数据业务专注于自然语言处理</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NLP</w:t>
      </w:r>
      <w:r>
        <w:rPr>
          <w:color w:val="000000"/>
          <w:spacing w:val="0"/>
          <w:w w:val="100"/>
          <w:position w:val="0"/>
        </w:rPr>
        <w:t>）</w:t>
      </w:r>
      <w:r>
        <w:rPr>
          <w:color w:val="000000"/>
          <w:spacing w:val="0"/>
          <w:w w:val="100"/>
          <w:position w:val="0"/>
        </w:rPr>
        <w:t>及大数据技术等的融合应用，汇集基础研究、关键技术、平台 建设和行业应用于一身，致力于持续推进人工智能技术在不同行业落地，利用</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智脑</w:t>
      </w:r>
      <w:r>
        <w:rPr>
          <w:rFonts w:ascii="Times New Roman" w:eastAsia="Times New Roman" w:hAnsi="Times New Roman" w:cs="Times New Roman"/>
          <w:color w:val="000000"/>
          <w:spacing w:val="0"/>
          <w:w w:val="100"/>
          <w:position w:val="0"/>
          <w:sz w:val="18"/>
          <w:szCs w:val="18"/>
        </w:rPr>
        <w:t>2.0”“</w:t>
      </w:r>
      <w:r>
        <w:rPr>
          <w:color w:val="000000"/>
          <w:spacing w:val="0"/>
          <w:w w:val="100"/>
          <w:position w:val="0"/>
        </w:rPr>
        <w:t>语义工厂</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及</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中文信息（深度）处 理开放创新平台</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 xml:space="preserve">，有效的将科研成果同产业落地工程相对接，面向公安、政府、气象、环保，金融等行业提供人工智能及 大数据解决方案，例如实有人口信息采集系统、公安案事件研判分析语义平台、人工智能合成作战应用、指挥中心业务场景 </w:t>
      </w:r>
      <w:r>
        <w:rPr>
          <w:rFonts w:ascii="Times New Roman" w:eastAsia="Times New Roman" w:hAnsi="Times New Roman" w:cs="Times New Roman"/>
          <w:color w:val="000000"/>
          <w:spacing w:val="0"/>
          <w:w w:val="100"/>
          <w:position w:val="0"/>
          <w:sz w:val="18"/>
          <w:szCs w:val="18"/>
        </w:rPr>
        <w:t>AI</w:t>
      </w:r>
      <w:r>
        <w:rPr>
          <w:color w:val="000000"/>
          <w:spacing w:val="0"/>
          <w:w w:val="100"/>
          <w:position w:val="0"/>
        </w:rPr>
        <w:t>赋能、卫星数据反演雷达降水、自然灾害处理、智慧环保、金融非结构化数据分析平台等。</w:t>
      </w:r>
      <w:r>
        <w:rPr>
          <w:b/>
          <w:bCs/>
          <w:color w:val="000000"/>
          <w:spacing w:val="0"/>
          <w:w w:val="100"/>
          <w:position w:val="0"/>
        </w:rPr>
        <w:t>截至</w:t>
      </w:r>
      <w:r>
        <w:rPr>
          <w:rFonts w:ascii="Times New Roman" w:eastAsia="Times New Roman" w:hAnsi="Times New Roman" w:cs="Times New Roman"/>
          <w:b/>
          <w:bCs/>
          <w:color w:val="000000"/>
          <w:spacing w:val="0"/>
          <w:w w:val="100"/>
          <w:position w:val="0"/>
          <w:sz w:val="18"/>
          <w:szCs w:val="18"/>
        </w:rPr>
        <w:t>2020</w:t>
      </w:r>
      <w:r>
        <w:rPr>
          <w:b/>
          <w:bCs/>
          <w:color w:val="000000"/>
          <w:spacing w:val="0"/>
          <w:w w:val="100"/>
          <w:position w:val="0"/>
        </w:rPr>
        <w:t>年末，在人工智能 领域公司已申请专利</w:t>
      </w:r>
      <w:r>
        <w:rPr>
          <w:rFonts w:ascii="Times New Roman" w:eastAsia="Times New Roman" w:hAnsi="Times New Roman" w:cs="Times New Roman"/>
          <w:b/>
          <w:bCs/>
          <w:color w:val="000000"/>
          <w:spacing w:val="0"/>
          <w:w w:val="100"/>
          <w:position w:val="0"/>
          <w:sz w:val="18"/>
          <w:szCs w:val="18"/>
        </w:rPr>
        <w:t>263</w:t>
      </w:r>
      <w:r>
        <w:rPr>
          <w:b/>
          <w:bCs/>
          <w:color w:val="000000"/>
          <w:spacing w:val="0"/>
          <w:w w:val="100"/>
          <w:position w:val="0"/>
        </w:rPr>
        <w:t>件，其中</w:t>
      </w:r>
      <w:r>
        <w:rPr>
          <w:rFonts w:ascii="Times New Roman" w:eastAsia="Times New Roman" w:hAnsi="Times New Roman" w:cs="Times New Roman"/>
          <w:b/>
          <w:bCs/>
          <w:color w:val="000000"/>
          <w:spacing w:val="0"/>
          <w:w w:val="100"/>
          <w:position w:val="0"/>
          <w:sz w:val="18"/>
          <w:szCs w:val="18"/>
        </w:rPr>
        <w:t>252</w:t>
      </w:r>
      <w:r>
        <w:rPr>
          <w:b/>
          <w:bCs/>
          <w:color w:val="000000"/>
          <w:spacing w:val="0"/>
          <w:w w:val="100"/>
          <w:position w:val="0"/>
        </w:rPr>
        <w:t>件为发明专利；已获得授权的专利</w:t>
      </w:r>
      <w:r>
        <w:rPr>
          <w:rFonts w:ascii="Times New Roman" w:eastAsia="Times New Roman" w:hAnsi="Times New Roman" w:cs="Times New Roman"/>
          <w:b/>
          <w:bCs/>
          <w:color w:val="000000"/>
          <w:spacing w:val="0"/>
          <w:w w:val="100"/>
          <w:position w:val="0"/>
          <w:sz w:val="18"/>
          <w:szCs w:val="18"/>
        </w:rPr>
        <w:t>81</w:t>
      </w:r>
      <w:r>
        <w:rPr>
          <w:b/>
          <w:bCs/>
          <w:color w:val="000000"/>
          <w:spacing w:val="0"/>
          <w:w w:val="100"/>
          <w:position w:val="0"/>
        </w:rPr>
        <w:t>件，其中发明专利</w:t>
      </w:r>
      <w:r>
        <w:rPr>
          <w:rFonts w:ascii="Times New Roman" w:eastAsia="Times New Roman" w:hAnsi="Times New Roman" w:cs="Times New Roman"/>
          <w:b/>
          <w:bCs/>
          <w:color w:val="000000"/>
          <w:spacing w:val="0"/>
          <w:w w:val="100"/>
          <w:position w:val="0"/>
          <w:sz w:val="18"/>
          <w:szCs w:val="18"/>
        </w:rPr>
        <w:t>75</w:t>
      </w:r>
      <w:r>
        <w:rPr>
          <w:b/>
          <w:bCs/>
          <w:color w:val="000000"/>
          <w:spacing w:val="0"/>
          <w:w w:val="100"/>
          <w:position w:val="0"/>
        </w:rPr>
        <w:t>件。</w:t>
      </w:r>
    </w:p>
    <w:p>
      <w:pPr>
        <w:pStyle w:val="Style58"/>
        <w:keepNext/>
        <w:keepLines/>
        <w:widowControl w:val="0"/>
        <w:shd w:val="clear" w:color="auto" w:fill="auto"/>
        <w:bidi w:val="0"/>
        <w:spacing w:before="0" w:after="0" w:line="468" w:lineRule="exact"/>
        <w:ind w:left="0" w:right="0"/>
        <w:jc w:val="both"/>
      </w:pPr>
      <w:bookmarkStart w:id="109" w:name="bookmark109"/>
      <w:bookmarkStart w:id="110" w:name="bookmark110"/>
      <w:bookmarkStart w:id="111" w:name="bookmark111"/>
      <w:r>
        <w:rPr>
          <w:rFonts w:ascii="Times New Roman" w:eastAsia="Times New Roman" w:hAnsi="Times New Roman" w:cs="Times New Roman"/>
          <w:b/>
          <w:bCs/>
          <w:color w:val="000000"/>
          <w:spacing w:val="0"/>
          <w:w w:val="100"/>
          <w:position w:val="0"/>
          <w:sz w:val="18"/>
          <w:szCs w:val="18"/>
        </w:rPr>
        <w:t>4.1</w:t>
      </w:r>
      <w:r>
        <w:rPr>
          <w:b/>
          <w:bCs/>
          <w:color w:val="000000"/>
          <w:spacing w:val="0"/>
          <w:w w:val="100"/>
          <w:position w:val="0"/>
        </w:rPr>
        <w:t>人工智能</w:t>
      </w:r>
      <w:r>
        <w:rPr>
          <w:rFonts w:ascii="Times New Roman" w:eastAsia="Times New Roman" w:hAnsi="Times New Roman" w:cs="Times New Roman"/>
          <w:b/>
          <w:bCs/>
          <w:color w:val="000000"/>
          <w:spacing w:val="0"/>
          <w:w w:val="100"/>
          <w:position w:val="0"/>
          <w:sz w:val="18"/>
          <w:szCs w:val="18"/>
        </w:rPr>
        <w:t>/</w:t>
      </w:r>
      <w:r>
        <w:rPr>
          <w:b/>
          <w:bCs/>
          <w:color w:val="000000"/>
          <w:spacing w:val="0"/>
          <w:w w:val="100"/>
          <w:position w:val="0"/>
        </w:rPr>
        <w:t>大数据主要产品</w:t>
      </w:r>
      <w:bookmarkEnd w:id="109"/>
      <w:bookmarkEnd w:id="110"/>
      <w:bookmarkEnd w:id="111"/>
    </w:p>
    <w:p>
      <w:pPr>
        <w:pStyle w:val="Style41"/>
        <w:keepNext w:val="0"/>
        <w:keepLines w:val="0"/>
        <w:widowControl w:val="0"/>
        <w:shd w:val="clear" w:color="auto" w:fill="auto"/>
        <w:tabs>
          <w:tab w:pos="680" w:val="left"/>
        </w:tabs>
        <w:bidi w:val="0"/>
        <w:spacing w:before="0" w:after="0" w:line="468" w:lineRule="exact"/>
        <w:ind w:left="0" w:right="0"/>
        <w:jc w:val="both"/>
      </w:pPr>
      <w:bookmarkStart w:id="112" w:name="bookmark112"/>
      <w:r>
        <w:rPr>
          <w:rFonts w:ascii="Times New Roman" w:eastAsia="Times New Roman" w:hAnsi="Times New Roman" w:cs="Times New Roman"/>
          <w:color w:val="000000"/>
          <w:spacing w:val="0"/>
          <w:w w:val="100"/>
          <w:position w:val="0"/>
          <w:sz w:val="18"/>
          <w:szCs w:val="18"/>
        </w:rPr>
        <w:t>A</w:t>
      </w:r>
      <w:bookmarkEnd w:id="112"/>
      <w:r>
        <w:rPr>
          <w:color w:val="000000"/>
          <w:spacing w:val="0"/>
          <w:w w:val="100"/>
          <w:position w:val="0"/>
        </w:rPr>
        <w:t>、</w:t>
        <w:tab/>
      </w:r>
      <w:r>
        <w:rPr>
          <w:b/>
          <w:bCs/>
          <w:color w:val="000000"/>
          <w:spacing w:val="0"/>
          <w:w w:val="100"/>
          <w:position w:val="0"/>
        </w:rPr>
        <w:t>大数据产品</w:t>
      </w:r>
      <w:r>
        <w:rPr>
          <w:color w:val="000000"/>
          <w:spacing w:val="0"/>
          <w:w w:val="100"/>
          <w:position w:val="0"/>
        </w:rPr>
        <w:t>类：公司基于</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大交换、大共享、大缓存</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的理念，结合公司现有的技术能力，推出大数据基础产品：</w:t>
      </w:r>
      <w:r>
        <w:rPr>
          <w:rFonts w:ascii="Times New Roman" w:eastAsia="Times New Roman" w:hAnsi="Times New Roman" w:cs="Times New Roman"/>
          <w:color w:val="000000"/>
          <w:spacing w:val="0"/>
          <w:w w:val="100"/>
          <w:position w:val="0"/>
          <w:sz w:val="18"/>
          <w:szCs w:val="18"/>
        </w:rPr>
        <w:t xml:space="preserve">Ultra-DB </w:t>
      </w:r>
      <w:r>
        <w:rPr>
          <w:color w:val="000000"/>
          <w:spacing w:val="0"/>
          <w:w w:val="100"/>
          <w:position w:val="0"/>
        </w:rPr>
        <w:t>云数据仓库、</w:t>
      </w:r>
      <w:r>
        <w:rPr>
          <w:rFonts w:ascii="Times New Roman" w:eastAsia="Times New Roman" w:hAnsi="Times New Roman" w:cs="Times New Roman"/>
          <w:color w:val="000000"/>
          <w:spacing w:val="0"/>
          <w:w w:val="100"/>
          <w:position w:val="0"/>
          <w:sz w:val="18"/>
          <w:szCs w:val="18"/>
        </w:rPr>
        <w:t>Data Exchange</w:t>
      </w:r>
      <w:r>
        <w:rPr>
          <w:color w:val="000000"/>
          <w:spacing w:val="0"/>
          <w:w w:val="100"/>
          <w:position w:val="0"/>
        </w:rPr>
        <w:t>数据共享交换平台、大数据实体分析平台。</w:t>
      </w:r>
    </w:p>
    <w:p>
      <w:pPr>
        <w:pStyle w:val="Style41"/>
        <w:keepNext w:val="0"/>
        <w:keepLines w:val="0"/>
        <w:widowControl w:val="0"/>
        <w:shd w:val="clear" w:color="auto" w:fill="auto"/>
        <w:tabs>
          <w:tab w:pos="689" w:val="left"/>
        </w:tabs>
        <w:bidi w:val="0"/>
        <w:spacing w:before="0" w:after="140" w:line="468" w:lineRule="exact"/>
        <w:ind w:left="0" w:right="0"/>
        <w:jc w:val="both"/>
      </w:pPr>
      <w:bookmarkStart w:id="113" w:name="bookmark113"/>
      <w:r>
        <w:rPr>
          <w:rFonts w:ascii="Times New Roman" w:eastAsia="Times New Roman" w:hAnsi="Times New Roman" w:cs="Times New Roman"/>
          <w:color w:val="000000"/>
          <w:spacing w:val="0"/>
          <w:w w:val="100"/>
          <w:position w:val="0"/>
          <w:sz w:val="18"/>
          <w:szCs w:val="18"/>
        </w:rPr>
        <w:t>B</w:t>
      </w:r>
      <w:bookmarkEnd w:id="113"/>
      <w:r>
        <w:rPr>
          <w:color w:val="000000"/>
          <w:spacing w:val="0"/>
          <w:w w:val="100"/>
          <w:position w:val="0"/>
        </w:rPr>
        <w:t>、</w:t>
        <w:tab/>
      </w:r>
      <w:r>
        <w:rPr>
          <w:rFonts w:ascii="Times New Roman" w:eastAsia="Times New Roman" w:hAnsi="Times New Roman" w:cs="Times New Roman"/>
          <w:b/>
          <w:bCs/>
          <w:color w:val="000000"/>
          <w:spacing w:val="0"/>
          <w:w w:val="100"/>
          <w:position w:val="0"/>
          <w:sz w:val="18"/>
          <w:szCs w:val="18"/>
        </w:rPr>
        <w:t>“</w:t>
      </w:r>
      <w:r>
        <w:rPr>
          <w:b/>
          <w:bCs/>
          <w:color w:val="000000"/>
          <w:spacing w:val="0"/>
          <w:w w:val="100"/>
          <w:position w:val="0"/>
        </w:rPr>
        <w:t>智脑</w:t>
      </w:r>
      <w:r>
        <w:rPr>
          <w:rFonts w:ascii="Times New Roman" w:eastAsia="Times New Roman" w:hAnsi="Times New Roman" w:cs="Times New Roman"/>
          <w:b/>
          <w:bCs/>
          <w:color w:val="000000"/>
          <w:spacing w:val="0"/>
          <w:w w:val="100"/>
          <w:position w:val="0"/>
          <w:sz w:val="18"/>
          <w:szCs w:val="18"/>
        </w:rPr>
        <w:t>2</w:t>
      </w:r>
      <w:r>
        <w:rPr>
          <w:rFonts w:ascii="Times New Roman" w:eastAsia="Times New Roman" w:hAnsi="Times New Roman" w:cs="Times New Roman"/>
          <w:b/>
          <w:bCs/>
          <w:color w:val="000000"/>
          <w:spacing w:val="0"/>
          <w:w w:val="100"/>
          <w:position w:val="0"/>
          <w:sz w:val="18"/>
          <w:szCs w:val="18"/>
        </w:rPr>
        <w:t>.0”</w:t>
      </w:r>
      <w:r>
        <w:rPr>
          <w:color w:val="000000"/>
          <w:spacing w:val="0"/>
          <w:w w:val="100"/>
          <w:position w:val="0"/>
        </w:rPr>
        <w:t>系列产品是公司结合前期在公安领域的研发积累及项目经验，为提高软件复用度，而推出的基于</w:t>
      </w:r>
      <w:r>
        <w:rPr>
          <w:rFonts w:ascii="Times New Roman" w:eastAsia="Times New Roman" w:hAnsi="Times New Roman" w:cs="Times New Roman"/>
          <w:color w:val="000000"/>
          <w:spacing w:val="0"/>
          <w:w w:val="100"/>
          <w:position w:val="0"/>
          <w:sz w:val="18"/>
          <w:szCs w:val="18"/>
        </w:rPr>
        <w:t>PB</w:t>
      </w:r>
      <w:r>
        <w:rPr>
          <w:color w:val="000000"/>
          <w:spacing w:val="0"/>
          <w:w w:val="100"/>
          <w:position w:val="0"/>
        </w:rPr>
        <w:t>级全 量数据秒级运算的大数据</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人工智能综合应用产品。该产品集成了公司的多项技术能力，以极速计算、实体</w:t>
      </w:r>
      <w:r>
        <w:rPr>
          <w:rFonts w:ascii="Times New Roman" w:eastAsia="Times New Roman" w:hAnsi="Times New Roman" w:cs="Times New Roman"/>
          <w:color w:val="000000"/>
          <w:spacing w:val="0"/>
          <w:w w:val="100"/>
          <w:position w:val="0"/>
          <w:sz w:val="18"/>
          <w:szCs w:val="18"/>
        </w:rPr>
        <w:t>360</w:t>
      </w:r>
      <w:r>
        <w:rPr>
          <w:color w:val="000000"/>
          <w:spacing w:val="0"/>
          <w:w w:val="100"/>
          <w:position w:val="0"/>
          <w:sz w:val="18"/>
          <w:szCs w:val="18"/>
        </w:rPr>
        <w:t>。</w:t>
      </w:r>
      <w:r>
        <w:rPr>
          <w:color w:val="000000"/>
          <w:spacing w:val="0"/>
          <w:w w:val="100"/>
          <w:position w:val="0"/>
        </w:rPr>
        <w:t>全息画像、 数据共享为支撑，面向跨界跨网应用，提供平台级基础设施。</w:t>
      </w:r>
    </w:p>
    <w:p>
      <w:pPr>
        <w:framePr w:w="9072" w:h="3538" w:wrap="notBeside" w:vAnchor="text" w:hAnchor="text" w:x="361" w:y="1"/>
        <w:widowControl w:val="0"/>
        <w:rPr>
          <w:sz w:val="2"/>
          <w:szCs w:val="2"/>
        </w:rPr>
      </w:pPr>
      <w:r>
        <w:drawing>
          <wp:inline>
            <wp:extent cx="5760720" cy="2249170"/>
            <wp:docPr id="186" name="Picutre 186"/>
            <a:graphic xmlns:a="http://schemas.openxmlformats.org/drawingml/2006/main">
              <a:graphicData uri="http://schemas.openxmlformats.org/drawingml/2006/picture">
                <pic:pic xmlns:pic="http://schemas.openxmlformats.org/drawingml/2006/picture">
                  <pic:nvPicPr>
                    <pic:cNvPr id="186" name="Picture 186"/>
                    <pic:cNvPicPr/>
                  </pic:nvPicPr>
                  <pic:blipFill>
                    <a:blip r:embed="rId57"/>
                    <a:stretch/>
                  </pic:blipFill>
                  <pic:spPr>
                    <a:xfrm>
                      <a:ext cx="5760720" cy="2249170"/>
                    </a:xfrm>
                    <a:prstGeom prst="rect"/>
                  </pic:spPr>
                </pic:pic>
              </a:graphicData>
            </a:graphic>
          </wp:inline>
        </w:drawing>
      </w:r>
    </w:p>
    <w:p>
      <w:pPr>
        <w:widowControl w:val="0"/>
        <w:spacing w:line="1" w:lineRule="exact"/>
      </w:pPr>
      <w:r>
        <mc:AlternateContent>
          <mc:Choice Requires="wps">
            <w:drawing>
              <wp:anchor distT="0" distB="0" distL="228600" distR="5066030" simplePos="0" relativeHeight="125829403" behindDoc="0" locked="0" layoutInCell="1" allowOverlap="1">
                <wp:simplePos x="0" y="0"/>
                <wp:positionH relativeFrom="column">
                  <wp:posOffset>652145</wp:posOffset>
                </wp:positionH>
                <wp:positionV relativeFrom="paragraph">
                  <wp:posOffset>1941830</wp:posOffset>
                </wp:positionV>
                <wp:extent cx="923290" cy="121920"/>
                <wp:wrapTopAndBottom/>
                <wp:docPr id="187" name="Shape 187"/>
                <a:graphic xmlns:a="http://schemas.openxmlformats.org/drawingml/2006/main">
                  <a:graphicData uri="http://schemas.microsoft.com/office/word/2010/wordprocessingShape">
                    <wps:wsp>
                      <wps:cNvSpPr txBox="1"/>
                      <wps:spPr>
                        <a:xfrm>
                          <a:ext cx="923290" cy="12192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4"/>
                                <w:szCs w:val="14"/>
                              </w:rPr>
                            </w:pPr>
                            <w:r>
                              <w:rPr>
                                <w:color w:val="21355E"/>
                                <w:spacing w:val="0"/>
                                <w:w w:val="100"/>
                                <w:position w:val="0"/>
                                <w:sz w:val="14"/>
                                <w:szCs w:val="14"/>
                              </w:rPr>
                              <w:t>人工智能智脑支撑平台</w:t>
                            </w:r>
                          </w:p>
                        </w:txbxContent>
                      </wps:txbx>
                      <wps:bodyPr lIns="0" tIns="0" rIns="0" bIns="0">
                        <a:noAutoFit/>
                      </wps:bodyPr>
                    </wps:wsp>
                  </a:graphicData>
                </a:graphic>
              </wp:anchor>
            </w:drawing>
          </mc:Choice>
          <mc:Fallback>
            <w:pict>
              <v:shape id="_x0000_s1213" type="#_x0000_t202" style="position:absolute;margin-left:51.350000000000001pt;margin-top:152.90000000000001pt;width:72.700000000000003pt;height:9.5999999999999996pt;z-index:-125829350;mso-wrap-distance-left:18.pt;mso-wrap-distance-right:398.90000000000003pt" filled="f" stroked="f">
                <v:textbox inset="0,0,0,0">
                  <w:txbxContent>
                    <w:p>
                      <w:pPr>
                        <w:pStyle w:val="Style65"/>
                        <w:keepNext w:val="0"/>
                        <w:keepLines w:val="0"/>
                        <w:widowControl w:val="0"/>
                        <w:shd w:val="clear" w:color="auto" w:fill="auto"/>
                        <w:bidi w:val="0"/>
                        <w:spacing w:before="0" w:after="0" w:line="240" w:lineRule="auto"/>
                        <w:ind w:left="0" w:right="0" w:firstLine="0"/>
                        <w:jc w:val="left"/>
                        <w:rPr>
                          <w:sz w:val="14"/>
                          <w:szCs w:val="14"/>
                        </w:rPr>
                      </w:pPr>
                      <w:r>
                        <w:rPr>
                          <w:color w:val="21355E"/>
                          <w:spacing w:val="0"/>
                          <w:w w:val="100"/>
                          <w:position w:val="0"/>
                          <w:sz w:val="14"/>
                          <w:szCs w:val="14"/>
                        </w:rPr>
                        <w:t>人工智能智脑支撑平台</w:t>
                      </w:r>
                    </w:p>
                  </w:txbxContent>
                </v:textbox>
                <w10:wrap type="topAndBottom"/>
              </v:shape>
            </w:pict>
          </mc:Fallback>
        </mc:AlternateContent>
      </w:r>
      <w:r>
        <mc:AlternateContent>
          <mc:Choice Requires="wps">
            <w:drawing>
              <wp:anchor distT="0" distB="0" distL="228600" distR="5428615" simplePos="0" relativeHeight="125829405" behindDoc="0" locked="0" layoutInCell="1" allowOverlap="1">
                <wp:simplePos x="0" y="0"/>
                <wp:positionH relativeFrom="column">
                  <wp:posOffset>2856230</wp:posOffset>
                </wp:positionH>
                <wp:positionV relativeFrom="paragraph">
                  <wp:posOffset>137160</wp:posOffset>
                </wp:positionV>
                <wp:extent cx="560705" cy="121920"/>
                <wp:wrapTopAndBottom/>
                <wp:docPr id="189" name="Shape 189"/>
                <a:graphic xmlns:a="http://schemas.openxmlformats.org/drawingml/2006/main">
                  <a:graphicData uri="http://schemas.microsoft.com/office/word/2010/wordprocessingShape">
                    <wps:wsp>
                      <wps:cNvSpPr txBox="1"/>
                      <wps:spPr>
                        <a:xfrm>
                          <a:ext cx="560705" cy="12192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4"/>
                                <w:szCs w:val="14"/>
                              </w:rPr>
                            </w:pPr>
                            <w:r>
                              <w:rPr>
                                <w:color w:val="21355E"/>
                                <w:spacing w:val="0"/>
                                <w:w w:val="100"/>
                                <w:position w:val="0"/>
                                <w:sz w:val="14"/>
                                <w:szCs w:val="14"/>
                              </w:rPr>
                              <w:t>实体分析平台</w:t>
                            </w:r>
                          </w:p>
                        </w:txbxContent>
                      </wps:txbx>
                      <wps:bodyPr lIns="0" tIns="0" rIns="0" bIns="0">
                        <a:noAutoFit/>
                      </wps:bodyPr>
                    </wps:wsp>
                  </a:graphicData>
                </a:graphic>
              </wp:anchor>
            </w:drawing>
          </mc:Choice>
          <mc:Fallback>
            <w:pict>
              <v:shape id="_x0000_s1215" type="#_x0000_t202" style="position:absolute;margin-left:224.90000000000001pt;margin-top:10.800000000000001pt;width:44.149999999999999pt;height:9.5999999999999996pt;z-index:-125829348;mso-wrap-distance-left:18.pt;mso-wrap-distance-right:427.44999999999999pt" filled="f" stroked="f">
                <v:textbox inset="0,0,0,0">
                  <w:txbxContent>
                    <w:p>
                      <w:pPr>
                        <w:pStyle w:val="Style65"/>
                        <w:keepNext w:val="0"/>
                        <w:keepLines w:val="0"/>
                        <w:widowControl w:val="0"/>
                        <w:shd w:val="clear" w:color="auto" w:fill="auto"/>
                        <w:bidi w:val="0"/>
                        <w:spacing w:before="0" w:after="0" w:line="240" w:lineRule="auto"/>
                        <w:ind w:left="0" w:right="0" w:firstLine="0"/>
                        <w:jc w:val="left"/>
                        <w:rPr>
                          <w:sz w:val="14"/>
                          <w:szCs w:val="14"/>
                        </w:rPr>
                      </w:pPr>
                      <w:r>
                        <w:rPr>
                          <w:color w:val="21355E"/>
                          <w:spacing w:val="0"/>
                          <w:w w:val="100"/>
                          <w:position w:val="0"/>
                          <w:sz w:val="14"/>
                          <w:szCs w:val="14"/>
                        </w:rPr>
                        <w:t>实体分析平台</w:t>
                      </w:r>
                    </w:p>
                  </w:txbxContent>
                </v:textbox>
                <w10:wrap type="topAndBottom"/>
              </v:shape>
            </w:pict>
          </mc:Fallback>
        </mc:AlternateContent>
      </w:r>
      <w:r>
        <mc:AlternateContent>
          <mc:Choice Requires="wps">
            <w:drawing>
              <wp:anchor distT="0" distB="0" distL="228600" distR="4136390" simplePos="0" relativeHeight="125829407" behindDoc="0" locked="0" layoutInCell="1" allowOverlap="1">
                <wp:simplePos x="0" y="0"/>
                <wp:positionH relativeFrom="column">
                  <wp:posOffset>2853055</wp:posOffset>
                </wp:positionH>
                <wp:positionV relativeFrom="paragraph">
                  <wp:posOffset>316865</wp:posOffset>
                </wp:positionV>
                <wp:extent cx="1852930" cy="103505"/>
                <wp:wrapTopAndBottom/>
                <wp:docPr id="191" name="Shape 191"/>
                <a:graphic xmlns:a="http://schemas.openxmlformats.org/drawingml/2006/main">
                  <a:graphicData uri="http://schemas.microsoft.com/office/word/2010/wordprocessingShape">
                    <wps:wsp>
                      <wps:cNvSpPr txBox="1"/>
                      <wps:spPr>
                        <a:xfrm>
                          <a:ext cx="1852930" cy="103505"/>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rFonts w:ascii="Arial" w:eastAsia="Arial" w:hAnsi="Arial" w:cs="Arial"/>
                                <w:color w:val="21355E"/>
                                <w:spacing w:val="0"/>
                                <w:w w:val="100"/>
                                <w:position w:val="0"/>
                                <w:sz w:val="8"/>
                                <w:szCs w:val="8"/>
                              </w:rPr>
                              <w:t>•</w:t>
                            </w:r>
                            <w:r>
                              <w:rPr>
                                <w:spacing w:val="0"/>
                                <w:w w:val="100"/>
                                <w:position w:val="0"/>
                              </w:rPr>
                              <w:t>拥有数据交换高速运能力.</w:t>
                            </w:r>
                          </w:p>
                        </w:txbxContent>
                      </wps:txbx>
                      <wps:bodyPr lIns="0" tIns="0" rIns="0" bIns="0">
                        <a:noAutoFit/>
                      </wps:bodyPr>
                    </wps:wsp>
                  </a:graphicData>
                </a:graphic>
              </wp:anchor>
            </w:drawing>
          </mc:Choice>
          <mc:Fallback>
            <w:pict>
              <v:shape id="_x0000_s1217" type="#_x0000_t202" style="position:absolute;margin-left:224.65000000000001pt;margin-top:24.949999999999999pt;width:145.90000000000001pt;height:8.1500000000000004pt;z-index:-125829346;mso-wrap-distance-left:18.pt;mso-wrap-distance-right:325.69999999999999pt" filled="f" stroked="f">
                <v:textbox inset="0,0,0,0">
                  <w:txbxContent>
                    <w:p>
                      <w:pPr>
                        <w:pStyle w:val="Style65"/>
                        <w:keepNext w:val="0"/>
                        <w:keepLines w:val="0"/>
                        <w:widowControl w:val="0"/>
                        <w:shd w:val="clear" w:color="auto" w:fill="auto"/>
                        <w:bidi w:val="0"/>
                        <w:spacing w:before="0" w:after="0" w:line="240" w:lineRule="auto"/>
                        <w:ind w:left="0" w:right="0" w:firstLine="0"/>
                        <w:jc w:val="left"/>
                      </w:pPr>
                      <w:r>
                        <w:rPr>
                          <w:rFonts w:ascii="Arial" w:eastAsia="Arial" w:hAnsi="Arial" w:cs="Arial"/>
                          <w:color w:val="21355E"/>
                          <w:spacing w:val="0"/>
                          <w:w w:val="100"/>
                          <w:position w:val="0"/>
                          <w:sz w:val="8"/>
                          <w:szCs w:val="8"/>
                        </w:rPr>
                        <w:t>•</w:t>
                      </w:r>
                      <w:r>
                        <w:rPr>
                          <w:spacing w:val="0"/>
                          <w:w w:val="100"/>
                          <w:position w:val="0"/>
                        </w:rPr>
                        <w:t>拥有数据交换高速运能力.</w:t>
                      </w:r>
                    </w:p>
                  </w:txbxContent>
                </v:textbox>
                <w10:wrap type="topAndBottom"/>
              </v:shape>
            </w:pict>
          </mc:Fallback>
        </mc:AlternateContent>
      </w:r>
      <w:r>
        <mc:AlternateContent>
          <mc:Choice Requires="wps">
            <w:drawing>
              <wp:anchor distT="0" distB="0" distL="228600" distR="3489960" simplePos="0" relativeHeight="125829409" behindDoc="0" locked="0" layoutInCell="1" allowOverlap="1">
                <wp:simplePos x="0" y="0"/>
                <wp:positionH relativeFrom="column">
                  <wp:posOffset>2853055</wp:posOffset>
                </wp:positionH>
                <wp:positionV relativeFrom="paragraph">
                  <wp:posOffset>435610</wp:posOffset>
                </wp:positionV>
                <wp:extent cx="2499360" cy="109855"/>
                <wp:wrapTopAndBottom/>
                <wp:docPr id="193" name="Shape 193"/>
                <a:graphic xmlns:a="http://schemas.openxmlformats.org/drawingml/2006/main">
                  <a:graphicData uri="http://schemas.microsoft.com/office/word/2010/wordprocessingShape">
                    <wps:wsp>
                      <wps:cNvSpPr txBox="1"/>
                      <wps:spPr>
                        <a:xfrm>
                          <a:ext cx="2499360" cy="109855"/>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right"/>
                            </w:pPr>
                            <w:r>
                              <w:rPr>
                                <w:rFonts w:ascii="Arial" w:eastAsia="Arial" w:hAnsi="Arial" w:cs="Arial"/>
                                <w:color w:val="21355E"/>
                                <w:spacing w:val="0"/>
                                <w:w w:val="100"/>
                                <w:position w:val="0"/>
                                <w:sz w:val="8"/>
                                <w:szCs w:val="8"/>
                              </w:rPr>
                              <w:t>•</w:t>
                            </w:r>
                            <w:r>
                              <w:rPr>
                                <w:spacing w:val="0"/>
                                <w:w w:val="100"/>
                                <w:position w:val="0"/>
                              </w:rPr>
                              <w:t>打造大散据从</w:t>
                            </w:r>
                            <w:r>
                              <w:rPr>
                                <w:rFonts w:ascii="Arial" w:eastAsia="Arial" w:hAnsi="Arial" w:cs="Arial"/>
                                <w:spacing w:val="0"/>
                                <w:w w:val="100"/>
                                <w:position w:val="0"/>
                                <w:sz w:val="8"/>
                                <w:szCs w:val="8"/>
                              </w:rPr>
                              <w:t>®</w:t>
                            </w:r>
                            <w:r>
                              <w:rPr>
                                <w:spacing w:val="0"/>
                                <w:w w:val="100"/>
                                <w:position w:val="0"/>
                              </w:rPr>
                              <w:t>（据此移、</w:t>
                            </w:r>
                            <w:r>
                              <w:rPr>
                                <w:rFonts w:ascii="Times New Roman" w:eastAsia="Times New Roman" w:hAnsi="Times New Roman" w:cs="Times New Roman"/>
                                <w:b/>
                                <w:bCs/>
                                <w:spacing w:val="0"/>
                                <w:w w:val="100"/>
                                <w:position w:val="0"/>
                                <w:sz w:val="11"/>
                                <w:szCs w:val="11"/>
                              </w:rPr>
                              <w:t>iC».</w:t>
                            </w:r>
                            <w:r>
                              <w:rPr>
                                <w:spacing w:val="0"/>
                                <w:w w:val="100"/>
                                <w:position w:val="0"/>
                              </w:rPr>
                              <w:t>略、分析至过程的一体化散据岫更好的刻</w:t>
                            </w:r>
                          </w:p>
                        </w:txbxContent>
                      </wps:txbx>
                      <wps:bodyPr lIns="0" tIns="0" rIns="0" bIns="0">
                        <a:noAutoFit/>
                      </wps:bodyPr>
                    </wps:wsp>
                  </a:graphicData>
                </a:graphic>
              </wp:anchor>
            </w:drawing>
          </mc:Choice>
          <mc:Fallback>
            <w:pict>
              <v:shape id="_x0000_s1219" type="#_x0000_t202" style="position:absolute;margin-left:224.65000000000001pt;margin-top:34.300000000000004pt;width:196.80000000000001pt;height:8.6500000000000004pt;z-index:-125829344;mso-wrap-distance-left:18.pt;mso-wrap-distance-right:274.80000000000001pt" filled="f" stroked="f">
                <v:textbox inset="0,0,0,0">
                  <w:txbxContent>
                    <w:p>
                      <w:pPr>
                        <w:pStyle w:val="Style65"/>
                        <w:keepNext w:val="0"/>
                        <w:keepLines w:val="0"/>
                        <w:widowControl w:val="0"/>
                        <w:shd w:val="clear" w:color="auto" w:fill="auto"/>
                        <w:bidi w:val="0"/>
                        <w:spacing w:before="0" w:after="0" w:line="240" w:lineRule="auto"/>
                        <w:ind w:left="0" w:right="0" w:firstLine="0"/>
                        <w:jc w:val="right"/>
                      </w:pPr>
                      <w:r>
                        <w:rPr>
                          <w:rFonts w:ascii="Arial" w:eastAsia="Arial" w:hAnsi="Arial" w:cs="Arial"/>
                          <w:color w:val="21355E"/>
                          <w:spacing w:val="0"/>
                          <w:w w:val="100"/>
                          <w:position w:val="0"/>
                          <w:sz w:val="8"/>
                          <w:szCs w:val="8"/>
                        </w:rPr>
                        <w:t>•</w:t>
                      </w:r>
                      <w:r>
                        <w:rPr>
                          <w:spacing w:val="0"/>
                          <w:w w:val="100"/>
                          <w:position w:val="0"/>
                        </w:rPr>
                        <w:t>打造大散据从</w:t>
                      </w:r>
                      <w:r>
                        <w:rPr>
                          <w:rFonts w:ascii="Arial" w:eastAsia="Arial" w:hAnsi="Arial" w:cs="Arial"/>
                          <w:spacing w:val="0"/>
                          <w:w w:val="100"/>
                          <w:position w:val="0"/>
                          <w:sz w:val="8"/>
                          <w:szCs w:val="8"/>
                        </w:rPr>
                        <w:t>®</w:t>
                      </w:r>
                      <w:r>
                        <w:rPr>
                          <w:spacing w:val="0"/>
                          <w:w w:val="100"/>
                          <w:position w:val="0"/>
                        </w:rPr>
                        <w:t>（据此移、</w:t>
                      </w:r>
                      <w:r>
                        <w:rPr>
                          <w:rFonts w:ascii="Times New Roman" w:eastAsia="Times New Roman" w:hAnsi="Times New Roman" w:cs="Times New Roman"/>
                          <w:b/>
                          <w:bCs/>
                          <w:spacing w:val="0"/>
                          <w:w w:val="100"/>
                          <w:position w:val="0"/>
                          <w:sz w:val="11"/>
                          <w:szCs w:val="11"/>
                        </w:rPr>
                        <w:t>iC».</w:t>
                      </w:r>
                      <w:r>
                        <w:rPr>
                          <w:spacing w:val="0"/>
                          <w:w w:val="100"/>
                          <w:position w:val="0"/>
                        </w:rPr>
                        <w:t>略、分析至过程的一体化散据岫更好的刻</w:t>
                      </w:r>
                    </w:p>
                  </w:txbxContent>
                </v:textbox>
                <w10:wrap type="topAndBottom"/>
              </v:shape>
            </w:pict>
          </mc:Fallback>
        </mc:AlternateContent>
      </w:r>
      <w:r>
        <mc:AlternateContent>
          <mc:Choice Requires="wps">
            <w:drawing>
              <wp:anchor distT="0" distB="0" distL="228600" distR="3892550" simplePos="0" relativeHeight="125829411" behindDoc="0" locked="0" layoutInCell="1" allowOverlap="1">
                <wp:simplePos x="0" y="0"/>
                <wp:positionH relativeFrom="column">
                  <wp:posOffset>2853055</wp:posOffset>
                </wp:positionH>
                <wp:positionV relativeFrom="paragraph">
                  <wp:posOffset>554990</wp:posOffset>
                </wp:positionV>
                <wp:extent cx="2096770" cy="103505"/>
                <wp:wrapTopAndBottom/>
                <wp:docPr id="195" name="Shape 195"/>
                <a:graphic xmlns:a="http://schemas.openxmlformats.org/drawingml/2006/main">
                  <a:graphicData uri="http://schemas.microsoft.com/office/word/2010/wordprocessingShape">
                    <wps:wsp>
                      <wps:cNvSpPr txBox="1"/>
                      <wps:spPr>
                        <a:xfrm>
                          <a:ext cx="2096770" cy="103505"/>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spacing w:val="0"/>
                                <w:w w:val="100"/>
                                <w:position w:val="0"/>
                                <w:sz w:val="11"/>
                                <w:szCs w:val="11"/>
                              </w:rPr>
                              <w:t>BI</w:t>
                            </w:r>
                            <w:r>
                              <w:rPr>
                                <w:spacing w:val="0"/>
                                <w:w w:val="100"/>
                                <w:position w:val="0"/>
                              </w:rPr>
                              <w:t>救据实体的</w:t>
                            </w:r>
                            <w:r>
                              <w:rPr>
                                <w:rFonts w:ascii="Times New Roman" w:eastAsia="Times New Roman" w:hAnsi="Times New Roman" w:cs="Times New Roman"/>
                                <w:b/>
                                <w:bCs/>
                                <w:spacing w:val="0"/>
                                <w:w w:val="100"/>
                                <w:position w:val="0"/>
                                <w:sz w:val="11"/>
                                <w:szCs w:val="11"/>
                              </w:rPr>
                              <w:t>360</w:t>
                            </w:r>
                            <w:r>
                              <w:rPr>
                                <w:spacing w:val="0"/>
                                <w:w w:val="100"/>
                                <w:position w:val="0"/>
                              </w:rPr>
                              <w:t>。全息回俊，也实腹务于备行业*于敷据场景的构建</w:t>
                            </w:r>
                            <w:r>
                              <w:rPr>
                                <w:spacing w:val="0"/>
                                <w:w w:val="100"/>
                                <w:position w:val="0"/>
                              </w:rPr>
                              <w:t>.</w:t>
                            </w:r>
                          </w:p>
                        </w:txbxContent>
                      </wps:txbx>
                      <wps:bodyPr lIns="0" tIns="0" rIns="0" bIns="0">
                        <a:noAutoFit/>
                      </wps:bodyPr>
                    </wps:wsp>
                  </a:graphicData>
                </a:graphic>
              </wp:anchor>
            </w:drawing>
          </mc:Choice>
          <mc:Fallback>
            <w:pict>
              <v:shape id="_x0000_s1221" type="#_x0000_t202" style="position:absolute;margin-left:224.65000000000001pt;margin-top:43.700000000000003pt;width:165.09999999999999pt;height:8.1500000000000004pt;z-index:-125829342;mso-wrap-distance-left:18.pt;mso-wrap-distance-right:306.5pt" filled="f" stroked="f">
                <v:textbox inset="0,0,0,0">
                  <w:txbxContent>
                    <w:p>
                      <w:pPr>
                        <w:pStyle w:val="Style6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spacing w:val="0"/>
                          <w:w w:val="100"/>
                          <w:position w:val="0"/>
                          <w:sz w:val="11"/>
                          <w:szCs w:val="11"/>
                        </w:rPr>
                        <w:t>BI</w:t>
                      </w:r>
                      <w:r>
                        <w:rPr>
                          <w:spacing w:val="0"/>
                          <w:w w:val="100"/>
                          <w:position w:val="0"/>
                        </w:rPr>
                        <w:t>救据实体的</w:t>
                      </w:r>
                      <w:r>
                        <w:rPr>
                          <w:rFonts w:ascii="Times New Roman" w:eastAsia="Times New Roman" w:hAnsi="Times New Roman" w:cs="Times New Roman"/>
                          <w:b/>
                          <w:bCs/>
                          <w:spacing w:val="0"/>
                          <w:w w:val="100"/>
                          <w:position w:val="0"/>
                          <w:sz w:val="11"/>
                          <w:szCs w:val="11"/>
                        </w:rPr>
                        <w:t>360</w:t>
                      </w:r>
                      <w:r>
                        <w:rPr>
                          <w:spacing w:val="0"/>
                          <w:w w:val="100"/>
                          <w:position w:val="0"/>
                        </w:rPr>
                        <w:t>。全息回俊，也实腹务于备行业*于敷据场景的构建</w:t>
                      </w:r>
                      <w:r>
                        <w:rPr>
                          <w:spacing w:val="0"/>
                          <w:w w:val="100"/>
                          <w:position w:val="0"/>
                        </w:rPr>
                        <w:t>.</w:t>
                      </w:r>
                    </w:p>
                  </w:txbxContent>
                </v:textbox>
                <w10:wrap type="topAndBottom"/>
              </v:shape>
            </w:pict>
          </mc:Fallback>
        </mc:AlternateContent>
      </w:r>
      <w:r>
        <mc:AlternateContent>
          <mc:Choice Requires="wps">
            <w:drawing>
              <wp:anchor distT="0" distB="0" distL="228600" distR="5422265" simplePos="0" relativeHeight="125829413" behindDoc="0" locked="0" layoutInCell="1" allowOverlap="1">
                <wp:simplePos x="0" y="0"/>
                <wp:positionH relativeFrom="column">
                  <wp:posOffset>2853055</wp:posOffset>
                </wp:positionH>
                <wp:positionV relativeFrom="paragraph">
                  <wp:posOffset>887095</wp:posOffset>
                </wp:positionV>
                <wp:extent cx="567055" cy="121920"/>
                <wp:wrapTopAndBottom/>
                <wp:docPr id="197" name="Shape 197"/>
                <a:graphic xmlns:a="http://schemas.openxmlformats.org/drawingml/2006/main">
                  <a:graphicData uri="http://schemas.microsoft.com/office/word/2010/wordprocessingShape">
                    <wps:wsp>
                      <wps:cNvSpPr txBox="1"/>
                      <wps:spPr>
                        <a:xfrm>
                          <a:ext cx="567055" cy="12192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4"/>
                                <w:szCs w:val="14"/>
                              </w:rPr>
                            </w:pPr>
                            <w:r>
                              <w:rPr>
                                <w:color w:val="21355E"/>
                                <w:spacing w:val="0"/>
                                <w:w w:val="100"/>
                                <w:position w:val="0"/>
                                <w:sz w:val="14"/>
                                <w:szCs w:val="14"/>
                              </w:rPr>
                              <w:t>业务定义平台</w:t>
                            </w:r>
                          </w:p>
                        </w:txbxContent>
                      </wps:txbx>
                      <wps:bodyPr lIns="0" tIns="0" rIns="0" bIns="0">
                        <a:noAutoFit/>
                      </wps:bodyPr>
                    </wps:wsp>
                  </a:graphicData>
                </a:graphic>
              </wp:anchor>
            </w:drawing>
          </mc:Choice>
          <mc:Fallback>
            <w:pict>
              <v:shape id="_x0000_s1223" type="#_x0000_t202" style="position:absolute;margin-left:224.65000000000001pt;margin-top:69.850000000000009pt;width:44.649999999999999pt;height:9.5999999999999996pt;z-index:-125829340;mso-wrap-distance-left:18.pt;mso-wrap-distance-right:426.94999999999999pt" filled="f" stroked="f">
                <v:textbox inset="0,0,0,0">
                  <w:txbxContent>
                    <w:p>
                      <w:pPr>
                        <w:pStyle w:val="Style65"/>
                        <w:keepNext w:val="0"/>
                        <w:keepLines w:val="0"/>
                        <w:widowControl w:val="0"/>
                        <w:shd w:val="clear" w:color="auto" w:fill="auto"/>
                        <w:bidi w:val="0"/>
                        <w:spacing w:before="0" w:after="0" w:line="240" w:lineRule="auto"/>
                        <w:ind w:left="0" w:right="0" w:firstLine="0"/>
                        <w:jc w:val="left"/>
                        <w:rPr>
                          <w:sz w:val="14"/>
                          <w:szCs w:val="14"/>
                        </w:rPr>
                      </w:pPr>
                      <w:r>
                        <w:rPr>
                          <w:color w:val="21355E"/>
                          <w:spacing w:val="0"/>
                          <w:w w:val="100"/>
                          <w:position w:val="0"/>
                          <w:sz w:val="14"/>
                          <w:szCs w:val="14"/>
                        </w:rPr>
                        <w:t>业务定义平台</w:t>
                      </w:r>
                    </w:p>
                  </w:txbxContent>
                </v:textbox>
                <w10:wrap type="topAndBottom"/>
              </v:shape>
            </w:pict>
          </mc:Fallback>
        </mc:AlternateContent>
      </w:r>
      <w:r>
        <mc:AlternateContent>
          <mc:Choice Requires="wps">
            <w:drawing>
              <wp:anchor distT="0" distB="0" distL="228600" distR="3523615" simplePos="0" relativeHeight="125829415" behindDoc="0" locked="0" layoutInCell="1" allowOverlap="1">
                <wp:simplePos x="0" y="0"/>
                <wp:positionH relativeFrom="column">
                  <wp:posOffset>2849880</wp:posOffset>
                </wp:positionH>
                <wp:positionV relativeFrom="paragraph">
                  <wp:posOffset>1066800</wp:posOffset>
                </wp:positionV>
                <wp:extent cx="2465705" cy="106680"/>
                <wp:wrapTopAndBottom/>
                <wp:docPr id="199" name="Shape 199"/>
                <a:graphic xmlns:a="http://schemas.openxmlformats.org/drawingml/2006/main">
                  <a:graphicData uri="http://schemas.microsoft.com/office/word/2010/wordprocessingShape">
                    <wps:wsp>
                      <wps:cNvSpPr txBox="1"/>
                      <wps:spPr>
                        <a:xfrm>
                          <a:ext cx="2465705"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spacing w:val="0"/>
                                <w:w w:val="100"/>
                                <w:position w:val="0"/>
                                <w:sz w:val="11"/>
                                <w:szCs w:val="11"/>
                              </w:rPr>
                              <w:t>iiSoJtB</w:t>
                            </w:r>
                            <w:r>
                              <w:rPr>
                                <w:spacing w:val="0"/>
                                <w:w w:val="100"/>
                                <w:position w:val="0"/>
                              </w:rPr>
                              <w:t>化”拖、</w:t>
                            </w:r>
                            <w:r>
                              <w:rPr>
                                <w:rFonts w:ascii="Times New Roman" w:eastAsia="Times New Roman" w:hAnsi="Times New Roman" w:cs="Times New Roman"/>
                                <w:b/>
                                <w:bCs/>
                                <w:spacing w:val="0"/>
                                <w:w w:val="100"/>
                                <w:position w:val="0"/>
                                <w:sz w:val="11"/>
                                <w:szCs w:val="11"/>
                              </w:rPr>
                              <w:t>ffi. S" MSS,</w:t>
                            </w:r>
                            <w:r>
                              <w:rPr>
                                <w:spacing w:val="0"/>
                                <w:w w:val="100"/>
                                <w:position w:val="0"/>
                              </w:rPr>
                              <w:t>在此平台上枸建业务</w:t>
                            </w:r>
                            <w:r>
                              <w:rPr>
                                <w:rFonts w:ascii="Arial" w:eastAsia="Arial" w:hAnsi="Arial" w:cs="Arial"/>
                                <w:spacing w:val="0"/>
                                <w:w w:val="100"/>
                                <w:position w:val="0"/>
                                <w:sz w:val="8"/>
                                <w:szCs w:val="8"/>
                              </w:rPr>
                              <w:t>«£</w:t>
                            </w:r>
                            <w:r>
                              <w:rPr>
                                <w:spacing w:val="0"/>
                                <w:w w:val="100"/>
                                <w:position w:val="0"/>
                              </w:rPr>
                              <w:t>.</w:t>
                            </w:r>
                            <w:r>
                              <w:rPr>
                                <w:spacing w:val="0"/>
                                <w:w w:val="100"/>
                                <w:position w:val="0"/>
                              </w:rPr>
                              <w:t>其主委能力是涵盖</w:t>
                            </w:r>
                          </w:p>
                        </w:txbxContent>
                      </wps:txbx>
                      <wps:bodyPr lIns="0" tIns="0" rIns="0" bIns="0">
                        <a:noAutoFit/>
                      </wps:bodyPr>
                    </wps:wsp>
                  </a:graphicData>
                </a:graphic>
              </wp:anchor>
            </w:drawing>
          </mc:Choice>
          <mc:Fallback>
            <w:pict>
              <v:shape id="_x0000_s1225" type="#_x0000_t202" style="position:absolute;margin-left:224.40000000000001pt;margin-top:84.pt;width:194.15000000000001pt;height:8.4000000000000004pt;z-index:-125829338;mso-wrap-distance-left:18.pt;mso-wrap-distance-right:277.44999999999999pt" filled="f" stroked="f">
                <v:textbox inset="0,0,0,0">
                  <w:txbxContent>
                    <w:p>
                      <w:pPr>
                        <w:pStyle w:val="Style6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spacing w:val="0"/>
                          <w:w w:val="100"/>
                          <w:position w:val="0"/>
                          <w:sz w:val="11"/>
                          <w:szCs w:val="11"/>
                        </w:rPr>
                        <w:t>iiSoJtB</w:t>
                      </w:r>
                      <w:r>
                        <w:rPr>
                          <w:spacing w:val="0"/>
                          <w:w w:val="100"/>
                          <w:position w:val="0"/>
                        </w:rPr>
                        <w:t>化”拖、</w:t>
                      </w:r>
                      <w:r>
                        <w:rPr>
                          <w:rFonts w:ascii="Times New Roman" w:eastAsia="Times New Roman" w:hAnsi="Times New Roman" w:cs="Times New Roman"/>
                          <w:b/>
                          <w:bCs/>
                          <w:spacing w:val="0"/>
                          <w:w w:val="100"/>
                          <w:position w:val="0"/>
                          <w:sz w:val="11"/>
                          <w:szCs w:val="11"/>
                        </w:rPr>
                        <w:t>ffi. S" MSS,</w:t>
                      </w:r>
                      <w:r>
                        <w:rPr>
                          <w:spacing w:val="0"/>
                          <w:w w:val="100"/>
                          <w:position w:val="0"/>
                        </w:rPr>
                        <w:t>在此平台上枸建业务</w:t>
                      </w:r>
                      <w:r>
                        <w:rPr>
                          <w:rFonts w:ascii="Arial" w:eastAsia="Arial" w:hAnsi="Arial" w:cs="Arial"/>
                          <w:spacing w:val="0"/>
                          <w:w w:val="100"/>
                          <w:position w:val="0"/>
                          <w:sz w:val="8"/>
                          <w:szCs w:val="8"/>
                        </w:rPr>
                        <w:t>«£</w:t>
                      </w:r>
                      <w:r>
                        <w:rPr>
                          <w:spacing w:val="0"/>
                          <w:w w:val="100"/>
                          <w:position w:val="0"/>
                        </w:rPr>
                        <w:t>.</w:t>
                      </w:r>
                      <w:r>
                        <w:rPr>
                          <w:spacing w:val="0"/>
                          <w:w w:val="100"/>
                          <w:position w:val="0"/>
                        </w:rPr>
                        <w:t>其主委能力是涵盖</w:t>
                      </w:r>
                    </w:p>
                  </w:txbxContent>
                </v:textbox>
                <w10:wrap type="topAndBottom"/>
              </v:shape>
            </w:pict>
          </mc:Fallback>
        </mc:AlternateContent>
      </w:r>
      <w:r>
        <mc:AlternateContent>
          <mc:Choice Requires="wps">
            <w:drawing>
              <wp:anchor distT="0" distB="0" distL="228600" distR="5251450" simplePos="0" relativeHeight="125829417" behindDoc="0" locked="0" layoutInCell="1" allowOverlap="1">
                <wp:simplePos x="0" y="0"/>
                <wp:positionH relativeFrom="column">
                  <wp:posOffset>2849880</wp:posOffset>
                </wp:positionH>
                <wp:positionV relativeFrom="paragraph">
                  <wp:posOffset>1185545</wp:posOffset>
                </wp:positionV>
                <wp:extent cx="737870" cy="103505"/>
                <wp:wrapTopAndBottom/>
                <wp:docPr id="201" name="Shape 201"/>
                <a:graphic xmlns:a="http://schemas.openxmlformats.org/drawingml/2006/main">
                  <a:graphicData uri="http://schemas.microsoft.com/office/word/2010/wordprocessingShape">
                    <wps:wsp>
                      <wps:cNvSpPr txBox="1"/>
                      <wps:spPr>
                        <a:xfrm>
                          <a:ext cx="737870" cy="103505"/>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center"/>
                            </w:pPr>
                            <w:r>
                              <w:rPr>
                                <w:color w:val="464544"/>
                                <w:spacing w:val="0"/>
                                <w:w w:val="100"/>
                                <w:position w:val="0"/>
                              </w:rPr>
                              <w:t>快</w:t>
                            </w:r>
                            <w:r>
                              <w:rPr>
                                <w:spacing w:val="0"/>
                                <w:w w:val="100"/>
                                <w:position w:val="0"/>
                              </w:rPr>
                              <w:t>速枸建业务模型能</w:t>
                            </w:r>
                            <w:r>
                              <w:rPr>
                                <w:color w:val="464544"/>
                                <w:spacing w:val="0"/>
                                <w:w w:val="100"/>
                                <w:position w:val="0"/>
                              </w:rPr>
                              <w:t>力.</w:t>
                            </w:r>
                          </w:p>
                        </w:txbxContent>
                      </wps:txbx>
                      <wps:bodyPr lIns="0" tIns="0" rIns="0" bIns="0">
                        <a:noAutoFit/>
                      </wps:bodyPr>
                    </wps:wsp>
                  </a:graphicData>
                </a:graphic>
              </wp:anchor>
            </w:drawing>
          </mc:Choice>
          <mc:Fallback>
            <w:pict>
              <v:shape id="_x0000_s1227" type="#_x0000_t202" style="position:absolute;margin-left:224.40000000000001pt;margin-top:93.350000000000009pt;width:58.100000000000001pt;height:8.1500000000000004pt;z-index:-125829336;mso-wrap-distance-left:18.pt;mso-wrap-distance-right:413.5pt" filled="f" stroked="f">
                <v:textbox inset="0,0,0,0">
                  <w:txbxContent>
                    <w:p>
                      <w:pPr>
                        <w:pStyle w:val="Style65"/>
                        <w:keepNext w:val="0"/>
                        <w:keepLines w:val="0"/>
                        <w:widowControl w:val="0"/>
                        <w:shd w:val="clear" w:color="auto" w:fill="auto"/>
                        <w:bidi w:val="0"/>
                        <w:spacing w:before="0" w:after="0" w:line="240" w:lineRule="auto"/>
                        <w:ind w:left="0" w:right="0" w:firstLine="0"/>
                        <w:jc w:val="center"/>
                      </w:pPr>
                      <w:r>
                        <w:rPr>
                          <w:color w:val="464544"/>
                          <w:spacing w:val="0"/>
                          <w:w w:val="100"/>
                          <w:position w:val="0"/>
                        </w:rPr>
                        <w:t>快</w:t>
                      </w:r>
                      <w:r>
                        <w:rPr>
                          <w:spacing w:val="0"/>
                          <w:w w:val="100"/>
                          <w:position w:val="0"/>
                        </w:rPr>
                        <w:t>速枸建业务模型能</w:t>
                      </w:r>
                      <w:r>
                        <w:rPr>
                          <w:color w:val="464544"/>
                          <w:spacing w:val="0"/>
                          <w:w w:val="100"/>
                          <w:position w:val="0"/>
                        </w:rPr>
                        <w:t>力.</w:t>
                      </w:r>
                    </w:p>
                  </w:txbxContent>
                </v:textbox>
                <w10:wrap type="topAndBottom"/>
              </v:shape>
            </w:pict>
          </mc:Fallback>
        </mc:AlternateContent>
      </w:r>
      <w:r>
        <mc:AlternateContent>
          <mc:Choice Requires="wps">
            <w:drawing>
              <wp:anchor distT="0" distB="0" distL="228600" distR="5245735" simplePos="0" relativeHeight="125829419" behindDoc="0" locked="0" layoutInCell="1" allowOverlap="1">
                <wp:simplePos x="0" y="0"/>
                <wp:positionH relativeFrom="column">
                  <wp:posOffset>2856230</wp:posOffset>
                </wp:positionH>
                <wp:positionV relativeFrom="paragraph">
                  <wp:posOffset>1505585</wp:posOffset>
                </wp:positionV>
                <wp:extent cx="743585" cy="125095"/>
                <wp:wrapTopAndBottom/>
                <wp:docPr id="203" name="Shape 203"/>
                <a:graphic xmlns:a="http://schemas.openxmlformats.org/drawingml/2006/main">
                  <a:graphicData uri="http://schemas.microsoft.com/office/word/2010/wordprocessingShape">
                    <wps:wsp>
                      <wps:cNvSpPr txBox="1"/>
                      <wps:spPr>
                        <a:xfrm>
                          <a:ext cx="743585" cy="125095"/>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center"/>
                              <w:rPr>
                                <w:sz w:val="14"/>
                                <w:szCs w:val="14"/>
                              </w:rPr>
                            </w:pPr>
                            <w:r>
                              <w:rPr>
                                <w:color w:val="21355E"/>
                                <w:spacing w:val="0"/>
                                <w:w w:val="100"/>
                                <w:position w:val="0"/>
                                <w:sz w:val="14"/>
                                <w:szCs w:val="14"/>
                              </w:rPr>
                              <w:t>智能研判分析平台</w:t>
                            </w:r>
                          </w:p>
                        </w:txbxContent>
                      </wps:txbx>
                      <wps:bodyPr lIns="0" tIns="0" rIns="0" bIns="0">
                        <a:noAutoFit/>
                      </wps:bodyPr>
                    </wps:wsp>
                  </a:graphicData>
                </a:graphic>
              </wp:anchor>
            </w:drawing>
          </mc:Choice>
          <mc:Fallback>
            <w:pict>
              <v:shape id="_x0000_s1229" type="#_x0000_t202" style="position:absolute;margin-left:224.90000000000001pt;margin-top:118.55pt;width:58.550000000000004pt;height:9.8499999999999996pt;z-index:-125829334;mso-wrap-distance-left:18.pt;mso-wrap-distance-right:413.05000000000001pt" filled="f" stroked="f">
                <v:textbox inset="0,0,0,0">
                  <w:txbxContent>
                    <w:p>
                      <w:pPr>
                        <w:pStyle w:val="Style65"/>
                        <w:keepNext w:val="0"/>
                        <w:keepLines w:val="0"/>
                        <w:widowControl w:val="0"/>
                        <w:shd w:val="clear" w:color="auto" w:fill="auto"/>
                        <w:bidi w:val="0"/>
                        <w:spacing w:before="0" w:after="0" w:line="240" w:lineRule="auto"/>
                        <w:ind w:left="0" w:right="0" w:firstLine="0"/>
                        <w:jc w:val="center"/>
                        <w:rPr>
                          <w:sz w:val="14"/>
                          <w:szCs w:val="14"/>
                        </w:rPr>
                      </w:pPr>
                      <w:r>
                        <w:rPr>
                          <w:color w:val="21355E"/>
                          <w:spacing w:val="0"/>
                          <w:w w:val="100"/>
                          <w:position w:val="0"/>
                          <w:sz w:val="14"/>
                          <w:szCs w:val="14"/>
                        </w:rPr>
                        <w:t>智能研判分析平台</w:t>
                      </w:r>
                    </w:p>
                  </w:txbxContent>
                </v:textbox>
                <w10:wrap type="topAndBottom"/>
              </v:shape>
            </w:pict>
          </mc:Fallback>
        </mc:AlternateContent>
      </w:r>
      <w:r>
        <mc:AlternateContent>
          <mc:Choice Requires="wps">
            <w:drawing>
              <wp:anchor distT="0" distB="0" distL="228600" distR="3566160" simplePos="0" relativeHeight="125829421" behindDoc="0" locked="0" layoutInCell="1" allowOverlap="1">
                <wp:simplePos x="0" y="0"/>
                <wp:positionH relativeFrom="column">
                  <wp:posOffset>2853055</wp:posOffset>
                </wp:positionH>
                <wp:positionV relativeFrom="paragraph">
                  <wp:posOffset>1685290</wp:posOffset>
                </wp:positionV>
                <wp:extent cx="2423160" cy="106680"/>
                <wp:wrapTopAndBottom/>
                <wp:docPr id="205" name="Shape 205"/>
                <a:graphic xmlns:a="http://schemas.openxmlformats.org/drawingml/2006/main">
                  <a:graphicData uri="http://schemas.microsoft.com/office/word/2010/wordprocessingShape">
                    <wps:wsp>
                      <wps:cNvSpPr txBox="1"/>
                      <wps:spPr>
                        <a:xfrm>
                          <a:ext cx="2423160" cy="10668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spacing w:val="0"/>
                                <w:w w:val="100"/>
                                <w:position w:val="0"/>
                              </w:rPr>
                              <w:t>以海星务源昇枸敬据为基础，以大教掘分析</w:t>
                            </w:r>
                            <w:r>
                              <w:rPr>
                                <w:rFonts w:ascii="Times New Roman" w:eastAsia="Times New Roman" w:hAnsi="Times New Roman" w:cs="Times New Roman"/>
                                <w:b/>
                                <w:bCs/>
                                <w:spacing w:val="0"/>
                                <w:w w:val="100"/>
                                <w:position w:val="0"/>
                                <w:sz w:val="11"/>
                                <w:szCs w:val="11"/>
                              </w:rPr>
                              <w:t>I28E</w:t>
                            </w:r>
                            <w:r>
                              <w:rPr>
                                <w:spacing w:val="0"/>
                                <w:w w:val="100"/>
                                <w:position w:val="0"/>
                              </w:rPr>
                              <w:t>算法为支攫，以研判预警为核心，</w:t>
                            </w:r>
                          </w:p>
                        </w:txbxContent>
                      </wps:txbx>
                      <wps:bodyPr lIns="0" tIns="0" rIns="0" bIns="0">
                        <a:noAutoFit/>
                      </wps:bodyPr>
                    </wps:wsp>
                  </a:graphicData>
                </a:graphic>
              </wp:anchor>
            </w:drawing>
          </mc:Choice>
          <mc:Fallback>
            <w:pict>
              <v:shape id="_x0000_s1231" type="#_x0000_t202" style="position:absolute;margin-left:224.65000000000001pt;margin-top:132.69999999999999pt;width:190.80000000000001pt;height:8.4000000000000004pt;z-index:-125829332;mso-wrap-distance-left:18.pt;mso-wrap-distance-right:280.80000000000001pt" filled="f" stroked="f">
                <v:textbox inset="0,0,0,0">
                  <w:txbxContent>
                    <w:p>
                      <w:pPr>
                        <w:pStyle w:val="Style65"/>
                        <w:keepNext w:val="0"/>
                        <w:keepLines w:val="0"/>
                        <w:widowControl w:val="0"/>
                        <w:shd w:val="clear" w:color="auto" w:fill="auto"/>
                        <w:bidi w:val="0"/>
                        <w:spacing w:before="0" w:after="0" w:line="240" w:lineRule="auto"/>
                        <w:ind w:left="0" w:right="0" w:firstLine="0"/>
                        <w:jc w:val="left"/>
                      </w:pPr>
                      <w:r>
                        <w:rPr>
                          <w:spacing w:val="0"/>
                          <w:w w:val="100"/>
                          <w:position w:val="0"/>
                        </w:rPr>
                        <w:t>以海星务源昇枸敬据为基础，以大教掘分析</w:t>
                      </w:r>
                      <w:r>
                        <w:rPr>
                          <w:rFonts w:ascii="Times New Roman" w:eastAsia="Times New Roman" w:hAnsi="Times New Roman" w:cs="Times New Roman"/>
                          <w:b/>
                          <w:bCs/>
                          <w:spacing w:val="0"/>
                          <w:w w:val="100"/>
                          <w:position w:val="0"/>
                          <w:sz w:val="11"/>
                          <w:szCs w:val="11"/>
                        </w:rPr>
                        <w:t>I28E</w:t>
                      </w:r>
                      <w:r>
                        <w:rPr>
                          <w:spacing w:val="0"/>
                          <w:w w:val="100"/>
                          <w:position w:val="0"/>
                        </w:rPr>
                        <w:t>算法为支攫，以研判预警为核心，</w:t>
                      </w:r>
                    </w:p>
                  </w:txbxContent>
                </v:textbox>
                <w10:wrap type="topAndBottom"/>
              </v:shape>
            </w:pict>
          </mc:Fallback>
        </mc:AlternateContent>
      </w:r>
      <w:r>
        <mc:AlternateContent>
          <mc:Choice Requires="wps">
            <w:drawing>
              <wp:anchor distT="0" distB="0" distL="228600" distR="3526790" simplePos="0" relativeHeight="125829423" behindDoc="0" locked="0" layoutInCell="1" allowOverlap="1">
                <wp:simplePos x="0" y="0"/>
                <wp:positionH relativeFrom="column">
                  <wp:posOffset>2853055</wp:posOffset>
                </wp:positionH>
                <wp:positionV relativeFrom="paragraph">
                  <wp:posOffset>1804670</wp:posOffset>
                </wp:positionV>
                <wp:extent cx="2462530" cy="109855"/>
                <wp:wrapTopAndBottom/>
                <wp:docPr id="207" name="Shape 207"/>
                <a:graphic xmlns:a="http://schemas.openxmlformats.org/drawingml/2006/main">
                  <a:graphicData uri="http://schemas.microsoft.com/office/word/2010/wordprocessingShape">
                    <wps:wsp>
                      <wps:cNvSpPr txBox="1"/>
                      <wps:spPr>
                        <a:xfrm>
                          <a:ext cx="2462530" cy="109855"/>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right"/>
                            </w:pPr>
                            <w:r>
                              <w:rPr>
                                <w:spacing w:val="0"/>
                                <w:w w:val="100"/>
                                <w:position w:val="0"/>
                              </w:rPr>
                              <w:t>以服务全誓为目标，卖现公安内外部信息资源的汇景整合、深度</w:t>
                            </w:r>
                            <w:r>
                              <w:rPr>
                                <w:rFonts w:ascii="Times New Roman" w:eastAsia="Times New Roman" w:hAnsi="Times New Roman" w:cs="Times New Roman"/>
                                <w:b/>
                                <w:bCs/>
                                <w:spacing w:val="0"/>
                                <w:w w:val="100"/>
                                <w:position w:val="0"/>
                                <w:sz w:val="11"/>
                                <w:szCs w:val="11"/>
                              </w:rPr>
                              <w:t>12</w:t>
                            </w:r>
                            <w:r>
                              <w:rPr>
                                <w:spacing w:val="0"/>
                                <w:w w:val="100"/>
                                <w:position w:val="0"/>
                              </w:rPr>
                              <w:t>思及各业务系统</w:t>
                            </w:r>
                          </w:p>
                        </w:txbxContent>
                      </wps:txbx>
                      <wps:bodyPr lIns="0" tIns="0" rIns="0" bIns="0">
                        <a:noAutoFit/>
                      </wps:bodyPr>
                    </wps:wsp>
                  </a:graphicData>
                </a:graphic>
              </wp:anchor>
            </w:drawing>
          </mc:Choice>
          <mc:Fallback>
            <w:pict>
              <v:shape id="_x0000_s1233" type="#_x0000_t202" style="position:absolute;margin-left:224.65000000000001pt;margin-top:142.09999999999999pt;width:193.90000000000001pt;height:8.6500000000000004pt;z-index:-125829330;mso-wrap-distance-left:18.pt;mso-wrap-distance-right:277.69999999999999pt" filled="f" stroked="f">
                <v:textbox inset="0,0,0,0">
                  <w:txbxContent>
                    <w:p>
                      <w:pPr>
                        <w:pStyle w:val="Style65"/>
                        <w:keepNext w:val="0"/>
                        <w:keepLines w:val="0"/>
                        <w:widowControl w:val="0"/>
                        <w:shd w:val="clear" w:color="auto" w:fill="auto"/>
                        <w:bidi w:val="0"/>
                        <w:spacing w:before="0" w:after="0" w:line="240" w:lineRule="auto"/>
                        <w:ind w:left="0" w:right="0" w:firstLine="0"/>
                        <w:jc w:val="right"/>
                      </w:pPr>
                      <w:r>
                        <w:rPr>
                          <w:spacing w:val="0"/>
                          <w:w w:val="100"/>
                          <w:position w:val="0"/>
                        </w:rPr>
                        <w:t>以服务全誓为目标，卖现公安内外部信息资源的汇景整合、深度</w:t>
                      </w:r>
                      <w:r>
                        <w:rPr>
                          <w:rFonts w:ascii="Times New Roman" w:eastAsia="Times New Roman" w:hAnsi="Times New Roman" w:cs="Times New Roman"/>
                          <w:b/>
                          <w:bCs/>
                          <w:spacing w:val="0"/>
                          <w:w w:val="100"/>
                          <w:position w:val="0"/>
                          <w:sz w:val="11"/>
                          <w:szCs w:val="11"/>
                        </w:rPr>
                        <w:t>12</w:t>
                      </w:r>
                      <w:r>
                        <w:rPr>
                          <w:spacing w:val="0"/>
                          <w:w w:val="100"/>
                          <w:position w:val="0"/>
                        </w:rPr>
                        <w:t>思及各业务系统</w:t>
                      </w:r>
                    </w:p>
                  </w:txbxContent>
                </v:textbox>
                <w10:wrap type="topAndBottom"/>
              </v:shape>
            </w:pict>
          </mc:Fallback>
        </mc:AlternateContent>
      </w:r>
      <w:r>
        <mc:AlternateContent>
          <mc:Choice Requires="wps">
            <w:drawing>
              <wp:anchor distT="0" distB="0" distL="228600" distR="5593080" simplePos="0" relativeHeight="125829425" behindDoc="0" locked="0" layoutInCell="1" allowOverlap="1">
                <wp:simplePos x="0" y="0"/>
                <wp:positionH relativeFrom="column">
                  <wp:posOffset>2853055</wp:posOffset>
                </wp:positionH>
                <wp:positionV relativeFrom="paragraph">
                  <wp:posOffset>1923415</wp:posOffset>
                </wp:positionV>
                <wp:extent cx="396240" cy="109855"/>
                <wp:wrapTopAndBottom/>
                <wp:docPr id="209" name="Shape 209"/>
                <a:graphic xmlns:a="http://schemas.openxmlformats.org/drawingml/2006/main">
                  <a:graphicData uri="http://schemas.microsoft.com/office/word/2010/wordprocessingShape">
                    <wps:wsp>
                      <wps:cNvSpPr txBox="1"/>
                      <wps:spPr>
                        <a:xfrm>
                          <a:ext cx="396240" cy="109855"/>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right"/>
                              <w:rPr>
                                <w:sz w:val="11"/>
                                <w:szCs w:val="11"/>
                              </w:rPr>
                            </w:pPr>
                            <w:r>
                              <w:rPr>
                                <w:spacing w:val="0"/>
                                <w:w w:val="100"/>
                                <w:position w:val="0"/>
                                <w:sz w:val="10"/>
                                <w:szCs w:val="10"/>
                              </w:rPr>
                              <w:t>的整体联</w:t>
                            </w:r>
                            <w:r>
                              <w:rPr>
                                <w:rFonts w:ascii="Times New Roman" w:eastAsia="Times New Roman" w:hAnsi="Times New Roman" w:cs="Times New Roman"/>
                                <w:b/>
                                <w:bCs/>
                                <w:spacing w:val="0"/>
                                <w:w w:val="100"/>
                                <w:position w:val="0"/>
                                <w:sz w:val="11"/>
                                <w:szCs w:val="11"/>
                              </w:rPr>
                              <w:t>81.</w:t>
                            </w:r>
                          </w:p>
                        </w:txbxContent>
                      </wps:txbx>
                      <wps:bodyPr lIns="0" tIns="0" rIns="0" bIns="0">
                        <a:noAutoFit/>
                      </wps:bodyPr>
                    </wps:wsp>
                  </a:graphicData>
                </a:graphic>
              </wp:anchor>
            </w:drawing>
          </mc:Choice>
          <mc:Fallback>
            <w:pict>
              <v:shape id="_x0000_s1235" type="#_x0000_t202" style="position:absolute;margin-left:224.65000000000001pt;margin-top:151.45000000000002pt;width:31.199999999999999pt;height:8.6500000000000004pt;z-index:-125829328;mso-wrap-distance-left:18.pt;mso-wrap-distance-right:440.40000000000003pt" filled="f" stroked="f">
                <v:textbox inset="0,0,0,0">
                  <w:txbxContent>
                    <w:p>
                      <w:pPr>
                        <w:pStyle w:val="Style65"/>
                        <w:keepNext w:val="0"/>
                        <w:keepLines w:val="0"/>
                        <w:widowControl w:val="0"/>
                        <w:shd w:val="clear" w:color="auto" w:fill="auto"/>
                        <w:bidi w:val="0"/>
                        <w:spacing w:before="0" w:after="0" w:line="240" w:lineRule="auto"/>
                        <w:ind w:left="0" w:right="0" w:firstLine="0"/>
                        <w:jc w:val="right"/>
                        <w:rPr>
                          <w:sz w:val="11"/>
                          <w:szCs w:val="11"/>
                        </w:rPr>
                      </w:pPr>
                      <w:r>
                        <w:rPr>
                          <w:spacing w:val="0"/>
                          <w:w w:val="100"/>
                          <w:position w:val="0"/>
                          <w:sz w:val="10"/>
                          <w:szCs w:val="10"/>
                        </w:rPr>
                        <w:t>的整体联</w:t>
                      </w:r>
                      <w:r>
                        <w:rPr>
                          <w:rFonts w:ascii="Times New Roman" w:eastAsia="Times New Roman" w:hAnsi="Times New Roman" w:cs="Times New Roman"/>
                          <w:b/>
                          <w:bCs/>
                          <w:spacing w:val="0"/>
                          <w:w w:val="100"/>
                          <w:position w:val="0"/>
                          <w:sz w:val="11"/>
                          <w:szCs w:val="11"/>
                        </w:rPr>
                        <w:t>81.</w:t>
                      </w:r>
                    </w:p>
                  </w:txbxContent>
                </v:textbox>
                <w10:wrap type="topAndBottom"/>
              </v:shape>
            </w:pict>
          </mc:Fallback>
        </mc:AlternateContent>
      </w:r>
    </w:p>
    <w:p>
      <w:pPr>
        <w:pStyle w:val="Style41"/>
        <w:keepNext w:val="0"/>
        <w:keepLines w:val="0"/>
        <w:widowControl w:val="0"/>
        <w:shd w:val="clear" w:color="auto" w:fill="auto"/>
        <w:bidi w:val="0"/>
        <w:spacing w:before="0" w:after="0" w:line="468" w:lineRule="exact"/>
        <w:ind w:left="0" w:right="0" w:firstLine="0"/>
        <w:jc w:val="center"/>
      </w:pPr>
      <w:r>
        <w:rPr>
          <w:b/>
          <w:bCs/>
          <w:color w:val="000000"/>
          <w:spacing w:val="0"/>
          <w:w w:val="100"/>
          <w:position w:val="0"/>
        </w:rPr>
        <w:t>（</w:t>
      </w:r>
      <w:r>
        <w:rPr>
          <w:rFonts w:ascii="Times New Roman" w:eastAsia="Times New Roman" w:hAnsi="Times New Roman" w:cs="Times New Roman"/>
          <w:b/>
          <w:bCs/>
          <w:color w:val="000000"/>
          <w:spacing w:val="0"/>
          <w:w w:val="100"/>
          <w:position w:val="0"/>
          <w:sz w:val="18"/>
          <w:szCs w:val="18"/>
        </w:rPr>
        <w:t>“</w:t>
      </w:r>
      <w:r>
        <w:rPr>
          <w:b/>
          <w:bCs/>
          <w:color w:val="000000"/>
          <w:spacing w:val="0"/>
          <w:w w:val="100"/>
          <w:position w:val="0"/>
        </w:rPr>
        <w:t>智脑</w:t>
      </w:r>
      <w:r>
        <w:rPr>
          <w:rFonts w:ascii="Times New Roman" w:eastAsia="Times New Roman" w:hAnsi="Times New Roman" w:cs="Times New Roman"/>
          <w:b/>
          <w:bCs/>
          <w:color w:val="000000"/>
          <w:spacing w:val="0"/>
          <w:w w:val="100"/>
          <w:position w:val="0"/>
          <w:sz w:val="18"/>
          <w:szCs w:val="18"/>
        </w:rPr>
        <w:t>2.0”</w:t>
      </w:r>
      <w:r>
        <w:rPr>
          <w:b/>
          <w:bCs/>
          <w:color w:val="000000"/>
          <w:spacing w:val="0"/>
          <w:w w:val="100"/>
          <w:position w:val="0"/>
        </w:rPr>
        <w:t>系列产品三大支撑平台介绍）</w:t>
      </w:r>
    </w:p>
    <w:p>
      <w:pPr>
        <w:pStyle w:val="Style41"/>
        <w:keepNext w:val="0"/>
        <w:keepLines w:val="0"/>
        <w:widowControl w:val="0"/>
        <w:shd w:val="clear" w:color="auto" w:fill="auto"/>
        <w:bidi w:val="0"/>
        <w:spacing w:before="0" w:after="0" w:line="468" w:lineRule="exact"/>
        <w:ind w:left="0" w:right="0"/>
        <w:jc w:val="both"/>
      </w:pPr>
      <w:r>
        <w:rPr>
          <w:color w:val="000000"/>
          <w:spacing w:val="0"/>
          <w:w w:val="100"/>
          <w:position w:val="0"/>
        </w:rPr>
        <w:t>公司</w:t>
      </w:r>
      <w:r>
        <w:rPr>
          <w:rFonts w:ascii="Times New Roman" w:eastAsia="Times New Roman" w:hAnsi="Times New Roman" w:cs="Times New Roman"/>
          <w:color w:val="000000"/>
          <w:spacing w:val="0"/>
          <w:w w:val="100"/>
          <w:position w:val="0"/>
          <w:sz w:val="18"/>
          <w:szCs w:val="18"/>
        </w:rPr>
        <w:t>AI-NLP</w:t>
      </w:r>
      <w:r>
        <w:rPr>
          <w:color w:val="000000"/>
          <w:spacing w:val="0"/>
          <w:w w:val="100"/>
          <w:position w:val="0"/>
        </w:rPr>
        <w:t>技术、大数据技术、智脑平台等已与</w:t>
      </w:r>
      <w:r>
        <w:rPr>
          <w:b/>
          <w:bCs/>
          <w:color w:val="000000"/>
          <w:spacing w:val="0"/>
          <w:w w:val="100"/>
          <w:position w:val="0"/>
        </w:rPr>
        <w:t>北京市公安局、深圳市公安局、广州市公安局、安徽省公安厅、山东 省公安厅、云南省公安厅、石家庄市公安局、太原市公安局、贵阳市公安局</w:t>
      </w:r>
      <w:r>
        <w:rPr>
          <w:color w:val="000000"/>
          <w:spacing w:val="0"/>
          <w:w w:val="100"/>
          <w:position w:val="0"/>
        </w:rPr>
        <w:t>等多地公安机构积极开展战略合作，应用于刑 侦、治安、情报、指挥中心、科信等多警种，打造出新一代的</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刑侦智能案事件研判系统</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刑侦智能合成作战系统</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刑 侦智能专业应用系统</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刑侦案事件数据质量智能核查系统</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T10</w:t>
      </w:r>
      <w:r>
        <w:rPr>
          <w:color w:val="000000"/>
          <w:spacing w:val="0"/>
          <w:w w:val="100"/>
          <w:position w:val="0"/>
        </w:rPr>
        <w:t>智能警情分析系统</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“110</w:t>
      </w:r>
      <w:r>
        <w:rPr>
          <w:color w:val="000000"/>
          <w:spacing w:val="0"/>
          <w:w w:val="100"/>
          <w:position w:val="0"/>
        </w:rPr>
        <w:t>警情数据质量核查系统</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实 有人口服务管理平台</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大数据智能合成研判指挥作战平台</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等多款应用产品和解决方案。</w:t>
      </w:r>
    </w:p>
    <w:p>
      <w:pPr>
        <w:pStyle w:val="Style41"/>
        <w:keepNext w:val="0"/>
        <w:keepLines w:val="0"/>
        <w:widowControl w:val="0"/>
        <w:shd w:val="clear" w:color="auto" w:fill="auto"/>
        <w:bidi w:val="0"/>
        <w:spacing w:before="0" w:after="0" w:line="468" w:lineRule="exact"/>
        <w:ind w:left="0" w:right="0"/>
        <w:jc w:val="both"/>
      </w:pPr>
      <w:bookmarkStart w:id="114" w:name="bookmark114"/>
      <w:r>
        <w:rPr>
          <w:rFonts w:ascii="Times New Roman" w:eastAsia="Times New Roman" w:hAnsi="Times New Roman" w:cs="Times New Roman"/>
          <w:b/>
          <w:bCs/>
          <w:color w:val="000000"/>
          <w:spacing w:val="0"/>
          <w:w w:val="100"/>
          <w:position w:val="0"/>
          <w:sz w:val="18"/>
          <w:szCs w:val="18"/>
        </w:rPr>
        <w:t>C</w:t>
      </w:r>
      <w:bookmarkEnd w:id="114"/>
      <w:r>
        <w:rPr>
          <w:b/>
          <w:bCs/>
          <w:color w:val="000000"/>
          <w:spacing w:val="0"/>
          <w:w w:val="100"/>
          <w:position w:val="0"/>
        </w:rPr>
        <w:t>、</w:t>
      </w:r>
      <w:r>
        <w:rPr>
          <w:b/>
          <w:bCs/>
          <w:color w:val="000000"/>
          <w:spacing w:val="0"/>
          <w:w w:val="100"/>
          <w:position w:val="0"/>
        </w:rPr>
        <w:t>中文信息（深度）处理开放创新平台、泰岳语义工厂、智能写作产品</w:t>
      </w:r>
    </w:p>
    <w:p>
      <w:pPr>
        <w:pStyle w:val="Style41"/>
        <w:keepNext w:val="0"/>
        <w:keepLines w:val="0"/>
        <w:widowControl w:val="0"/>
        <w:shd w:val="clear" w:color="auto" w:fill="auto"/>
        <w:tabs>
          <w:tab w:pos="658" w:val="left"/>
        </w:tabs>
        <w:bidi w:val="0"/>
        <w:spacing w:before="0" w:after="0" w:line="468" w:lineRule="exact"/>
        <w:ind w:left="0" w:right="0"/>
        <w:jc w:val="both"/>
      </w:pPr>
      <w:bookmarkStart w:id="115" w:name="bookmark115"/>
      <w:r>
        <w:rPr>
          <w:rFonts w:ascii="Times New Roman" w:eastAsia="Times New Roman" w:hAnsi="Times New Roman" w:cs="Times New Roman"/>
          <w:b/>
          <w:bCs/>
          <w:color w:val="000000"/>
          <w:spacing w:val="0"/>
          <w:w w:val="100"/>
          <w:position w:val="0"/>
          <w:sz w:val="18"/>
          <w:szCs w:val="18"/>
        </w:rPr>
        <w:t>1</w:t>
      </w:r>
      <w:bookmarkEnd w:id="115"/>
      <w:r>
        <w:rPr>
          <w:b/>
          <w:bCs/>
          <w:color w:val="000000"/>
          <w:spacing w:val="0"/>
          <w:w w:val="100"/>
          <w:position w:val="0"/>
        </w:rPr>
        <w:t>）</w:t>
        <w:tab/>
      </w:r>
      <w:r>
        <w:rPr>
          <w:rFonts w:ascii="Times New Roman" w:eastAsia="Times New Roman" w:hAnsi="Times New Roman" w:cs="Times New Roman"/>
          <w:b/>
          <w:bCs/>
          <w:color w:val="000000"/>
          <w:spacing w:val="0"/>
          <w:w w:val="100"/>
          <w:position w:val="0"/>
          <w:sz w:val="18"/>
          <w:szCs w:val="18"/>
        </w:rPr>
        <w:t>“</w:t>
      </w:r>
      <w:r>
        <w:rPr>
          <w:b/>
          <w:bCs/>
          <w:color w:val="000000"/>
          <w:spacing w:val="0"/>
          <w:w w:val="100"/>
          <w:position w:val="0"/>
        </w:rPr>
        <w:t>中文信息（深度）处理开放创新平台</w:t>
      </w:r>
      <w:r>
        <w:rPr>
          <w:rFonts w:ascii="Times New Roman" w:eastAsia="Times New Roman" w:hAnsi="Times New Roman" w:cs="Times New Roman"/>
          <w:b/>
          <w:bCs/>
          <w:color w:val="000000"/>
          <w:spacing w:val="0"/>
          <w:w w:val="100"/>
          <w:position w:val="0"/>
          <w:sz w:val="18"/>
          <w:szCs w:val="18"/>
        </w:rPr>
        <w:t>”</w:t>
      </w:r>
      <w:r>
        <w:rPr>
          <w:color w:val="000000"/>
          <w:spacing w:val="0"/>
          <w:w w:val="100"/>
          <w:position w:val="0"/>
        </w:rPr>
        <w:t>是公司在中国中文信息学会指导下，联合中国声谷，创建的智能语义产业平 台，以打造</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研究</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应用</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产业（产、学、研、用）</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的认知智能生态闭环为目标，专注于智能语义、认知领域所需创新和基础 技术的开源开放以及产业落地，定位为提供一站式认知智能领域技术与产品服务及培训教育的产业级创新平台和产业级生态 孵化平台。平台一期已经上线，目前覆盖中文认知智能领域相关的</w:t>
      </w:r>
      <w:r>
        <w:rPr>
          <w:rFonts w:ascii="Times New Roman" w:eastAsia="Times New Roman" w:hAnsi="Times New Roman" w:cs="Times New Roman"/>
          <w:color w:val="000000"/>
          <w:spacing w:val="0"/>
          <w:w w:val="100"/>
          <w:position w:val="0"/>
          <w:sz w:val="18"/>
          <w:szCs w:val="18"/>
        </w:rPr>
        <w:t>20</w:t>
      </w:r>
      <w:r>
        <w:rPr>
          <w:color w:val="000000"/>
          <w:spacing w:val="0"/>
          <w:w w:val="100"/>
          <w:position w:val="0"/>
        </w:rPr>
        <w:t>多所主要高校及科研院所，汇聚了</w:t>
      </w:r>
      <w:r>
        <w:rPr>
          <w:rFonts w:ascii="Times New Roman" w:eastAsia="Times New Roman" w:hAnsi="Times New Roman" w:cs="Times New Roman"/>
          <w:color w:val="000000"/>
          <w:spacing w:val="0"/>
          <w:w w:val="100"/>
          <w:position w:val="0"/>
          <w:sz w:val="18"/>
          <w:szCs w:val="18"/>
        </w:rPr>
        <w:t>40</w:t>
      </w:r>
      <w:r>
        <w:rPr>
          <w:color w:val="000000"/>
          <w:spacing w:val="0"/>
          <w:w w:val="100"/>
          <w:position w:val="0"/>
        </w:rPr>
        <w:t xml:space="preserve">多位本领域顶级专 家学者团队的最新科研及实用技术落地应用成果。四大板块（技术开放、培训互动、数据共享、应用创新）已初步建成，并 已封装提供了 </w:t>
      </w:r>
      <w:r>
        <w:rPr>
          <w:rFonts w:ascii="Times New Roman" w:eastAsia="Times New Roman" w:hAnsi="Times New Roman" w:cs="Times New Roman"/>
          <w:color w:val="000000"/>
          <w:spacing w:val="0"/>
          <w:w w:val="100"/>
          <w:position w:val="0"/>
          <w:sz w:val="18"/>
          <w:szCs w:val="18"/>
        </w:rPr>
        <w:t>12 0</w:t>
      </w:r>
      <w:r>
        <w:rPr>
          <w:color w:val="000000"/>
          <w:spacing w:val="0"/>
          <w:w w:val="100"/>
          <w:position w:val="0"/>
        </w:rPr>
        <w:t>多项自然语言处理相关服务以及</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余项行业解决方案。</w:t>
      </w:r>
    </w:p>
    <w:p>
      <w:pPr>
        <w:pStyle w:val="Style41"/>
        <w:keepNext w:val="0"/>
        <w:keepLines w:val="0"/>
        <w:widowControl w:val="0"/>
        <w:shd w:val="clear" w:color="auto" w:fill="auto"/>
        <w:bidi w:val="0"/>
        <w:spacing w:before="0" w:after="0" w:line="468" w:lineRule="exact"/>
        <w:ind w:left="0" w:right="0"/>
        <w:jc w:val="both"/>
      </w:pPr>
      <w:r>
        <w:rPr>
          <w:color w:val="000000"/>
          <w:spacing w:val="0"/>
          <w:w w:val="100"/>
          <w:position w:val="0"/>
        </w:rPr>
        <w:t>平台积极推动智能语义在新兴重要行业的技术研究与落地应用，形成可复制的技术创新与商业模式，并以数据资源、工 具服务和解决方案等形式不断开放平台资源，逐步孵化、催生整个认知智能产业链和生态圈的完善和繁荣。</w:t>
      </w:r>
    </w:p>
    <w:p>
      <w:pPr>
        <w:pStyle w:val="Style41"/>
        <w:keepNext w:val="0"/>
        <w:keepLines w:val="0"/>
        <w:widowControl w:val="0"/>
        <w:shd w:val="clear" w:color="auto" w:fill="auto"/>
        <w:tabs>
          <w:tab w:pos="688" w:val="left"/>
        </w:tabs>
        <w:bidi w:val="0"/>
        <w:spacing w:before="0" w:after="0" w:line="468" w:lineRule="exact"/>
        <w:ind w:left="0" w:right="0"/>
        <w:jc w:val="both"/>
        <w:rPr>
          <w:sz w:val="18"/>
          <w:szCs w:val="18"/>
        </w:rPr>
      </w:pPr>
      <w:bookmarkStart w:id="116" w:name="bookmark116"/>
      <w:r>
        <w:rPr>
          <w:rFonts w:ascii="Times New Roman" w:eastAsia="Times New Roman" w:hAnsi="Times New Roman" w:cs="Times New Roman"/>
          <w:b/>
          <w:bCs/>
          <w:color w:val="000000"/>
          <w:spacing w:val="0"/>
          <w:w w:val="100"/>
          <w:position w:val="0"/>
          <w:sz w:val="18"/>
          <w:szCs w:val="18"/>
        </w:rPr>
        <w:t>2</w:t>
      </w:r>
      <w:bookmarkEnd w:id="116"/>
      <w:r>
        <w:rPr>
          <w:b/>
          <w:bCs/>
          <w:color w:val="000000"/>
          <w:spacing w:val="0"/>
          <w:w w:val="100"/>
          <w:position w:val="0"/>
          <w:sz w:val="17"/>
          <w:szCs w:val="17"/>
        </w:rPr>
        <w:t>）</w:t>
        <w:tab/>
      </w:r>
      <w:r>
        <w:rPr>
          <w:rFonts w:ascii="Times New Roman" w:eastAsia="Times New Roman" w:hAnsi="Times New Roman" w:cs="Times New Roman"/>
          <w:b/>
          <w:bCs/>
          <w:color w:val="000000"/>
          <w:spacing w:val="0"/>
          <w:w w:val="100"/>
          <w:position w:val="0"/>
          <w:sz w:val="18"/>
          <w:szCs w:val="18"/>
        </w:rPr>
        <w:t>“</w:t>
      </w:r>
      <w:r>
        <w:rPr>
          <w:b/>
          <w:bCs/>
          <w:color w:val="000000"/>
          <w:spacing w:val="0"/>
          <w:w w:val="100"/>
          <w:position w:val="0"/>
          <w:sz w:val="17"/>
          <w:szCs w:val="17"/>
        </w:rPr>
        <w:t>泰岳语义工厂</w:t>
      </w:r>
      <w:r>
        <w:rPr>
          <w:rFonts w:ascii="Times New Roman" w:eastAsia="Times New Roman" w:hAnsi="Times New Roman" w:cs="Times New Roman"/>
          <w:b/>
          <w:bCs/>
          <w:color w:val="000000"/>
          <w:spacing w:val="0"/>
          <w:w w:val="100"/>
          <w:position w:val="0"/>
          <w:sz w:val="18"/>
          <w:szCs w:val="18"/>
        </w:rPr>
        <w:t>”</w:t>
      </w:r>
    </w:p>
    <w:p>
      <w:pPr>
        <w:pStyle w:val="Style41"/>
        <w:keepNext w:val="0"/>
        <w:keepLines w:val="0"/>
        <w:widowControl w:val="0"/>
        <w:shd w:val="clear" w:color="auto" w:fill="auto"/>
        <w:bidi w:val="0"/>
        <w:spacing w:before="0" w:after="0" w:line="468" w:lineRule="exact"/>
        <w:ind w:left="0" w:right="0"/>
        <w:jc w:val="both"/>
      </w:pPr>
      <w:r>
        <w:rPr>
          <w:color w:val="000000"/>
          <w:spacing w:val="0"/>
          <w:w w:val="100"/>
          <w:position w:val="0"/>
        </w:rPr>
        <w:t>作为中文信息（深度）处理开放创新平台旗下最为重要的人工智能</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赋能项目，</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泰岳语义工厂</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的定位和目标就是成为 人工智能认知智能技术的赋能者，帮助企业特别是中小企业解决认知智能技术带来的挑战，帮助企业快捷地将认知智能技术 应用于业务创新中，同时有效地降低成本和提高效率。</w:t>
      </w:r>
    </w:p>
    <w:p>
      <w:pPr>
        <w:pStyle w:val="Style41"/>
        <w:keepNext w:val="0"/>
        <w:keepLines w:val="0"/>
        <w:widowControl w:val="0"/>
        <w:shd w:val="clear" w:color="auto" w:fill="auto"/>
        <w:bidi w:val="0"/>
        <w:spacing w:before="0" w:after="0" w:line="468" w:lineRule="exact"/>
        <w:ind w:left="0" w:right="0"/>
        <w:jc w:val="both"/>
        <w:sectPr>
          <w:headerReference w:type="default" r:id="rId59"/>
          <w:footerReference w:type="default" r:id="rId60"/>
          <w:headerReference w:type="even" r:id="rId61"/>
          <w:footerReference w:type="even" r:id="rId62"/>
          <w:headerReference w:type="first" r:id="rId63"/>
          <w:footerReference w:type="first" r:id="rId64"/>
          <w:footnotePr>
            <w:pos w:val="pageBottom"/>
            <w:numFmt w:val="decimal"/>
            <w:numRestart w:val="continuous"/>
          </w:footnotePr>
          <w:pgSz w:w="11904" w:h="17375"/>
          <w:pgMar w:top="1565" w:right="1023" w:bottom="1616" w:left="1088" w:header="0" w:footer="3" w:gutter="0"/>
          <w:cols w:space="720"/>
          <w:noEndnote/>
          <w:titlePg/>
          <w:rtlGutter w:val="0"/>
          <w:docGrid w:linePitch="360"/>
        </w:sectPr>
      </w:pPr>
      <w:r>
        <w:rPr>
          <w:color w:val="000000"/>
          <w:spacing w:val="0"/>
          <w:w w:val="100"/>
          <w:position w:val="0"/>
        </w:rPr>
        <w:t>泰岳语义工厂开放的服务涵盖</w:t>
      </w:r>
      <w:r>
        <w:rPr>
          <w:rFonts w:ascii="Times New Roman" w:eastAsia="Times New Roman" w:hAnsi="Times New Roman" w:cs="Times New Roman"/>
          <w:color w:val="000000"/>
          <w:spacing w:val="0"/>
          <w:w w:val="100"/>
          <w:position w:val="0"/>
          <w:sz w:val="18"/>
          <w:szCs w:val="18"/>
        </w:rPr>
        <w:t>16</w:t>
      </w:r>
      <w:r>
        <w:rPr>
          <w:color w:val="000000"/>
          <w:spacing w:val="0"/>
          <w:w w:val="100"/>
          <w:position w:val="0"/>
        </w:rPr>
        <w:t>个行业领域、</w:t>
      </w:r>
      <w:r>
        <w:rPr>
          <w:rFonts w:ascii="Times New Roman" w:eastAsia="Times New Roman" w:hAnsi="Times New Roman" w:cs="Times New Roman"/>
          <w:color w:val="000000"/>
          <w:spacing w:val="0"/>
          <w:w w:val="100"/>
          <w:position w:val="0"/>
          <w:sz w:val="18"/>
          <w:szCs w:val="18"/>
        </w:rPr>
        <w:t>140</w:t>
      </w:r>
      <w:r>
        <w:rPr>
          <w:color w:val="000000"/>
          <w:spacing w:val="0"/>
          <w:w w:val="100"/>
          <w:position w:val="0"/>
        </w:rPr>
        <w:t>多个场景和</w:t>
      </w:r>
      <w:r>
        <w:rPr>
          <w:rFonts w:ascii="Times New Roman" w:eastAsia="Times New Roman" w:hAnsi="Times New Roman" w:cs="Times New Roman"/>
          <w:color w:val="000000"/>
          <w:spacing w:val="0"/>
          <w:w w:val="100"/>
          <w:position w:val="0"/>
          <w:sz w:val="18"/>
          <w:szCs w:val="18"/>
        </w:rPr>
        <w:t>200</w:t>
      </w:r>
      <w:r>
        <w:rPr>
          <w:color w:val="000000"/>
          <w:spacing w:val="0"/>
          <w:w w:val="100"/>
          <w:position w:val="0"/>
        </w:rPr>
        <w:t>多个服务，远远超出业界整体开放服务的总数量。语义</w:t>
      </w:r>
    </w:p>
    <w:p>
      <w:pPr>
        <w:pStyle w:val="Style2"/>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41"/>
        <w:keepNext w:val="0"/>
        <w:keepLines w:val="0"/>
        <w:widowControl w:val="0"/>
        <w:shd w:val="clear" w:color="auto" w:fill="auto"/>
        <w:bidi w:val="0"/>
        <w:spacing w:before="0" w:after="260" w:line="468" w:lineRule="exact"/>
        <w:ind w:left="0" w:right="0" w:firstLine="820"/>
        <w:jc w:val="both"/>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 工厂可实现输出用于开发者的语义解析能力、面向业务者的语义数据加工、面向设计者的语义算法模型，通过积累，将会成 为行业标准数据、行业算法模型的大型仓库和加工服务成套工厂。提供基于公有云和私有云的</w:t>
      </w:r>
      <w:r>
        <w:rPr>
          <w:rFonts w:ascii="Times New Roman" w:eastAsia="Times New Roman" w:hAnsi="Times New Roman" w:cs="Times New Roman"/>
          <w:color w:val="000000"/>
          <w:spacing w:val="0"/>
          <w:w w:val="100"/>
          <w:position w:val="0"/>
          <w:sz w:val="18"/>
          <w:szCs w:val="18"/>
        </w:rPr>
        <w:t>SAAS</w:t>
      </w:r>
      <w:r>
        <w:rPr>
          <w:color w:val="000000"/>
          <w:spacing w:val="0"/>
          <w:w w:val="100"/>
          <w:position w:val="0"/>
        </w:rPr>
        <w:t>付费的</w:t>
      </w:r>
      <w:r>
        <w:rPr>
          <w:rFonts w:ascii="Times New Roman" w:eastAsia="Times New Roman" w:hAnsi="Times New Roman" w:cs="Times New Roman"/>
          <w:color w:val="000000"/>
          <w:spacing w:val="0"/>
          <w:w w:val="100"/>
          <w:position w:val="0"/>
          <w:sz w:val="18"/>
          <w:szCs w:val="18"/>
        </w:rPr>
        <w:t>API</w:t>
      </w:r>
      <w:r>
        <w:rPr>
          <w:color w:val="000000"/>
          <w:spacing w:val="0"/>
          <w:w w:val="100"/>
          <w:position w:val="0"/>
        </w:rPr>
        <w:t>服务、提供 支持可</w:t>
      </w:r>
      <w:r>
        <w:rPr>
          <w:rFonts w:ascii="Times New Roman" w:eastAsia="Times New Roman" w:hAnsi="Times New Roman" w:cs="Times New Roman"/>
          <w:color w:val="000000"/>
          <w:spacing w:val="0"/>
          <w:w w:val="100"/>
          <w:position w:val="0"/>
          <w:sz w:val="18"/>
          <w:szCs w:val="18"/>
        </w:rPr>
        <w:t>OEM</w:t>
      </w:r>
      <w:r>
        <w:rPr>
          <w:color w:val="000000"/>
          <w:spacing w:val="0"/>
          <w:w w:val="100"/>
          <w:position w:val="0"/>
        </w:rPr>
        <w:t>的</w:t>
      </w:r>
      <w:r>
        <w:rPr>
          <w:rFonts w:ascii="Times New Roman" w:eastAsia="Times New Roman" w:hAnsi="Times New Roman" w:cs="Times New Roman"/>
          <w:color w:val="000000"/>
          <w:spacing w:val="0"/>
          <w:w w:val="100"/>
          <w:position w:val="0"/>
          <w:sz w:val="18"/>
          <w:szCs w:val="18"/>
        </w:rPr>
        <w:t>NLP API</w:t>
      </w:r>
      <w:r>
        <w:rPr>
          <w:color w:val="000000"/>
          <w:spacing w:val="0"/>
          <w:w w:val="100"/>
          <w:position w:val="0"/>
        </w:rPr>
        <w:t>服务以及</w:t>
      </w:r>
      <w:r>
        <w:rPr>
          <w:rFonts w:ascii="Times New Roman" w:eastAsia="Times New Roman" w:hAnsi="Times New Roman" w:cs="Times New Roman"/>
          <w:color w:val="000000"/>
          <w:spacing w:val="0"/>
          <w:w w:val="100"/>
          <w:position w:val="0"/>
          <w:sz w:val="18"/>
          <w:szCs w:val="18"/>
        </w:rPr>
        <w:t>NLP</w:t>
      </w:r>
      <w:r>
        <w:rPr>
          <w:color w:val="000000"/>
          <w:spacing w:val="0"/>
          <w:w w:val="100"/>
          <w:position w:val="0"/>
        </w:rPr>
        <w:t>数据加工和提供服务。</w:t>
      </w:r>
    </w:p>
    <w:p>
      <w:pPr>
        <w:pStyle w:val="Style41"/>
        <w:keepNext w:val="0"/>
        <w:keepLines w:val="0"/>
        <w:widowControl w:val="0"/>
        <w:shd w:val="clear" w:color="auto" w:fill="auto"/>
        <w:bidi w:val="0"/>
        <w:spacing w:before="0" w:after="0" w:line="542" w:lineRule="auto"/>
        <w:ind w:left="0" w:right="0"/>
        <w:jc w:val="both"/>
      </w:pPr>
      <w:bookmarkStart w:id="117" w:name="bookmark117"/>
      <w:r>
        <w:rPr>
          <w:rFonts w:ascii="Times New Roman" w:eastAsia="Times New Roman" w:hAnsi="Times New Roman" w:cs="Times New Roman"/>
          <w:b/>
          <w:bCs/>
          <w:color w:val="000000"/>
          <w:spacing w:val="0"/>
          <w:w w:val="100"/>
          <w:position w:val="0"/>
          <w:sz w:val="18"/>
          <w:szCs w:val="18"/>
        </w:rPr>
        <w:t>3</w:t>
      </w:r>
      <w:bookmarkEnd w:id="117"/>
      <w:r>
        <w:rPr>
          <w:b/>
          <w:bCs/>
          <w:color w:val="000000"/>
          <w:spacing w:val="0"/>
          <w:w w:val="100"/>
          <w:position w:val="0"/>
        </w:rPr>
        <w:t>）智能写作产品</w:t>
      </w:r>
    </w:p>
    <w:p>
      <w:pPr>
        <w:pStyle w:val="Style41"/>
        <w:keepNext w:val="0"/>
        <w:keepLines w:val="0"/>
        <w:widowControl w:val="0"/>
        <w:shd w:val="clear" w:color="auto" w:fill="auto"/>
        <w:bidi w:val="0"/>
        <w:spacing w:before="0" w:after="260" w:line="468" w:lineRule="exact"/>
        <w:ind w:left="0" w:right="0"/>
        <w:jc w:val="both"/>
      </w:pPr>
      <w:r>
        <w:rPr>
          <w:color w:val="000000"/>
          <w:spacing w:val="0"/>
          <w:w w:val="100"/>
          <w:position w:val="0"/>
        </w:rPr>
        <w:t>公司智能写作产品</w:t>
      </w:r>
      <w:r>
        <w:rPr>
          <w:color w:val="000000"/>
          <w:spacing w:val="0"/>
          <w:w w:val="100"/>
          <w:position w:val="0"/>
          <w:sz w:val="18"/>
          <w:szCs w:val="18"/>
        </w:rPr>
        <w:t>一</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合同审核智能写作软件</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r>
        <w:rPr>
          <w:color w:val="000000"/>
          <w:spacing w:val="0"/>
          <w:w w:val="100"/>
          <w:position w:val="0"/>
        </w:rPr>
        <w:t>利用人工智能</w:t>
      </w:r>
      <w:r>
        <w:rPr>
          <w:rFonts w:ascii="Times New Roman" w:eastAsia="Times New Roman" w:hAnsi="Times New Roman" w:cs="Times New Roman"/>
          <w:color w:val="000000"/>
          <w:spacing w:val="0"/>
          <w:w w:val="100"/>
          <w:position w:val="0"/>
          <w:sz w:val="18"/>
          <w:szCs w:val="18"/>
        </w:rPr>
        <w:t>NLP</w:t>
      </w:r>
      <w:r>
        <w:rPr>
          <w:color w:val="000000"/>
          <w:spacing w:val="0"/>
          <w:w w:val="100"/>
          <w:position w:val="0"/>
        </w:rPr>
        <w:t>处理和生成技术，内置合同审核的规则和标准，综合 概念计算、统计学习、深度学习等先进</w:t>
      </w:r>
      <w:r>
        <w:rPr>
          <w:rFonts w:ascii="Times New Roman" w:eastAsia="Times New Roman" w:hAnsi="Times New Roman" w:cs="Times New Roman"/>
          <w:color w:val="000000"/>
          <w:spacing w:val="0"/>
          <w:w w:val="100"/>
          <w:position w:val="0"/>
          <w:sz w:val="18"/>
          <w:szCs w:val="18"/>
        </w:rPr>
        <w:t>AI</w:t>
      </w:r>
      <w:r>
        <w:rPr>
          <w:color w:val="000000"/>
          <w:spacing w:val="0"/>
          <w:w w:val="100"/>
          <w:position w:val="0"/>
        </w:rPr>
        <w:t>技术，实现合同文本的自动比对、审核，精准发现合同中存在的法律、财务、商 务等方面的缺陷及风险并输出报告。该平台将能在提供自动写作服务的同时为第三方团队或个人提供创业、创新的机会，最 终构建一个智能写作生态系统，为政府机构、企事业单位、科研院所、大专院校，甚至个人消费者提供全方位、全领域的文 本写作服务。</w:t>
      </w:r>
    </w:p>
    <w:p>
      <w:pPr>
        <w:pStyle w:val="Style41"/>
        <w:keepNext w:val="0"/>
        <w:keepLines w:val="0"/>
        <w:widowControl w:val="0"/>
        <w:shd w:val="clear" w:color="auto" w:fill="auto"/>
        <w:bidi w:val="0"/>
        <w:spacing w:before="0" w:after="0" w:line="542" w:lineRule="auto"/>
        <w:ind w:left="0" w:right="0"/>
        <w:jc w:val="both"/>
      </w:pPr>
      <w:bookmarkStart w:id="118" w:name="bookmark118"/>
      <w:r>
        <w:rPr>
          <w:rFonts w:ascii="Times New Roman" w:eastAsia="Times New Roman" w:hAnsi="Times New Roman" w:cs="Times New Roman"/>
          <w:b/>
          <w:bCs/>
          <w:color w:val="000000"/>
          <w:spacing w:val="0"/>
          <w:w w:val="100"/>
          <w:position w:val="0"/>
          <w:sz w:val="18"/>
          <w:szCs w:val="18"/>
        </w:rPr>
        <w:t>D</w:t>
      </w:r>
      <w:bookmarkEnd w:id="118"/>
      <w:r>
        <w:rPr>
          <w:b/>
          <w:bCs/>
          <w:color w:val="000000"/>
          <w:spacing w:val="0"/>
          <w:w w:val="100"/>
          <w:position w:val="0"/>
        </w:rPr>
        <w:t>、</w:t>
      </w:r>
      <w:r>
        <w:rPr>
          <w:b/>
          <w:bCs/>
          <w:color w:val="000000"/>
          <w:spacing w:val="0"/>
          <w:w w:val="100"/>
          <w:position w:val="0"/>
        </w:rPr>
        <w:t>行业解决方案</w:t>
      </w:r>
    </w:p>
    <w:p>
      <w:pPr>
        <w:pStyle w:val="Style41"/>
        <w:keepNext w:val="0"/>
        <w:keepLines w:val="0"/>
        <w:widowControl w:val="0"/>
        <w:shd w:val="clear" w:color="auto" w:fill="auto"/>
        <w:bidi w:val="0"/>
        <w:spacing w:before="0" w:after="260" w:line="468" w:lineRule="exact"/>
        <w:ind w:left="0" w:right="0"/>
        <w:jc w:val="both"/>
      </w:pPr>
      <w:r>
        <w:rPr>
          <w:color w:val="000000"/>
          <w:spacing w:val="0"/>
          <w:w w:val="100"/>
          <w:position w:val="0"/>
        </w:rPr>
        <w:t>人工智能</w:t>
      </w:r>
      <w:r>
        <w:rPr>
          <w:rFonts w:ascii="Times New Roman" w:eastAsia="Times New Roman" w:hAnsi="Times New Roman" w:cs="Times New Roman"/>
          <w:color w:val="000000"/>
          <w:spacing w:val="0"/>
          <w:w w:val="100"/>
          <w:position w:val="0"/>
          <w:sz w:val="18"/>
          <w:szCs w:val="18"/>
        </w:rPr>
        <w:t>NLP</w:t>
      </w:r>
      <w:r>
        <w:rPr>
          <w:color w:val="000000"/>
          <w:spacing w:val="0"/>
          <w:w w:val="100"/>
          <w:position w:val="0"/>
        </w:rPr>
        <w:t>语义分析平台，是公司推出在面向自然语义理解领域的人工智能</w:t>
      </w:r>
      <w:r>
        <w:rPr>
          <w:rFonts w:ascii="Times New Roman" w:eastAsia="Times New Roman" w:hAnsi="Times New Roman" w:cs="Times New Roman"/>
          <w:color w:val="000000"/>
          <w:spacing w:val="0"/>
          <w:w w:val="100"/>
          <w:position w:val="0"/>
          <w:sz w:val="18"/>
          <w:szCs w:val="18"/>
        </w:rPr>
        <w:t>NLP</w:t>
      </w:r>
      <w:r>
        <w:rPr>
          <w:color w:val="000000"/>
          <w:spacing w:val="0"/>
          <w:w w:val="100"/>
          <w:position w:val="0"/>
        </w:rPr>
        <w:t>技术能力平台，引入了神经网络算法 及机器学习算法，融入了数百种语义模型及核心能力，实现了对非结构化数据的深入挖掘分析，并积累了丰富的行业服务经 验，</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智慧警务分析平台</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为客户挖掘大量的非结构化数据信息，</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智能分类管理系统</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为客户对大量散乱的数据进行智能统计 分析，</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智能情感评价分析系统</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为客户对大量互联网数据提供监测功能，已经在公安、政务、金融、企业、互联网等多类行 业获得成效，并在语义理解领域取得领先优势。</w:t>
      </w:r>
    </w:p>
    <w:p>
      <w:pPr>
        <w:pStyle w:val="Style58"/>
        <w:keepNext/>
        <w:keepLines/>
        <w:widowControl w:val="0"/>
        <w:shd w:val="clear" w:color="auto" w:fill="auto"/>
        <w:bidi w:val="0"/>
        <w:spacing w:before="0" w:after="0" w:line="542" w:lineRule="auto"/>
        <w:ind w:left="0" w:right="0"/>
        <w:jc w:val="left"/>
      </w:pPr>
      <w:bookmarkStart w:id="119" w:name="bookmark119"/>
      <w:bookmarkStart w:id="120" w:name="bookmark120"/>
      <w:bookmarkStart w:id="121" w:name="bookmark121"/>
      <w:r>
        <w:rPr>
          <w:rFonts w:ascii="Times New Roman" w:eastAsia="Times New Roman" w:hAnsi="Times New Roman" w:cs="Times New Roman"/>
          <w:b/>
          <w:bCs/>
          <w:color w:val="000000"/>
          <w:spacing w:val="0"/>
          <w:w w:val="100"/>
          <w:position w:val="0"/>
          <w:sz w:val="18"/>
          <w:szCs w:val="18"/>
        </w:rPr>
        <w:t>4.2</w:t>
      </w:r>
      <w:r>
        <w:rPr>
          <w:b/>
          <w:bCs/>
          <w:color w:val="000000"/>
          <w:spacing w:val="0"/>
          <w:w w:val="100"/>
          <w:position w:val="0"/>
        </w:rPr>
        <w:t>核心的竞争优势</w:t>
      </w:r>
      <w:bookmarkEnd w:id="119"/>
      <w:bookmarkEnd w:id="120"/>
      <w:bookmarkEnd w:id="121"/>
    </w:p>
    <w:p>
      <w:pPr>
        <w:pStyle w:val="Style58"/>
        <w:keepNext/>
        <w:keepLines/>
        <w:widowControl w:val="0"/>
        <w:shd w:val="clear" w:color="auto" w:fill="auto"/>
        <w:tabs>
          <w:tab w:pos="717" w:val="left"/>
        </w:tabs>
        <w:bidi w:val="0"/>
        <w:spacing w:before="0" w:after="0" w:line="468" w:lineRule="exact"/>
        <w:ind w:left="0" w:right="0"/>
        <w:jc w:val="left"/>
      </w:pPr>
      <w:bookmarkStart w:id="119" w:name="bookmark119"/>
      <w:bookmarkStart w:id="120" w:name="bookmark120"/>
      <w:bookmarkStart w:id="122" w:name="bookmark122"/>
      <w:r>
        <w:rPr>
          <w:rFonts w:ascii="Times New Roman" w:eastAsia="Times New Roman" w:hAnsi="Times New Roman" w:cs="Times New Roman"/>
          <w:b/>
          <w:bCs/>
          <w:color w:val="000000"/>
          <w:spacing w:val="0"/>
          <w:w w:val="100"/>
          <w:position w:val="0"/>
          <w:sz w:val="18"/>
          <w:szCs w:val="18"/>
        </w:rPr>
        <w:t>A</w:t>
      </w:r>
      <w:bookmarkEnd w:id="122"/>
      <w:r>
        <w:rPr>
          <w:b/>
          <w:bCs/>
          <w:color w:val="000000"/>
          <w:spacing w:val="0"/>
          <w:w w:val="100"/>
          <w:position w:val="0"/>
        </w:rPr>
        <w:t>、</w:t>
        <w:tab/>
      </w:r>
      <w:r>
        <w:rPr>
          <w:b/>
          <w:bCs/>
          <w:color w:val="000000"/>
          <w:spacing w:val="0"/>
          <w:w w:val="100"/>
          <w:position w:val="0"/>
        </w:rPr>
        <w:t>领先的语义认知能力</w:t>
      </w:r>
      <w:bookmarkEnd w:id="119"/>
      <w:bookmarkEnd w:id="120"/>
    </w:p>
    <w:p>
      <w:pPr>
        <w:pStyle w:val="Style41"/>
        <w:keepNext w:val="0"/>
        <w:keepLines w:val="0"/>
        <w:widowControl w:val="0"/>
        <w:shd w:val="clear" w:color="auto" w:fill="auto"/>
        <w:bidi w:val="0"/>
        <w:spacing w:before="0" w:after="0" w:line="468" w:lineRule="exact"/>
        <w:ind w:left="0" w:right="0"/>
        <w:jc w:val="both"/>
      </w:pPr>
      <w:r>
        <w:rPr>
          <w:color w:val="000000"/>
          <w:spacing w:val="0"/>
          <w:w w:val="100"/>
          <w:position w:val="0"/>
        </w:rPr>
        <w:t>公司的智能语义技术涵盖面向业务的自然语言文本分析、基于增强学习语义模型分析检索、多维度组合模式检索等三大 能力，集成</w:t>
      </w:r>
      <w:r>
        <w:rPr>
          <w:rFonts w:ascii="Times New Roman" w:eastAsia="Times New Roman" w:hAnsi="Times New Roman" w:cs="Times New Roman"/>
          <w:color w:val="000000"/>
          <w:spacing w:val="0"/>
          <w:w w:val="100"/>
          <w:position w:val="0"/>
          <w:sz w:val="18"/>
          <w:szCs w:val="18"/>
        </w:rPr>
        <w:t>OEC</w:t>
      </w:r>
      <w:r>
        <w:rPr>
          <w:color w:val="000000"/>
          <w:spacing w:val="0"/>
          <w:w w:val="100"/>
          <w:position w:val="0"/>
        </w:rPr>
        <w:t>语义先验知识规则模型、关系图谱推理模型、深度学习模型等三位一体的语义分析方案。公司采用智慧语义 感知技术，在公安领域积累有效训练样本数千万份、形成了大量的特殊领域向量化专业词汇，持续近几年的时间优化模型准 确率和有效性，使得算法从研发设计阶段走向实用化场景化阶段，并可理解自然语言中的一词多义和相同语义的不同表述方 式，为自然语言理解的相关任务如：要素抽取、实体识别、篇章理解、语义推理等，提供创新的、工业化的落地手段，进而 推动</w:t>
      </w:r>
      <w:r>
        <w:rPr>
          <w:rFonts w:ascii="Times New Roman" w:eastAsia="Times New Roman" w:hAnsi="Times New Roman" w:cs="Times New Roman"/>
          <w:color w:val="000000"/>
          <w:spacing w:val="0"/>
          <w:w w:val="100"/>
          <w:position w:val="0"/>
          <w:sz w:val="18"/>
          <w:szCs w:val="18"/>
        </w:rPr>
        <w:t>NLP</w:t>
      </w:r>
      <w:r>
        <w:rPr>
          <w:color w:val="000000"/>
          <w:spacing w:val="0"/>
          <w:w w:val="100"/>
          <w:position w:val="0"/>
        </w:rPr>
        <w:t>行业应用的快速发展。</w:t>
      </w:r>
    </w:p>
    <w:p>
      <w:pPr>
        <w:pStyle w:val="Style41"/>
        <w:keepNext w:val="0"/>
        <w:keepLines w:val="0"/>
        <w:widowControl w:val="0"/>
        <w:shd w:val="clear" w:color="auto" w:fill="auto"/>
        <w:tabs>
          <w:tab w:pos="717" w:val="left"/>
        </w:tabs>
        <w:bidi w:val="0"/>
        <w:spacing w:before="0" w:after="0" w:line="468" w:lineRule="exact"/>
        <w:ind w:left="0" w:right="0"/>
        <w:jc w:val="both"/>
      </w:pPr>
      <w:bookmarkStart w:id="123" w:name="bookmark123"/>
      <w:r>
        <w:rPr>
          <w:rFonts w:ascii="Times New Roman" w:eastAsia="Times New Roman" w:hAnsi="Times New Roman" w:cs="Times New Roman"/>
          <w:b/>
          <w:bCs/>
          <w:color w:val="000000"/>
          <w:spacing w:val="0"/>
          <w:w w:val="100"/>
          <w:position w:val="0"/>
          <w:sz w:val="18"/>
          <w:szCs w:val="18"/>
        </w:rPr>
        <w:t>B</w:t>
      </w:r>
      <w:bookmarkEnd w:id="123"/>
      <w:r>
        <w:rPr>
          <w:b/>
          <w:bCs/>
          <w:color w:val="000000"/>
          <w:spacing w:val="0"/>
          <w:w w:val="100"/>
          <w:position w:val="0"/>
        </w:rPr>
        <w:t>、</w:t>
        <w:tab/>
      </w:r>
      <w:r>
        <w:rPr>
          <w:b/>
          <w:bCs/>
          <w:color w:val="000000"/>
          <w:spacing w:val="0"/>
          <w:w w:val="100"/>
          <w:position w:val="0"/>
        </w:rPr>
        <w:t>强大的数据采集和互联互通能力</w:t>
      </w:r>
    </w:p>
    <w:p>
      <w:pPr>
        <w:pStyle w:val="Style41"/>
        <w:keepNext w:val="0"/>
        <w:keepLines w:val="0"/>
        <w:widowControl w:val="0"/>
        <w:shd w:val="clear" w:color="auto" w:fill="auto"/>
        <w:bidi w:val="0"/>
        <w:spacing w:before="0" w:after="0" w:line="468" w:lineRule="exact"/>
        <w:ind w:left="0" w:right="0"/>
        <w:jc w:val="both"/>
      </w:pPr>
      <w:r>
        <w:rPr>
          <w:color w:val="000000"/>
          <w:spacing w:val="0"/>
          <w:w w:val="100"/>
          <w:position w:val="0"/>
        </w:rPr>
        <w:t>公司具备独创、强大的信息采集技术，能做到采集多种类型的源端数据，如不同的关系型数据库、大数据平台、消息系 统、非结构化文件、物联网等各种类型数据，实时汇聚分布在各地域的异构数据到大数据中心，实现各级数据的互联互通。 在数据采集汇聚的过程中，利用大型高速分布式内存计算引擎和流式处理引擎，可以进行实时的流式数据加工处理，进而对 采集的数据进行清洗、加工和计算分析，有效促进各类型数据整合，改善数据割据和各自为政的现状问题。</w:t>
      </w:r>
    </w:p>
    <w:p>
      <w:pPr>
        <w:pStyle w:val="Style41"/>
        <w:keepNext w:val="0"/>
        <w:keepLines w:val="0"/>
        <w:widowControl w:val="0"/>
        <w:shd w:val="clear" w:color="auto" w:fill="auto"/>
        <w:tabs>
          <w:tab w:pos="717" w:val="left"/>
        </w:tabs>
        <w:bidi w:val="0"/>
        <w:spacing w:before="0" w:after="0" w:line="468" w:lineRule="exact"/>
        <w:ind w:left="0" w:right="0"/>
        <w:jc w:val="both"/>
      </w:pPr>
      <w:bookmarkStart w:id="124" w:name="bookmark124"/>
      <w:r>
        <w:rPr>
          <w:rFonts w:ascii="Times New Roman" w:eastAsia="Times New Roman" w:hAnsi="Times New Roman" w:cs="Times New Roman"/>
          <w:b/>
          <w:bCs/>
          <w:color w:val="000000"/>
          <w:spacing w:val="0"/>
          <w:w w:val="100"/>
          <w:position w:val="0"/>
          <w:sz w:val="18"/>
          <w:szCs w:val="18"/>
        </w:rPr>
        <w:t>C</w:t>
      </w:r>
      <w:bookmarkEnd w:id="124"/>
      <w:r>
        <w:rPr>
          <w:b/>
          <w:bCs/>
          <w:color w:val="000000"/>
          <w:spacing w:val="0"/>
          <w:w w:val="100"/>
          <w:position w:val="0"/>
        </w:rPr>
        <w:t>、</w:t>
        <w:tab/>
      </w:r>
      <w:r>
        <w:rPr>
          <w:b/>
          <w:bCs/>
          <w:color w:val="000000"/>
          <w:spacing w:val="0"/>
          <w:w w:val="100"/>
          <w:position w:val="0"/>
        </w:rPr>
        <w:t>独特的算法整合和深度解析能力</w:t>
      </w:r>
    </w:p>
    <w:p>
      <w:pPr>
        <w:pStyle w:val="Style41"/>
        <w:keepNext w:val="0"/>
        <w:keepLines w:val="0"/>
        <w:widowControl w:val="0"/>
        <w:shd w:val="clear" w:color="auto" w:fill="auto"/>
        <w:bidi w:val="0"/>
        <w:spacing w:before="0" w:after="260" w:line="468" w:lineRule="exact"/>
        <w:ind w:left="0" w:right="0"/>
        <w:jc w:val="both"/>
      </w:pPr>
      <w:r>
        <w:rPr>
          <w:color w:val="000000"/>
          <w:spacing w:val="0"/>
          <w:w w:val="100"/>
          <w:position w:val="0"/>
        </w:rPr>
        <w:t>公司将已经取得的行业及语义层经验知识与机器学习、深度神经网络进行融合，提供多个分类、聚类、回归、主题模型，</w:t>
      </w:r>
    </w:p>
    <w:p>
      <w:pPr>
        <w:pStyle w:val="Style2"/>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41"/>
        <w:keepNext w:val="0"/>
        <w:keepLines w:val="0"/>
        <w:widowControl w:val="0"/>
        <w:shd w:val="clear" w:color="auto" w:fill="auto"/>
        <w:bidi w:val="0"/>
        <w:spacing w:before="0" w:after="0" w:line="467" w:lineRule="exact"/>
        <w:ind w:left="0" w:right="0" w:firstLine="820"/>
        <w:jc w:val="both"/>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 在公安、金融行业的领域专业词向量及算法上，实现了场景泛化能力，同时采用分布式计算方式，支撑数据深度分析和数据 挖掘，再结合可扩展、分布式、低延迟的图形数据库提供知识图谱的图计算能力。形成强大的知识图谱的图计算能力，实现 信息、线索、研判的可视化分析操作，方便人员一目了然。</w:t>
      </w:r>
    </w:p>
    <w:p>
      <w:pPr>
        <w:pStyle w:val="Style58"/>
        <w:keepNext/>
        <w:keepLines/>
        <w:widowControl w:val="0"/>
        <w:shd w:val="clear" w:color="auto" w:fill="auto"/>
        <w:bidi w:val="0"/>
        <w:spacing w:before="0" w:after="0" w:line="467" w:lineRule="exact"/>
        <w:ind w:left="0" w:right="0"/>
        <w:jc w:val="both"/>
      </w:pPr>
      <w:bookmarkStart w:id="125" w:name="bookmark125"/>
      <w:bookmarkStart w:id="126" w:name="bookmark126"/>
      <w:bookmarkStart w:id="127" w:name="bookmark127"/>
      <w:r>
        <w:rPr>
          <w:rFonts w:ascii="Times New Roman" w:eastAsia="Times New Roman" w:hAnsi="Times New Roman" w:cs="Times New Roman"/>
          <w:b/>
          <w:bCs/>
          <w:color w:val="000000"/>
          <w:spacing w:val="0"/>
          <w:w w:val="100"/>
          <w:position w:val="0"/>
          <w:sz w:val="18"/>
          <w:szCs w:val="18"/>
        </w:rPr>
        <w:t>4.3</w:t>
      </w:r>
      <w:r>
        <w:rPr>
          <w:b/>
          <w:bCs/>
          <w:color w:val="000000"/>
          <w:spacing w:val="0"/>
          <w:w w:val="100"/>
          <w:position w:val="0"/>
        </w:rPr>
        <w:t>专家团队产学研深度合作</w:t>
      </w:r>
      <w:bookmarkEnd w:id="125"/>
      <w:bookmarkEnd w:id="126"/>
      <w:bookmarkEnd w:id="127"/>
    </w:p>
    <w:p>
      <w:pPr>
        <w:pStyle w:val="Style41"/>
        <w:keepNext w:val="0"/>
        <w:keepLines w:val="0"/>
        <w:widowControl w:val="0"/>
        <w:shd w:val="clear" w:color="auto" w:fill="auto"/>
        <w:tabs>
          <w:tab w:pos="682" w:val="left"/>
        </w:tabs>
        <w:bidi w:val="0"/>
        <w:spacing w:before="0" w:after="0" w:line="467" w:lineRule="exact"/>
        <w:ind w:left="0" w:right="0"/>
        <w:jc w:val="left"/>
      </w:pPr>
      <w:bookmarkStart w:id="128" w:name="bookmark128"/>
      <w:r>
        <w:rPr>
          <w:rFonts w:ascii="Times New Roman" w:eastAsia="Times New Roman" w:hAnsi="Times New Roman" w:cs="Times New Roman"/>
          <w:color w:val="000000"/>
          <w:spacing w:val="0"/>
          <w:w w:val="100"/>
          <w:position w:val="0"/>
          <w:sz w:val="18"/>
          <w:szCs w:val="18"/>
        </w:rPr>
        <w:t>A</w:t>
      </w:r>
      <w:bookmarkEnd w:id="128"/>
      <w:r>
        <w:rPr>
          <w:color w:val="000000"/>
          <w:spacing w:val="0"/>
          <w:w w:val="100"/>
          <w:position w:val="0"/>
        </w:rPr>
        <w:t>、</w:t>
        <w:tab/>
      </w:r>
      <w:r>
        <w:rPr>
          <w:color w:val="000000"/>
          <w:spacing w:val="0"/>
          <w:w w:val="100"/>
          <w:position w:val="0"/>
        </w:rPr>
        <w:t>公司成立人工智能研究院，负责</w:t>
      </w:r>
      <w:r>
        <w:rPr>
          <w:rFonts w:ascii="Times New Roman" w:eastAsia="Times New Roman" w:hAnsi="Times New Roman" w:cs="Times New Roman"/>
          <w:color w:val="000000"/>
          <w:spacing w:val="0"/>
          <w:w w:val="100"/>
          <w:position w:val="0"/>
          <w:sz w:val="18"/>
          <w:szCs w:val="18"/>
        </w:rPr>
        <w:t>NLP</w:t>
      </w:r>
      <w:r>
        <w:rPr>
          <w:color w:val="000000"/>
          <w:spacing w:val="0"/>
          <w:w w:val="100"/>
          <w:position w:val="0"/>
        </w:rPr>
        <w:t>领域的基础技术研究；</w:t>
      </w:r>
      <w:r>
        <w:rPr>
          <w:b/>
          <w:bCs/>
          <w:color w:val="000000"/>
          <w:spacing w:val="0"/>
          <w:w w:val="100"/>
          <w:position w:val="0"/>
        </w:rPr>
        <w:t>成立深度学习实验室，专注于深度学习算法研究、优化、 落地，聚焦深度学习与自然语言理解</w:t>
      </w:r>
      <w:r>
        <w:rPr>
          <w:b/>
          <w:bCs/>
          <w:color w:val="000000"/>
          <w:spacing w:val="0"/>
          <w:w w:val="100"/>
          <w:position w:val="0"/>
        </w:rPr>
        <w:t>（</w:t>
      </w:r>
      <w:r>
        <w:rPr>
          <w:rFonts w:ascii="Times New Roman" w:eastAsia="Times New Roman" w:hAnsi="Times New Roman" w:cs="Times New Roman"/>
          <w:b/>
          <w:bCs/>
          <w:color w:val="000000"/>
          <w:spacing w:val="0"/>
          <w:w w:val="100"/>
          <w:position w:val="0"/>
          <w:sz w:val="18"/>
          <w:szCs w:val="18"/>
        </w:rPr>
        <w:t>NLU</w:t>
      </w:r>
      <w:r>
        <w:rPr>
          <w:b/>
          <w:bCs/>
          <w:color w:val="000000"/>
          <w:spacing w:val="0"/>
          <w:w w:val="100"/>
          <w:position w:val="0"/>
        </w:rPr>
        <w:t>）</w:t>
      </w:r>
      <w:r>
        <w:rPr>
          <w:b/>
          <w:bCs/>
          <w:color w:val="000000"/>
          <w:spacing w:val="0"/>
          <w:w w:val="100"/>
          <w:position w:val="0"/>
        </w:rPr>
        <w:t>的结合研究，致力于提高公司人工智能的学术与行业影响力</w:t>
      </w:r>
      <w:r>
        <w:rPr>
          <w:color w:val="000000"/>
          <w:spacing w:val="0"/>
          <w:w w:val="100"/>
          <w:position w:val="0"/>
        </w:rPr>
        <w:t>。公司人工智能 研究院，定位于语义认知创新技术的研究与开发，负责公司人工智能</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认知</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战略的执行与落地，持续提升和加强神州泰岳 在人工智能核心技术领域的领先地位，负责</w:t>
      </w:r>
      <w:r>
        <w:rPr>
          <w:rFonts w:ascii="Times New Roman" w:eastAsia="Times New Roman" w:hAnsi="Times New Roman" w:cs="Times New Roman"/>
          <w:color w:val="000000"/>
          <w:spacing w:val="0"/>
          <w:w w:val="100"/>
          <w:position w:val="0"/>
          <w:sz w:val="18"/>
          <w:szCs w:val="18"/>
        </w:rPr>
        <w:t>NLP</w:t>
      </w:r>
      <w:r>
        <w:rPr>
          <w:color w:val="000000"/>
          <w:spacing w:val="0"/>
          <w:w w:val="100"/>
          <w:position w:val="0"/>
        </w:rPr>
        <w:t>语义核心技术的研发及应用，负责支持集团在电信运营商、公安、金融等行 业的人工智能应用落地工作。</w:t>
      </w:r>
    </w:p>
    <w:p>
      <w:pPr>
        <w:pStyle w:val="Style41"/>
        <w:keepNext w:val="0"/>
        <w:keepLines w:val="0"/>
        <w:widowControl w:val="0"/>
        <w:shd w:val="clear" w:color="auto" w:fill="auto"/>
        <w:tabs>
          <w:tab w:pos="692" w:val="left"/>
        </w:tabs>
        <w:bidi w:val="0"/>
        <w:spacing w:before="0" w:after="0" w:line="467" w:lineRule="exact"/>
        <w:ind w:left="0" w:right="0"/>
        <w:jc w:val="left"/>
      </w:pPr>
      <w:bookmarkStart w:id="129" w:name="bookmark129"/>
      <w:r>
        <w:rPr>
          <w:rFonts w:ascii="Times New Roman" w:eastAsia="Times New Roman" w:hAnsi="Times New Roman" w:cs="Times New Roman"/>
          <w:color w:val="000000"/>
          <w:spacing w:val="0"/>
          <w:w w:val="100"/>
          <w:position w:val="0"/>
          <w:sz w:val="18"/>
          <w:szCs w:val="18"/>
        </w:rPr>
        <w:t>B</w:t>
      </w:r>
      <w:bookmarkEnd w:id="129"/>
      <w:r>
        <w:rPr>
          <w:color w:val="000000"/>
          <w:spacing w:val="0"/>
          <w:w w:val="100"/>
          <w:position w:val="0"/>
        </w:rPr>
        <w:t>、</w:t>
        <w:tab/>
      </w:r>
      <w:r>
        <w:rPr>
          <w:color w:val="000000"/>
          <w:spacing w:val="0"/>
          <w:w w:val="100"/>
          <w:position w:val="0"/>
        </w:rPr>
        <w:t>算法研究方面：研究院深度学习实验室与南京审计大学合作在</w:t>
      </w:r>
      <w:r>
        <w:rPr>
          <w:rFonts w:ascii="Times New Roman" w:eastAsia="Times New Roman" w:hAnsi="Times New Roman" w:cs="Times New Roman"/>
          <w:color w:val="000000"/>
          <w:spacing w:val="0"/>
          <w:w w:val="100"/>
          <w:position w:val="0"/>
          <w:sz w:val="18"/>
          <w:szCs w:val="18"/>
        </w:rPr>
        <w:t>SCI2</w:t>
      </w:r>
      <w:r>
        <w:rPr>
          <w:color w:val="000000"/>
          <w:spacing w:val="0"/>
          <w:w w:val="100"/>
          <w:position w:val="0"/>
        </w:rPr>
        <w:t>区</w:t>
      </w:r>
      <w:r>
        <w:rPr>
          <w:rFonts w:ascii="Times New Roman" w:eastAsia="Times New Roman" w:hAnsi="Times New Roman" w:cs="Times New Roman"/>
          <w:color w:val="000000"/>
          <w:spacing w:val="0"/>
          <w:w w:val="100"/>
          <w:position w:val="0"/>
          <w:sz w:val="18"/>
          <w:szCs w:val="18"/>
        </w:rPr>
        <w:t>IEEE Access</w:t>
      </w:r>
      <w:r>
        <w:rPr>
          <w:color w:val="000000"/>
          <w:spacing w:val="0"/>
          <w:w w:val="100"/>
          <w:position w:val="0"/>
        </w:rPr>
        <w:t>合作发表期刊论文，</w:t>
      </w:r>
      <w:r>
        <w:rPr>
          <w:rFonts w:ascii="Times New Roman" w:eastAsia="Times New Roman" w:hAnsi="Times New Roman" w:cs="Times New Roman"/>
          <w:color w:val="000000"/>
          <w:spacing w:val="0"/>
          <w:w w:val="100"/>
          <w:position w:val="0"/>
          <w:sz w:val="18"/>
          <w:szCs w:val="18"/>
        </w:rPr>
        <w:t>Checking Heteroscedasticity in Partially Linear Single-Index Models Using Pairwise Distance</w:t>
      </w:r>
      <w:r>
        <w:rPr>
          <w:color w:val="000000"/>
          <w:spacing w:val="0"/>
          <w:w w:val="100"/>
          <w:position w:val="0"/>
          <w:vertAlign w:val="subscript"/>
        </w:rPr>
        <w:t>o</w:t>
      </w:r>
      <w:r>
        <w:rPr>
          <w:color w:val="000000"/>
          <w:spacing w:val="0"/>
          <w:w w:val="100"/>
          <w:position w:val="0"/>
        </w:rPr>
        <w:t xml:space="preserve"> </w:t>
      </w:r>
      <w:r>
        <w:rPr>
          <w:color w:val="000000"/>
          <w:spacing w:val="0"/>
          <w:w w:val="100"/>
          <w:position w:val="0"/>
        </w:rPr>
        <w:t>该论文主要工作是提出一个基于样本点距离 的检验统计量，用于检测部分线性单指标的异方差。由公司</w:t>
      </w:r>
      <w:r>
        <w:rPr>
          <w:rFonts w:ascii="Times New Roman" w:eastAsia="Times New Roman" w:hAnsi="Times New Roman" w:cs="Times New Roman"/>
          <w:color w:val="000000"/>
          <w:spacing w:val="0"/>
          <w:w w:val="100"/>
          <w:position w:val="0"/>
          <w:sz w:val="18"/>
          <w:szCs w:val="18"/>
        </w:rPr>
        <w:t>AI</w:t>
      </w:r>
      <w:r>
        <w:rPr>
          <w:color w:val="000000"/>
          <w:spacing w:val="0"/>
          <w:w w:val="100"/>
          <w:position w:val="0"/>
        </w:rPr>
        <w:t>研究院与中科院深圳先进技术研究院合作推出的</w:t>
      </w:r>
      <w:r>
        <w:rPr>
          <w:rFonts w:ascii="Times New Roman" w:eastAsia="Times New Roman" w:hAnsi="Times New Roman" w:cs="Times New Roman"/>
          <w:color w:val="000000"/>
          <w:spacing w:val="0"/>
          <w:w w:val="100"/>
          <w:position w:val="0"/>
          <w:sz w:val="18"/>
          <w:szCs w:val="18"/>
        </w:rPr>
        <w:t xml:space="preserve">BERT-EMD </w:t>
      </w:r>
      <w:r>
        <w:rPr>
          <w:color w:val="000000"/>
          <w:spacing w:val="0"/>
          <w:w w:val="100"/>
          <w:position w:val="0"/>
        </w:rPr>
        <w:t>相较于以前工作蒸馏</w:t>
      </w:r>
      <w:r>
        <w:rPr>
          <w:rFonts w:ascii="Times New Roman" w:eastAsia="Times New Roman" w:hAnsi="Times New Roman" w:cs="Times New Roman"/>
          <w:color w:val="000000"/>
          <w:spacing w:val="0"/>
          <w:w w:val="100"/>
          <w:position w:val="0"/>
          <w:sz w:val="18"/>
          <w:szCs w:val="18"/>
        </w:rPr>
        <w:t>BERT</w:t>
      </w:r>
      <w:r>
        <w:rPr>
          <w:color w:val="000000"/>
          <w:spacing w:val="0"/>
          <w:w w:val="100"/>
          <w:position w:val="0"/>
        </w:rPr>
        <w:t>的方式，有效地解决了人工指定蒸馏学习层次对应关系的弊端。有关论文已被自然语言处理</w:t>
      </w:r>
    </w:p>
    <w:p>
      <w:pPr>
        <w:pStyle w:val="Style41"/>
        <w:keepNext w:val="0"/>
        <w:keepLines w:val="0"/>
        <w:widowControl w:val="0"/>
        <w:shd w:val="clear" w:color="auto" w:fill="auto"/>
        <w:bidi w:val="0"/>
        <w:spacing w:before="0" w:after="0" w:line="467" w:lineRule="exact"/>
        <w:ind w:left="0" w:right="0" w:firstLine="0"/>
        <w:jc w:val="left"/>
      </w:pPr>
      <w:r>
        <w:rPr>
          <w:color w:val="000000"/>
          <w:spacing w:val="0"/>
          <w:w w:val="100"/>
          <w:position w:val="0"/>
        </w:rPr>
        <w:t>（</w:t>
      </w:r>
      <w:r>
        <w:rPr>
          <w:rFonts w:ascii="Times New Roman" w:eastAsia="Times New Roman" w:hAnsi="Times New Roman" w:cs="Times New Roman"/>
          <w:color w:val="000000"/>
          <w:spacing w:val="0"/>
          <w:w w:val="100"/>
          <w:position w:val="0"/>
          <w:sz w:val="18"/>
          <w:szCs w:val="18"/>
        </w:rPr>
        <w:t>NLP</w:t>
      </w:r>
      <w:r>
        <w:rPr>
          <w:color w:val="000000"/>
          <w:spacing w:val="0"/>
          <w:w w:val="100"/>
          <w:position w:val="0"/>
        </w:rPr>
        <w:t>）方向的国际学术会议</w:t>
      </w:r>
      <w:r>
        <w:rPr>
          <w:rFonts w:ascii="Times New Roman" w:eastAsia="Times New Roman" w:hAnsi="Times New Roman" w:cs="Times New Roman"/>
          <w:color w:val="000000"/>
          <w:spacing w:val="0"/>
          <w:w w:val="100"/>
          <w:position w:val="0"/>
          <w:sz w:val="18"/>
          <w:szCs w:val="18"/>
        </w:rPr>
        <w:t xml:space="preserve">EMNLP </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收录。</w:t>
      </w:r>
    </w:p>
    <w:p>
      <w:pPr>
        <w:pStyle w:val="Style41"/>
        <w:keepNext w:val="0"/>
        <w:keepLines w:val="0"/>
        <w:widowControl w:val="0"/>
        <w:shd w:val="clear" w:color="auto" w:fill="auto"/>
        <w:tabs>
          <w:tab w:pos="692" w:val="left"/>
        </w:tabs>
        <w:bidi w:val="0"/>
        <w:spacing w:before="0" w:after="460" w:line="467" w:lineRule="exact"/>
        <w:ind w:left="0" w:right="0"/>
        <w:jc w:val="both"/>
      </w:pPr>
      <w:bookmarkStart w:id="130" w:name="bookmark130"/>
      <w:r>
        <w:rPr>
          <w:rFonts w:ascii="Times New Roman" w:eastAsia="Times New Roman" w:hAnsi="Times New Roman" w:cs="Times New Roman"/>
          <w:color w:val="000000"/>
          <w:spacing w:val="0"/>
          <w:w w:val="100"/>
          <w:position w:val="0"/>
          <w:sz w:val="18"/>
          <w:szCs w:val="18"/>
        </w:rPr>
        <w:t>C</w:t>
      </w:r>
      <w:bookmarkEnd w:id="130"/>
      <w:r>
        <w:rPr>
          <w:color w:val="000000"/>
          <w:spacing w:val="0"/>
          <w:w w:val="100"/>
          <w:position w:val="0"/>
        </w:rPr>
        <w:t>、</w:t>
        <w:tab/>
      </w:r>
      <w:r>
        <w:rPr>
          <w:color w:val="000000"/>
          <w:spacing w:val="0"/>
          <w:w w:val="100"/>
          <w:position w:val="0"/>
        </w:rPr>
        <w:t>公司与北京师范大学中文信息处理研究所成立联合实验室，在语言学家许嘉璐先生的带领下，开展自然语言基础性 研究与应用技术研究，理论成果收获颇多。公司出任</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中国智能写作产业联盟</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副理事长单位，承担智能语义的基础技术研发, 建设面向多行业、多领域的智能写作机器人处理平台。当选新一代人工智能产业技术创新战略联盟</w:t>
      </w:r>
      <w:r>
        <w:rPr>
          <w:rFonts w:ascii="Times New Roman" w:eastAsia="Times New Roman" w:hAnsi="Times New Roman" w:cs="Times New Roman"/>
          <w:color w:val="000000"/>
          <w:spacing w:val="0"/>
          <w:w w:val="100"/>
          <w:position w:val="0"/>
          <w:sz w:val="18"/>
          <w:szCs w:val="18"/>
        </w:rPr>
        <w:t>NLP</w:t>
      </w:r>
      <w:r>
        <w:rPr>
          <w:color w:val="000000"/>
          <w:spacing w:val="0"/>
          <w:w w:val="100"/>
          <w:position w:val="0"/>
        </w:rPr>
        <w:t>推进组组长，联合 百度、哈工大、金山、达观数据、小牛翻译等知名院校和企业共同推动</w:t>
      </w:r>
      <w:r>
        <w:rPr>
          <w:rFonts w:ascii="Times New Roman" w:eastAsia="Times New Roman" w:hAnsi="Times New Roman" w:cs="Times New Roman"/>
          <w:color w:val="000000"/>
          <w:spacing w:val="0"/>
          <w:w w:val="100"/>
          <w:position w:val="0"/>
          <w:sz w:val="18"/>
          <w:szCs w:val="18"/>
        </w:rPr>
        <w:t>NLP</w:t>
      </w:r>
      <w:r>
        <w:rPr>
          <w:color w:val="000000"/>
          <w:spacing w:val="0"/>
          <w:w w:val="100"/>
          <w:position w:val="0"/>
        </w:rPr>
        <w:t>的技术发展。</w:t>
      </w:r>
    </w:p>
    <w:p>
      <w:pPr>
        <w:pStyle w:val="Style41"/>
        <w:keepNext w:val="0"/>
        <w:keepLines w:val="0"/>
        <w:widowControl w:val="0"/>
        <w:shd w:val="clear" w:color="auto" w:fill="auto"/>
        <w:bidi w:val="0"/>
        <w:spacing w:before="0" w:after="0" w:line="470" w:lineRule="exact"/>
        <w:ind w:left="0" w:right="0"/>
        <w:jc w:val="both"/>
      </w:pPr>
      <w:bookmarkStart w:id="131" w:name="bookmark131"/>
      <w:r>
        <w:rPr>
          <w:b/>
          <w:bCs/>
          <w:color w:val="000000"/>
          <w:spacing w:val="0"/>
          <w:w w:val="100"/>
          <w:position w:val="0"/>
        </w:rPr>
        <w:t>（</w:t>
      </w:r>
      <w:bookmarkEnd w:id="131"/>
      <w:r>
        <w:rPr>
          <w:b/>
          <w:bCs/>
          <w:color w:val="000000"/>
          <w:spacing w:val="0"/>
          <w:w w:val="100"/>
          <w:position w:val="0"/>
        </w:rPr>
        <w:t>二）客户所处行业发展情况</w:t>
      </w:r>
    </w:p>
    <w:p>
      <w:pPr>
        <w:pStyle w:val="Style41"/>
        <w:keepNext w:val="0"/>
        <w:keepLines w:val="0"/>
        <w:widowControl w:val="0"/>
        <w:shd w:val="clear" w:color="auto" w:fill="auto"/>
        <w:bidi w:val="0"/>
        <w:spacing w:before="0" w:after="0" w:line="470" w:lineRule="exact"/>
        <w:ind w:left="0" w:right="0"/>
        <w:jc w:val="both"/>
      </w:pPr>
      <w:r>
        <w:rPr>
          <w:color w:val="000000"/>
          <w:spacing w:val="0"/>
          <w:w w:val="100"/>
          <w:position w:val="0"/>
        </w:rPr>
        <w:t>电信行业是技术密集型行业，是国民经济的基础行业、战略行业和先导性行业，是我国信息化程度和信息化技术水平高 的行业之一。根据电信运营商已公布的年度报告看，三大运营商</w:t>
      </w:r>
      <w:r>
        <w:rPr>
          <w:rFonts w:ascii="Times New Roman" w:eastAsia="Times New Roman" w:hAnsi="Times New Roman" w:cs="Times New Roman"/>
          <w:color w:val="000000"/>
          <w:spacing w:val="0"/>
          <w:w w:val="100"/>
          <w:position w:val="0"/>
          <w:sz w:val="18"/>
          <w:szCs w:val="18"/>
        </w:rPr>
        <w:t>2021</w:t>
      </w:r>
      <w:r>
        <w:rPr>
          <w:color w:val="000000"/>
          <w:spacing w:val="0"/>
          <w:w w:val="100"/>
          <w:position w:val="0"/>
        </w:rPr>
        <w:t>年资本开支预算中与</w:t>
      </w:r>
      <w:r>
        <w:rPr>
          <w:rFonts w:ascii="Times New Roman" w:eastAsia="Times New Roman" w:hAnsi="Times New Roman" w:cs="Times New Roman"/>
          <w:color w:val="000000"/>
          <w:spacing w:val="0"/>
          <w:w w:val="100"/>
          <w:position w:val="0"/>
          <w:sz w:val="18"/>
          <w:szCs w:val="18"/>
        </w:rPr>
        <w:t>5G</w:t>
      </w:r>
      <w:r>
        <w:rPr>
          <w:color w:val="000000"/>
          <w:spacing w:val="0"/>
          <w:w w:val="100"/>
          <w:position w:val="0"/>
        </w:rPr>
        <w:t xml:space="preserve">相关的资本开支预算合计达 </w:t>
      </w:r>
      <w:r>
        <w:rPr>
          <w:rFonts w:ascii="Times New Roman" w:eastAsia="Times New Roman" w:hAnsi="Times New Roman" w:cs="Times New Roman"/>
          <w:color w:val="000000"/>
          <w:spacing w:val="0"/>
          <w:w w:val="100"/>
          <w:position w:val="0"/>
          <w:sz w:val="18"/>
          <w:szCs w:val="18"/>
        </w:rPr>
        <w:t>1847</w:t>
      </w:r>
      <w:r>
        <w:rPr>
          <w:color w:val="000000"/>
          <w:spacing w:val="0"/>
          <w:w w:val="100"/>
          <w:position w:val="0"/>
        </w:rPr>
        <w:t>亿元。在</w:t>
      </w:r>
      <w:r>
        <w:rPr>
          <w:rFonts w:ascii="Times New Roman" w:eastAsia="Times New Roman" w:hAnsi="Times New Roman" w:cs="Times New Roman"/>
          <w:color w:val="000000"/>
          <w:spacing w:val="0"/>
          <w:w w:val="100"/>
          <w:position w:val="0"/>
          <w:sz w:val="18"/>
          <w:szCs w:val="18"/>
        </w:rPr>
        <w:t>5G</w:t>
      </w:r>
      <w:r>
        <w:rPr>
          <w:color w:val="000000"/>
          <w:spacing w:val="0"/>
          <w:w w:val="100"/>
          <w:position w:val="0"/>
        </w:rPr>
        <w:t>、</w:t>
      </w:r>
      <w:r>
        <w:rPr>
          <w:color w:val="000000"/>
          <w:spacing w:val="0"/>
          <w:w w:val="100"/>
          <w:position w:val="0"/>
        </w:rPr>
        <w:t>人工智能、云计算、大数据、</w:t>
      </w:r>
      <w:r>
        <w:rPr>
          <w:rFonts w:ascii="Times New Roman" w:eastAsia="Times New Roman" w:hAnsi="Times New Roman" w:cs="Times New Roman"/>
          <w:color w:val="000000"/>
          <w:spacing w:val="0"/>
          <w:w w:val="100"/>
          <w:position w:val="0"/>
          <w:sz w:val="18"/>
          <w:szCs w:val="18"/>
        </w:rPr>
        <w:t xml:space="preserve">SDN </w:t>
      </w:r>
      <w:r>
        <w:rPr>
          <w:color w:val="000000"/>
          <w:spacing w:val="0"/>
          <w:w w:val="100"/>
          <w:position w:val="0"/>
        </w:rPr>
        <w:t>（软件定义网络）、</w:t>
      </w:r>
      <w:r>
        <w:rPr>
          <w:rFonts w:ascii="Times New Roman" w:eastAsia="Times New Roman" w:hAnsi="Times New Roman" w:cs="Times New Roman"/>
          <w:color w:val="000000"/>
          <w:spacing w:val="0"/>
          <w:w w:val="100"/>
          <w:position w:val="0"/>
          <w:sz w:val="18"/>
          <w:szCs w:val="18"/>
        </w:rPr>
        <w:t xml:space="preserve">NFV </w:t>
      </w:r>
      <w:r>
        <w:rPr>
          <w:color w:val="000000"/>
          <w:spacing w:val="0"/>
          <w:w w:val="100"/>
          <w:position w:val="0"/>
        </w:rPr>
        <w:t>（网络虚拟化）等新架构、新技术的推动下， 电信运营商底层通信传输网络纷纷进行</w:t>
      </w:r>
      <w:r>
        <w:rPr>
          <w:rFonts w:ascii="Times New Roman" w:eastAsia="Times New Roman" w:hAnsi="Times New Roman" w:cs="Times New Roman"/>
          <w:color w:val="000000"/>
          <w:spacing w:val="0"/>
          <w:w w:val="100"/>
          <w:position w:val="0"/>
          <w:sz w:val="18"/>
          <w:szCs w:val="18"/>
        </w:rPr>
        <w:t>5G</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NB-IOT</w:t>
      </w:r>
      <w:r>
        <w:rPr>
          <w:color w:val="000000"/>
          <w:spacing w:val="0"/>
          <w:w w:val="100"/>
          <w:position w:val="0"/>
        </w:rPr>
        <w:t>的部署，电信网络的规模和复杂度不断升级，也为公司</w:t>
      </w:r>
      <w:r>
        <w:rPr>
          <w:rFonts w:ascii="Times New Roman" w:eastAsia="Times New Roman" w:hAnsi="Times New Roman" w:cs="Times New Roman"/>
          <w:color w:val="000000"/>
          <w:spacing w:val="0"/>
          <w:w w:val="100"/>
          <w:position w:val="0"/>
          <w:sz w:val="18"/>
          <w:szCs w:val="18"/>
        </w:rPr>
        <w:t>ICT</w:t>
      </w:r>
      <w:r>
        <w:rPr>
          <w:color w:val="000000"/>
          <w:spacing w:val="0"/>
          <w:w w:val="100"/>
          <w:position w:val="0"/>
        </w:rPr>
        <w:t>运营管理 业务板块带来了新的需求和增长机遇。</w:t>
      </w:r>
    </w:p>
    <w:p>
      <w:pPr>
        <w:pStyle w:val="Style41"/>
        <w:keepNext w:val="0"/>
        <w:keepLines w:val="0"/>
        <w:widowControl w:val="0"/>
        <w:shd w:val="clear" w:color="auto" w:fill="auto"/>
        <w:bidi w:val="0"/>
        <w:spacing w:before="0" w:after="0" w:line="470" w:lineRule="exact"/>
        <w:ind w:left="0" w:right="0"/>
        <w:jc w:val="both"/>
        <w:sectPr>
          <w:headerReference w:type="default" r:id="rId65"/>
          <w:footerReference w:type="default" r:id="rId66"/>
          <w:headerReference w:type="even" r:id="rId67"/>
          <w:footerReference w:type="even" r:id="rId68"/>
          <w:footnotePr>
            <w:pos w:val="pageBottom"/>
            <w:numFmt w:val="decimal"/>
            <w:numRestart w:val="continuous"/>
          </w:footnotePr>
          <w:pgSz w:w="11904" w:h="17375"/>
          <w:pgMar w:top="1070" w:right="1016" w:bottom="1542" w:left="1102" w:header="642" w:footer="3" w:gutter="0"/>
          <w:cols w:space="720"/>
          <w:noEndnote/>
          <w:rtlGutter w:val="0"/>
          <w:docGrid w:linePitch="360"/>
        </w:sectPr>
      </w:pPr>
      <w:r>
        <w:rPr>
          <w:color w:val="000000"/>
          <w:spacing w:val="0"/>
          <w:w w:val="100"/>
          <w:position w:val="0"/>
        </w:rPr>
        <w:t>公司长期以来与运营商有着良好的合作，一直在跟进研究</w:t>
      </w:r>
      <w:r>
        <w:rPr>
          <w:rFonts w:ascii="Times New Roman" w:eastAsia="Times New Roman" w:hAnsi="Times New Roman" w:cs="Times New Roman"/>
          <w:color w:val="000000"/>
          <w:spacing w:val="0"/>
          <w:w w:val="100"/>
          <w:position w:val="0"/>
          <w:sz w:val="18"/>
          <w:szCs w:val="18"/>
        </w:rPr>
        <w:t>5G</w:t>
      </w:r>
      <w:r>
        <w:rPr>
          <w:color w:val="000000"/>
          <w:spacing w:val="0"/>
          <w:w w:val="100"/>
          <w:position w:val="0"/>
        </w:rPr>
        <w:t>相关的技术及支撑管理方式，人员架构及相关产品方面也 随之做了相应的更新迭代调整，在品牌、技术等方面均具有优势，公司也会持续跟踪需求变化，更新迭代并推出相应的产品 与服务。</w:t>
      </w:r>
    </w:p>
    <w:p>
      <w:pPr>
        <w:pStyle w:val="Style39"/>
        <w:keepNext/>
        <w:keepLines/>
        <w:widowControl w:val="0"/>
        <w:shd w:val="clear" w:color="auto" w:fill="auto"/>
        <w:bidi w:val="0"/>
        <w:spacing w:before="0" w:after="340" w:line="240" w:lineRule="auto"/>
        <w:ind w:left="0" w:right="0" w:firstLine="0"/>
        <w:jc w:val="left"/>
      </w:pPr>
      <w:bookmarkStart w:id="132" w:name="bookmark132"/>
      <w:bookmarkStart w:id="133" w:name="bookmark133"/>
      <w:bookmarkStart w:id="134" w:name="bookmark134"/>
      <w:bookmarkStart w:id="135" w:name="bookmark135"/>
      <w:r>
        <w:rPr>
          <w:color w:val="000000"/>
          <w:spacing w:val="0"/>
          <w:w w:val="100"/>
          <w:position w:val="0"/>
          <w:sz w:val="24"/>
          <w:szCs w:val="24"/>
        </w:rPr>
        <w:t>二</w:t>
      </w:r>
      <w:bookmarkEnd w:id="134"/>
      <w:r>
        <w:rPr>
          <w:color w:val="000000"/>
          <w:spacing w:val="0"/>
          <w:w w:val="100"/>
          <w:position w:val="0"/>
          <w:sz w:val="24"/>
          <w:szCs w:val="24"/>
        </w:rPr>
        <w:t>、主要资产重大变化情况</w:t>
      </w:r>
      <w:bookmarkEnd w:id="132"/>
      <w:bookmarkEnd w:id="133"/>
      <w:bookmarkEnd w:id="135"/>
    </w:p>
    <w:p>
      <w:pPr>
        <w:pStyle w:val="Style47"/>
        <w:keepNext/>
        <w:keepLines/>
        <w:widowControl w:val="0"/>
        <w:shd w:val="clear" w:color="auto" w:fill="auto"/>
        <w:bidi w:val="0"/>
        <w:spacing w:before="0" w:after="340" w:line="240" w:lineRule="auto"/>
        <w:ind w:left="0" w:right="0" w:firstLine="0"/>
        <w:jc w:val="left"/>
      </w:pPr>
      <w:bookmarkStart w:id="136" w:name="bookmark136"/>
      <w:bookmarkStart w:id="137" w:name="bookmark137"/>
      <w:bookmarkStart w:id="138" w:name="bookmark138"/>
      <w:bookmarkStart w:id="139" w:name="bookmark139"/>
      <w:r>
        <w:rPr>
          <w:color w:val="000000"/>
          <w:spacing w:val="0"/>
          <w:w w:val="100"/>
          <w:position w:val="0"/>
        </w:rPr>
        <w:t>1</w:t>
      </w:r>
      <w:bookmarkEnd w:id="138"/>
      <w:r>
        <w:rPr>
          <w:color w:val="000000"/>
          <w:spacing w:val="0"/>
          <w:w w:val="100"/>
          <w:position w:val="0"/>
        </w:rPr>
        <w:t>、主要资产重大变化情况</w:t>
      </w:r>
      <w:bookmarkEnd w:id="136"/>
      <w:bookmarkEnd w:id="137"/>
      <w:bookmarkEnd w:id="139"/>
    </w:p>
    <w:tbl>
      <w:tblPr>
        <w:tblOverlap w:val="never"/>
        <w:jc w:val="center"/>
        <w:tblLayout w:type="fixed"/>
      </w:tblPr>
      <w:tblGrid>
        <w:gridCol w:w="3149"/>
        <w:gridCol w:w="6720"/>
      </w:tblGrid>
      <w:tr>
        <w:trPr>
          <w:trHeight w:val="76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主要资产</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重大变化说明</w:t>
            </w:r>
          </w:p>
        </w:tc>
      </w:tr>
      <w:tr>
        <w:trPr>
          <w:trHeight w:val="1022"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股权资产</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长期股权投资上涨</w:t>
            </w:r>
            <w:r>
              <w:rPr>
                <w:rFonts w:ascii="Times New Roman" w:eastAsia="Times New Roman" w:hAnsi="Times New Roman" w:cs="Times New Roman"/>
                <w:color w:val="000000"/>
                <w:spacing w:val="0"/>
                <w:w w:val="100"/>
                <w:position w:val="0"/>
                <w:sz w:val="18"/>
                <w:szCs w:val="18"/>
              </w:rPr>
              <w:t>69.24%</w:t>
            </w:r>
            <w:r>
              <w:rPr>
                <w:color w:val="000000"/>
                <w:spacing w:val="0"/>
                <w:w w:val="100"/>
                <w:position w:val="0"/>
              </w:rPr>
              <w:t>，主要是报告期内北京神州泰岳智能数据技术有限公司因 引进投资者，导致公司丧失对其控制权，将剩余股权按照公允价值计量，使得本报 告期末长期股权投资增加。</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固定资产</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未发生重大变化。</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无形资产</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未发生重大变化。</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在建工程</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未发生重大变化。</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交易性金融资产</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较上年末上涨</w:t>
            </w:r>
            <w:r>
              <w:rPr>
                <w:rFonts w:ascii="Times New Roman" w:eastAsia="Times New Roman" w:hAnsi="Times New Roman" w:cs="Times New Roman"/>
                <w:color w:val="000000"/>
                <w:spacing w:val="0"/>
                <w:w w:val="100"/>
                <w:position w:val="0"/>
                <w:sz w:val="18"/>
                <w:szCs w:val="18"/>
              </w:rPr>
              <w:t>248.70%</w:t>
            </w:r>
            <w:r>
              <w:rPr>
                <w:color w:val="000000"/>
                <w:spacing w:val="0"/>
                <w:w w:val="100"/>
                <w:position w:val="0"/>
              </w:rPr>
              <w:t>，主要是本期末持有的银行理财产品增加所致。</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应收票据</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较上年末下降</w:t>
            </w:r>
            <w:r>
              <w:rPr>
                <w:rFonts w:ascii="Times New Roman" w:eastAsia="Times New Roman" w:hAnsi="Times New Roman" w:cs="Times New Roman"/>
                <w:color w:val="000000"/>
                <w:spacing w:val="0"/>
                <w:w w:val="100"/>
                <w:position w:val="0"/>
                <w:sz w:val="18"/>
                <w:szCs w:val="18"/>
              </w:rPr>
              <w:t>100.00%</w:t>
            </w:r>
            <w:r>
              <w:rPr>
                <w:color w:val="000000"/>
                <w:spacing w:val="0"/>
                <w:w w:val="100"/>
                <w:position w:val="0"/>
              </w:rPr>
              <w:t>，主要是本期末持有的商业承兑汇票减少所致。</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应收款项融资</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较上年末下降</w:t>
            </w:r>
            <w:r>
              <w:rPr>
                <w:rFonts w:ascii="Times New Roman" w:eastAsia="Times New Roman" w:hAnsi="Times New Roman" w:cs="Times New Roman"/>
                <w:color w:val="000000"/>
                <w:spacing w:val="0"/>
                <w:w w:val="100"/>
                <w:position w:val="0"/>
                <w:sz w:val="18"/>
                <w:szCs w:val="18"/>
              </w:rPr>
              <w:t>36.93%</w:t>
            </w:r>
            <w:r>
              <w:rPr>
                <w:color w:val="000000"/>
                <w:spacing w:val="0"/>
                <w:w w:val="100"/>
                <w:position w:val="0"/>
              </w:rPr>
              <w:t>，主要是本期末持有的银行承兑汇票减少所致。</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预付款项</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较上年末下降</w:t>
            </w:r>
            <w:r>
              <w:rPr>
                <w:rFonts w:ascii="Times New Roman" w:eastAsia="Times New Roman" w:hAnsi="Times New Roman" w:cs="Times New Roman"/>
                <w:color w:val="000000"/>
                <w:spacing w:val="0"/>
                <w:w w:val="100"/>
                <w:position w:val="0"/>
                <w:sz w:val="18"/>
                <w:szCs w:val="18"/>
              </w:rPr>
              <w:t>60.83%</w:t>
            </w:r>
            <w:r>
              <w:rPr>
                <w:color w:val="000000"/>
                <w:spacing w:val="0"/>
                <w:w w:val="100"/>
                <w:position w:val="0"/>
              </w:rPr>
              <w:t>，主要是本期末预付给供应商的款项减少所致。</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其他应收款</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较上年末下降</w:t>
            </w:r>
            <w:r>
              <w:rPr>
                <w:rFonts w:ascii="Times New Roman" w:eastAsia="Times New Roman" w:hAnsi="Times New Roman" w:cs="Times New Roman"/>
                <w:color w:val="000000"/>
                <w:spacing w:val="0"/>
                <w:w w:val="100"/>
                <w:position w:val="0"/>
                <w:sz w:val="18"/>
                <w:szCs w:val="18"/>
              </w:rPr>
              <w:t>66.28%</w:t>
            </w:r>
            <w:r>
              <w:rPr>
                <w:color w:val="000000"/>
                <w:spacing w:val="0"/>
                <w:w w:val="100"/>
                <w:position w:val="0"/>
              </w:rPr>
              <w:t>，主要是对涉诉应收款全额计提坏账准备所致。</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其他流动资产</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较上年末下降</w:t>
            </w:r>
            <w:r>
              <w:rPr>
                <w:rFonts w:ascii="Times New Roman" w:eastAsia="Times New Roman" w:hAnsi="Times New Roman" w:cs="Times New Roman"/>
                <w:color w:val="000000"/>
                <w:spacing w:val="0"/>
                <w:w w:val="100"/>
                <w:position w:val="0"/>
                <w:sz w:val="18"/>
                <w:szCs w:val="18"/>
              </w:rPr>
              <w:t>34.18%</w:t>
            </w:r>
            <w:r>
              <w:rPr>
                <w:color w:val="000000"/>
                <w:spacing w:val="0"/>
                <w:w w:val="100"/>
                <w:position w:val="0"/>
              </w:rPr>
              <w:t>，主要是本期末待抵扣进项税减少所致。</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开发支出</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较上年末下降</w:t>
            </w:r>
            <w:r>
              <w:rPr>
                <w:rFonts w:ascii="Times New Roman" w:eastAsia="Times New Roman" w:hAnsi="Times New Roman" w:cs="Times New Roman"/>
                <w:color w:val="000000"/>
                <w:spacing w:val="0"/>
                <w:w w:val="100"/>
                <w:position w:val="0"/>
                <w:sz w:val="18"/>
                <w:szCs w:val="18"/>
              </w:rPr>
              <w:t>32.18%</w:t>
            </w:r>
            <w:r>
              <w:rPr>
                <w:color w:val="000000"/>
                <w:spacing w:val="0"/>
                <w:w w:val="100"/>
                <w:position w:val="0"/>
              </w:rPr>
              <w:t>，主要是本期末在研的开发项目减少所致。</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长期待摊费用</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较上年末下降</w:t>
            </w:r>
            <w:r>
              <w:rPr>
                <w:rFonts w:ascii="Times New Roman" w:eastAsia="Times New Roman" w:hAnsi="Times New Roman" w:cs="Times New Roman"/>
                <w:color w:val="000000"/>
                <w:spacing w:val="0"/>
                <w:w w:val="100"/>
                <w:position w:val="0"/>
                <w:sz w:val="18"/>
                <w:szCs w:val="18"/>
              </w:rPr>
              <w:t>34.35%</w:t>
            </w:r>
            <w:r>
              <w:rPr>
                <w:color w:val="000000"/>
                <w:spacing w:val="0"/>
                <w:w w:val="100"/>
                <w:position w:val="0"/>
              </w:rPr>
              <w:t>，主要是租入办公场所装修支出摊销计入费用所致。</w:t>
            </w:r>
          </w:p>
        </w:tc>
      </w:tr>
    </w:tbl>
    <w:p>
      <w:pPr>
        <w:widowControl w:val="0"/>
        <w:spacing w:after="339" w:line="1" w:lineRule="exact"/>
      </w:pPr>
    </w:p>
    <w:p>
      <w:pPr>
        <w:pStyle w:val="Style47"/>
        <w:keepNext/>
        <w:keepLines/>
        <w:widowControl w:val="0"/>
        <w:shd w:val="clear" w:color="auto" w:fill="auto"/>
        <w:bidi w:val="0"/>
        <w:spacing w:before="0" w:after="400" w:line="240" w:lineRule="auto"/>
        <w:ind w:left="0" w:right="0" w:firstLine="0"/>
        <w:jc w:val="left"/>
      </w:pPr>
      <w:bookmarkStart w:id="140" w:name="bookmark140"/>
      <w:bookmarkStart w:id="141" w:name="bookmark141"/>
      <w:bookmarkStart w:id="142" w:name="bookmark142"/>
      <w:bookmarkStart w:id="143" w:name="bookmark143"/>
      <w:r>
        <w:rPr>
          <w:color w:val="000000"/>
          <w:spacing w:val="0"/>
          <w:w w:val="100"/>
          <w:position w:val="0"/>
        </w:rPr>
        <w:t>2</w:t>
      </w:r>
      <w:bookmarkEnd w:id="142"/>
      <w:r>
        <w:rPr>
          <w:color w:val="000000"/>
          <w:spacing w:val="0"/>
          <w:w w:val="100"/>
          <w:position w:val="0"/>
        </w:rPr>
        <w:t>、主要境外资产情况</w:t>
      </w:r>
      <w:bookmarkEnd w:id="140"/>
      <w:bookmarkEnd w:id="141"/>
      <w:bookmarkEnd w:id="143"/>
    </w:p>
    <w:p>
      <w:pPr>
        <w:pStyle w:val="Style41"/>
        <w:keepNext w:val="0"/>
        <w:keepLines w:val="0"/>
        <w:widowControl w:val="0"/>
        <w:shd w:val="clear" w:color="auto" w:fill="auto"/>
        <w:bidi w:val="0"/>
        <w:spacing w:before="0" w:after="340" w:line="240" w:lineRule="auto"/>
        <w:ind w:left="0" w:right="0" w:firstLine="0"/>
        <w:jc w:val="left"/>
      </w:pPr>
      <w:r>
        <w:rPr>
          <w:rFonts w:ascii="Times New Roman" w:eastAsia="Times New Roman" w:hAnsi="Times New Roman" w:cs="Times New Roman"/>
          <w:b/>
          <w:bCs/>
          <w:color w:val="000000"/>
          <w:spacing w:val="0"/>
          <w:w w:val="100"/>
          <w:position w:val="0"/>
          <w:sz w:val="18"/>
          <w:szCs w:val="18"/>
        </w:rPr>
        <w:t>□</w:t>
      </w:r>
      <w:r>
        <w:rPr>
          <w:color w:val="000000"/>
          <w:spacing w:val="0"/>
          <w:w w:val="100"/>
          <w:position w:val="0"/>
        </w:rPr>
        <w:t>适用</w:t>
      </w:r>
      <w:r>
        <w:rPr>
          <w:b/>
          <w:bCs/>
          <w:i/>
          <w:iCs/>
          <w:color w:val="000000"/>
          <w:spacing w:val="0"/>
          <w:w w:val="100"/>
          <w:position w:val="0"/>
        </w:rPr>
        <w:t>V</w:t>
      </w:r>
      <w:r>
        <w:rPr>
          <w:b/>
          <w:bCs/>
          <w:color w:val="000000"/>
          <w:spacing w:val="0"/>
          <w:w w:val="100"/>
          <w:position w:val="0"/>
        </w:rPr>
        <w:t>不适用</w:t>
      </w:r>
    </w:p>
    <w:p>
      <w:pPr>
        <w:pStyle w:val="Style39"/>
        <w:keepNext/>
        <w:keepLines/>
        <w:widowControl w:val="0"/>
        <w:shd w:val="clear" w:color="auto" w:fill="auto"/>
        <w:bidi w:val="0"/>
        <w:spacing w:before="0" w:after="460" w:line="240" w:lineRule="auto"/>
        <w:ind w:left="0" w:right="0" w:firstLine="0"/>
        <w:jc w:val="left"/>
      </w:pPr>
      <w:bookmarkStart w:id="144" w:name="bookmark144"/>
      <w:bookmarkStart w:id="145" w:name="bookmark145"/>
      <w:bookmarkStart w:id="146" w:name="bookmark146"/>
      <w:bookmarkStart w:id="147" w:name="bookmark147"/>
      <w:r>
        <w:rPr>
          <w:color w:val="000000"/>
          <w:spacing w:val="0"/>
          <w:w w:val="100"/>
          <w:position w:val="0"/>
          <w:sz w:val="24"/>
          <w:szCs w:val="24"/>
        </w:rPr>
        <w:t>三</w:t>
      </w:r>
      <w:bookmarkEnd w:id="146"/>
      <w:r>
        <w:rPr>
          <w:color w:val="000000"/>
          <w:spacing w:val="0"/>
          <w:w w:val="100"/>
          <w:position w:val="0"/>
          <w:sz w:val="24"/>
          <w:szCs w:val="24"/>
        </w:rPr>
        <w:t>、核心竞争力分析</w:t>
      </w:r>
      <w:bookmarkEnd w:id="144"/>
      <w:bookmarkEnd w:id="145"/>
      <w:bookmarkEnd w:id="147"/>
    </w:p>
    <w:p>
      <w:pPr>
        <w:pStyle w:val="Style41"/>
        <w:keepNext w:val="0"/>
        <w:keepLines w:val="0"/>
        <w:widowControl w:val="0"/>
        <w:shd w:val="clear" w:color="auto" w:fill="auto"/>
        <w:bidi w:val="0"/>
        <w:spacing w:before="0" w:after="200" w:line="240" w:lineRule="auto"/>
        <w:ind w:left="0" w:right="0" w:firstLine="460"/>
        <w:jc w:val="left"/>
      </w:pPr>
      <w:r>
        <w:rPr>
          <w:color w:val="000000"/>
          <w:spacing w:val="0"/>
          <w:w w:val="100"/>
          <w:position w:val="0"/>
        </w:rPr>
        <w:t xml:space="preserve">公司的核心竞争力主要体现在技术研发、技术创新、客户资源、市场品牌等各方面。报告期内，公司的上述竞争优势得 </w:t>
      </w:r>
      <w:r>
        <w:rPr>
          <w:color w:val="000000"/>
          <w:spacing w:val="0"/>
          <w:w w:val="100"/>
          <w:position w:val="0"/>
        </w:rPr>
        <w:t>到了进一步的提升。</w:t>
      </w:r>
    </w:p>
    <w:p>
      <w:pPr>
        <w:pStyle w:val="Style2"/>
        <w:keepNext w:val="0"/>
        <w:keepLines w:val="0"/>
        <w:widowControl w:val="0"/>
        <w:shd w:val="clear" w:color="auto" w:fill="auto"/>
        <w:bidi w:val="0"/>
        <w:spacing w:before="0" w:after="340" w:line="240" w:lineRule="auto"/>
        <w:ind w:left="0" w:right="0" w:firstLine="0"/>
        <w:jc w:val="center"/>
        <w:rPr>
          <w:sz w:val="42"/>
          <w:szCs w:val="42"/>
        </w:rPr>
      </w:pPr>
      <w:r>
        <w:rPr>
          <w:rFonts w:ascii="SimHei" w:eastAsia="SimHei" w:hAnsi="SimHei" w:cs="SimHei"/>
          <w:color w:val="13367F"/>
          <w:spacing w:val="0"/>
          <w:w w:val="100"/>
          <w:position w:val="0"/>
          <w:sz w:val="42"/>
          <w:szCs w:val="42"/>
        </w:rPr>
        <w:t>核心优势</w:t>
      </w:r>
    </w:p>
    <w:p>
      <w:pPr>
        <w:widowControl w:val="0"/>
        <w:spacing w:line="1" w:lineRule="exact"/>
        <w:sectPr>
          <w:headerReference w:type="default" r:id="rId69"/>
          <w:footerReference w:type="default" r:id="rId70"/>
          <w:headerReference w:type="even" r:id="rId71"/>
          <w:footerReference w:type="even" r:id="rId72"/>
          <w:footnotePr>
            <w:pos w:val="pageBottom"/>
            <w:numFmt w:val="decimal"/>
            <w:numRestart w:val="continuous"/>
          </w:footnotePr>
          <w:pgSz w:w="11904" w:h="17375"/>
          <w:pgMar w:top="1718" w:right="1018" w:bottom="1718" w:left="1018" w:header="0" w:footer="3" w:gutter="0"/>
          <w:cols w:space="720"/>
          <w:noEndnote/>
          <w:rtlGutter w:val="0"/>
          <w:docGrid w:linePitch="360"/>
        </w:sectPr>
      </w:pPr>
      <w:r>
        <w:drawing>
          <wp:anchor distT="228600" distB="304800" distL="0" distR="0" simplePos="0" relativeHeight="125829427" behindDoc="0" locked="0" layoutInCell="1" allowOverlap="1">
            <wp:simplePos x="0" y="0"/>
            <wp:positionH relativeFrom="page">
              <wp:posOffset>1393190</wp:posOffset>
            </wp:positionH>
            <wp:positionV relativeFrom="paragraph">
              <wp:posOffset>228600</wp:posOffset>
            </wp:positionV>
            <wp:extent cx="2243455" cy="1170305"/>
            <wp:wrapTopAndBottom/>
            <wp:docPr id="248" name="Shape 248"/>
            <a:graphic xmlns:a="http://schemas.openxmlformats.org/drawingml/2006/main">
              <a:graphicData uri="http://schemas.openxmlformats.org/drawingml/2006/picture">
                <pic:pic xmlns:pic="http://schemas.openxmlformats.org/drawingml/2006/picture">
                  <pic:nvPicPr>
                    <pic:cNvPr id="249" name="Picture box 249"/>
                    <pic:cNvPicPr/>
                  </pic:nvPicPr>
                  <pic:blipFill>
                    <a:blip r:embed="rId73"/>
                    <a:stretch/>
                  </pic:blipFill>
                  <pic:spPr>
                    <a:xfrm>
                      <a:ext cx="2243455" cy="1170305"/>
                    </a:xfrm>
                    <a:prstGeom prst="rect"/>
                  </pic:spPr>
                </pic:pic>
              </a:graphicData>
            </a:graphic>
          </wp:anchor>
        </w:drawing>
      </w:r>
      <w:r>
        <w:drawing>
          <wp:anchor distT="237490" distB="304800" distL="0" distR="0" simplePos="0" relativeHeight="125829428" behindDoc="0" locked="0" layoutInCell="1" allowOverlap="1">
            <wp:simplePos x="0" y="0"/>
            <wp:positionH relativeFrom="page">
              <wp:posOffset>3914140</wp:posOffset>
            </wp:positionH>
            <wp:positionV relativeFrom="paragraph">
              <wp:posOffset>237490</wp:posOffset>
            </wp:positionV>
            <wp:extent cx="981710" cy="1164590"/>
            <wp:wrapTopAndBottom/>
            <wp:docPr id="250" name="Shape 250"/>
            <a:graphic xmlns:a="http://schemas.openxmlformats.org/drawingml/2006/main">
              <a:graphicData uri="http://schemas.openxmlformats.org/drawingml/2006/picture">
                <pic:pic xmlns:pic="http://schemas.openxmlformats.org/drawingml/2006/picture">
                  <pic:nvPicPr>
                    <pic:cNvPr id="251" name="Picture box 251"/>
                    <pic:cNvPicPr/>
                  </pic:nvPicPr>
                  <pic:blipFill>
                    <a:blip r:embed="rId75"/>
                    <a:stretch/>
                  </pic:blipFill>
                  <pic:spPr>
                    <a:xfrm>
                      <a:ext cx="981710" cy="1164590"/>
                    </a:xfrm>
                    <a:prstGeom prst="rect"/>
                  </pic:spPr>
                </pic:pic>
              </a:graphicData>
            </a:graphic>
          </wp:anchor>
        </w:drawing>
      </w:r>
      <w:r>
        <w:drawing>
          <wp:anchor distT="228600" distB="304800" distL="0" distR="0" simplePos="0" relativeHeight="125829429" behindDoc="0" locked="0" layoutInCell="1" allowOverlap="1">
            <wp:simplePos x="0" y="0"/>
            <wp:positionH relativeFrom="page">
              <wp:posOffset>5172710</wp:posOffset>
            </wp:positionH>
            <wp:positionV relativeFrom="paragraph">
              <wp:posOffset>228600</wp:posOffset>
            </wp:positionV>
            <wp:extent cx="975360" cy="1170305"/>
            <wp:wrapTopAndBottom/>
            <wp:docPr id="252" name="Shape 252"/>
            <a:graphic xmlns:a="http://schemas.openxmlformats.org/drawingml/2006/main">
              <a:graphicData uri="http://schemas.openxmlformats.org/drawingml/2006/picture">
                <pic:pic xmlns:pic="http://schemas.openxmlformats.org/drawingml/2006/picture">
                  <pic:nvPicPr>
                    <pic:cNvPr id="253" name="Picture box 253"/>
                    <pic:cNvPicPr/>
                  </pic:nvPicPr>
                  <pic:blipFill>
                    <a:blip r:embed="rId77"/>
                    <a:stretch/>
                  </pic:blipFill>
                  <pic:spPr>
                    <a:xfrm>
                      <a:ext cx="975360" cy="1170305"/>
                    </a:xfrm>
                    <a:prstGeom prst="rect"/>
                  </pic:spPr>
                </pic:pic>
              </a:graphicData>
            </a:graphic>
          </wp:anchor>
        </w:drawing>
      </w:r>
      <w:r>
        <mc:AlternateContent>
          <mc:Choice Requires="wps">
            <w:drawing>
              <wp:anchor distT="1511935" distB="0" distL="0" distR="0" simplePos="0" relativeHeight="125829430" behindDoc="0" locked="0" layoutInCell="1" allowOverlap="1">
                <wp:simplePos x="0" y="0"/>
                <wp:positionH relativeFrom="page">
                  <wp:posOffset>1396365</wp:posOffset>
                </wp:positionH>
                <wp:positionV relativeFrom="paragraph">
                  <wp:posOffset>1511935</wp:posOffset>
                </wp:positionV>
                <wp:extent cx="2203450" cy="191770"/>
                <wp:wrapTopAndBottom/>
                <wp:docPr id="254" name="Shape 254"/>
                <a:graphic xmlns:a="http://schemas.openxmlformats.org/drawingml/2006/main">
                  <a:graphicData uri="http://schemas.microsoft.com/office/word/2010/wordprocessingShape">
                    <wps:wsp>
                      <wps:cNvSpPr txBox="1"/>
                      <wps:spPr>
                        <a:xfrm>
                          <a:ext cx="2203450" cy="191770"/>
                        </a:xfrm>
                        <a:prstGeom prst="rect"/>
                        <a:noFill/>
                      </wps:spPr>
                      <wps:txbx>
                        <w:txbxContent>
                          <w:p>
                            <w:pPr>
                              <w:pStyle w:val="Style2"/>
                              <w:keepNext w:val="0"/>
                              <w:keepLines w:val="0"/>
                              <w:widowControl w:val="0"/>
                              <w:shd w:val="clear" w:color="auto" w:fill="auto"/>
                              <w:tabs>
                                <w:tab w:pos="1934" w:val="left"/>
                              </w:tabs>
                              <w:bidi w:val="0"/>
                              <w:spacing w:before="0" w:after="0" w:line="240" w:lineRule="auto"/>
                              <w:ind w:left="0" w:right="0" w:firstLine="0"/>
                              <w:jc w:val="left"/>
                              <w:rPr>
                                <w:sz w:val="24"/>
                                <w:szCs w:val="24"/>
                              </w:rPr>
                            </w:pPr>
                            <w:r>
                              <w:rPr>
                                <w:b/>
                                <w:bCs/>
                                <w:color w:val="13367F"/>
                                <w:spacing w:val="0"/>
                                <w:w w:val="100"/>
                                <w:position w:val="0"/>
                                <w:sz w:val="24"/>
                                <w:szCs w:val="24"/>
                              </w:rPr>
                              <w:t>技术研发实力</w:t>
                              <w:tab/>
                              <w:t>技术创新能力</w:t>
                            </w:r>
                          </w:p>
                        </w:txbxContent>
                      </wps:txbx>
                      <wps:bodyPr wrap="none" lIns="0" tIns="0" rIns="0" bIns="0">
                        <a:noAutoFit/>
                      </wps:bodyPr>
                    </wps:wsp>
                  </a:graphicData>
                </a:graphic>
              </wp:anchor>
            </w:drawing>
          </mc:Choice>
          <mc:Fallback>
            <w:pict>
              <v:shape id="_x0000_s1280" type="#_x0000_t202" style="position:absolute;margin-left:109.95pt;margin-top:119.05pt;width:173.5pt;height:15.1pt;z-index:-125829323;mso-wrap-distance-left:0;mso-wrap-distance-top:119.05pt;mso-wrap-distance-right:0;mso-position-horizontal-relative:page" filled="f" stroked="f">
                <v:textbox inset="0,0,0,0">
                  <w:txbxContent>
                    <w:p>
                      <w:pPr>
                        <w:pStyle w:val="Style2"/>
                        <w:keepNext w:val="0"/>
                        <w:keepLines w:val="0"/>
                        <w:widowControl w:val="0"/>
                        <w:shd w:val="clear" w:color="auto" w:fill="auto"/>
                        <w:tabs>
                          <w:tab w:pos="1934" w:val="left"/>
                        </w:tabs>
                        <w:bidi w:val="0"/>
                        <w:spacing w:before="0" w:after="0" w:line="240" w:lineRule="auto"/>
                        <w:ind w:left="0" w:right="0" w:firstLine="0"/>
                        <w:jc w:val="left"/>
                        <w:rPr>
                          <w:sz w:val="24"/>
                          <w:szCs w:val="24"/>
                        </w:rPr>
                      </w:pPr>
                      <w:r>
                        <w:rPr>
                          <w:b/>
                          <w:bCs/>
                          <w:color w:val="13367F"/>
                          <w:spacing w:val="0"/>
                          <w:w w:val="100"/>
                          <w:position w:val="0"/>
                          <w:sz w:val="24"/>
                          <w:szCs w:val="24"/>
                        </w:rPr>
                        <w:t>技术研发实力</w:t>
                        <w:tab/>
                        <w:t>技术创新能力</w:t>
                      </w:r>
                    </w:p>
                  </w:txbxContent>
                </v:textbox>
                <w10:wrap type="topAndBottom" anchorx="page"/>
              </v:shape>
            </w:pict>
          </mc:Fallback>
        </mc:AlternateContent>
      </w:r>
      <w:r>
        <mc:AlternateContent>
          <mc:Choice Requires="wps">
            <w:drawing>
              <wp:anchor distT="1511935" distB="0" distL="0" distR="0" simplePos="0" relativeHeight="125829432" behindDoc="0" locked="0" layoutInCell="1" allowOverlap="1">
                <wp:simplePos x="0" y="0"/>
                <wp:positionH relativeFrom="page">
                  <wp:posOffset>3931920</wp:posOffset>
                </wp:positionH>
                <wp:positionV relativeFrom="paragraph">
                  <wp:posOffset>1511935</wp:posOffset>
                </wp:positionV>
                <wp:extent cx="951230" cy="191770"/>
                <wp:wrapTopAndBottom/>
                <wp:docPr id="256" name="Shape 256"/>
                <a:graphic xmlns:a="http://schemas.openxmlformats.org/drawingml/2006/main">
                  <a:graphicData uri="http://schemas.microsoft.com/office/word/2010/wordprocessingShape">
                    <wps:wsp>
                      <wps:cNvSpPr txBox="1"/>
                      <wps:spPr>
                        <a:xfrm>
                          <a:ext cx="951230" cy="19177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4"/>
                                <w:szCs w:val="24"/>
                              </w:rPr>
                            </w:pPr>
                            <w:r>
                              <w:rPr>
                                <w:b/>
                                <w:bCs/>
                                <w:color w:val="13367F"/>
                                <w:spacing w:val="0"/>
                                <w:w w:val="100"/>
                                <w:position w:val="0"/>
                                <w:sz w:val="24"/>
                                <w:szCs w:val="24"/>
                              </w:rPr>
                              <w:t>客户资源优势</w:t>
                            </w:r>
                          </w:p>
                        </w:txbxContent>
                      </wps:txbx>
                      <wps:bodyPr wrap="none" lIns="0" tIns="0" rIns="0" bIns="0">
                        <a:noAutoFit/>
                      </wps:bodyPr>
                    </wps:wsp>
                  </a:graphicData>
                </a:graphic>
              </wp:anchor>
            </w:drawing>
          </mc:Choice>
          <mc:Fallback>
            <w:pict>
              <v:shape id="_x0000_s1282" type="#_x0000_t202" style="position:absolute;margin-left:309.60000000000002pt;margin-top:119.05pt;width:74.900000000000006pt;height:15.1pt;z-index:-125829321;mso-wrap-distance-left:0;mso-wrap-distance-top:119.05pt;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24"/>
                          <w:szCs w:val="24"/>
                        </w:rPr>
                      </w:pPr>
                      <w:r>
                        <w:rPr>
                          <w:b/>
                          <w:bCs/>
                          <w:color w:val="13367F"/>
                          <w:spacing w:val="0"/>
                          <w:w w:val="100"/>
                          <w:position w:val="0"/>
                          <w:sz w:val="24"/>
                          <w:szCs w:val="24"/>
                        </w:rPr>
                        <w:t>客户资源优势</w:t>
                      </w:r>
                    </w:p>
                  </w:txbxContent>
                </v:textbox>
                <w10:wrap type="topAndBottom" anchorx="page"/>
              </v:shape>
            </w:pict>
          </mc:Fallback>
        </mc:AlternateContent>
      </w:r>
      <w:r>
        <mc:AlternateContent>
          <mc:Choice Requires="wps">
            <w:drawing>
              <wp:anchor distT="1508760" distB="3175" distL="0" distR="0" simplePos="0" relativeHeight="125829434" behindDoc="0" locked="0" layoutInCell="1" allowOverlap="1">
                <wp:simplePos x="0" y="0"/>
                <wp:positionH relativeFrom="page">
                  <wp:posOffset>5209540</wp:posOffset>
                </wp:positionH>
                <wp:positionV relativeFrom="paragraph">
                  <wp:posOffset>1508760</wp:posOffset>
                </wp:positionV>
                <wp:extent cx="944880" cy="191770"/>
                <wp:wrapTopAndBottom/>
                <wp:docPr id="258" name="Shape 258"/>
                <a:graphic xmlns:a="http://schemas.openxmlformats.org/drawingml/2006/main">
                  <a:graphicData uri="http://schemas.microsoft.com/office/word/2010/wordprocessingShape">
                    <wps:wsp>
                      <wps:cNvSpPr txBox="1"/>
                      <wps:spPr>
                        <a:xfrm>
                          <a:ext cx="944880" cy="19177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4"/>
                                <w:szCs w:val="24"/>
                              </w:rPr>
                            </w:pPr>
                            <w:r>
                              <w:rPr>
                                <w:b/>
                                <w:bCs/>
                                <w:color w:val="13367F"/>
                                <w:spacing w:val="0"/>
                                <w:w w:val="100"/>
                                <w:position w:val="0"/>
                                <w:sz w:val="24"/>
                                <w:szCs w:val="24"/>
                              </w:rPr>
                              <w:t>品牌效应优势</w:t>
                            </w:r>
                          </w:p>
                        </w:txbxContent>
                      </wps:txbx>
                      <wps:bodyPr wrap="none" lIns="0" tIns="0" rIns="0" bIns="0">
                        <a:noAutoFit/>
                      </wps:bodyPr>
                    </wps:wsp>
                  </a:graphicData>
                </a:graphic>
              </wp:anchor>
            </w:drawing>
          </mc:Choice>
          <mc:Fallback>
            <w:pict>
              <v:shape id="_x0000_s1284" type="#_x0000_t202" style="position:absolute;margin-left:410.19999999999999pt;margin-top:118.8pt;width:74.400000000000006pt;height:15.1pt;z-index:-125829319;mso-wrap-distance-left:0;mso-wrap-distance-top:118.8pt;mso-wrap-distance-right:0;mso-wrap-distance-bottom:0.25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24"/>
                          <w:szCs w:val="24"/>
                        </w:rPr>
                      </w:pPr>
                      <w:r>
                        <w:rPr>
                          <w:b/>
                          <w:bCs/>
                          <w:color w:val="13367F"/>
                          <w:spacing w:val="0"/>
                          <w:w w:val="100"/>
                          <w:position w:val="0"/>
                          <w:sz w:val="24"/>
                          <w:szCs w:val="24"/>
                        </w:rPr>
                        <w:t>品牌效应优势</w:t>
                      </w:r>
                    </w:p>
                  </w:txbxContent>
                </v:textbox>
                <w10:wrap type="topAndBottom" anchorx="page"/>
              </v:shape>
            </w:pict>
          </mc:Fallback>
        </mc:AlternateContent>
      </w:r>
    </w:p>
    <w:p>
      <w:pPr>
        <w:widowControl w:val="0"/>
        <w:spacing w:line="1" w:lineRule="exact"/>
      </w:pPr>
      <w:r>
        <mc:AlternateContent>
          <mc:Choice Requires="wps">
            <w:drawing>
              <wp:anchor distT="0" distB="8145145" distL="0" distR="0" simplePos="0" relativeHeight="125829436" behindDoc="0" locked="0" layoutInCell="1" allowOverlap="1">
                <wp:simplePos x="0" y="0"/>
                <wp:positionH relativeFrom="page">
                  <wp:posOffset>932815</wp:posOffset>
                </wp:positionH>
                <wp:positionV relativeFrom="paragraph">
                  <wp:posOffset>0</wp:posOffset>
                </wp:positionV>
                <wp:extent cx="923290" cy="164465"/>
                <wp:wrapTopAndBottom/>
                <wp:docPr id="260" name="Shape 260"/>
                <a:graphic xmlns:a="http://schemas.openxmlformats.org/drawingml/2006/main">
                  <a:graphicData uri="http://schemas.microsoft.com/office/word/2010/wordprocessingShape">
                    <wps:wsp>
                      <wps:cNvSpPr txBox="1"/>
                      <wps:spPr>
                        <a:xfrm>
                          <a:ext cx="923290" cy="16446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b/>
                                <w:bCs/>
                                <w:i/>
                                <w:iCs/>
                                <w:color w:val="000000"/>
                                <w:spacing w:val="0"/>
                                <w:w w:val="100"/>
                                <w:position w:val="0"/>
                                <w:sz w:val="18"/>
                                <w:szCs w:val="18"/>
                                <w:u w:val="single"/>
                              </w:rPr>
                              <w:t>1</w:t>
                            </w:r>
                            <w:r>
                              <w:rPr>
                                <w:b/>
                                <w:bCs/>
                                <w:i/>
                                <w:iCs/>
                                <w:color w:val="000000"/>
                                <w:spacing w:val="0"/>
                                <w:w w:val="100"/>
                                <w:position w:val="0"/>
                                <w:sz w:val="18"/>
                                <w:szCs w:val="18"/>
                                <w:u w:val="single"/>
                              </w:rPr>
                              <w:t>、技术研发实力</w:t>
                            </w:r>
                          </w:p>
                        </w:txbxContent>
                      </wps:txbx>
                      <wps:bodyPr wrap="none" lIns="0" tIns="0" rIns="0" bIns="0">
                        <a:noAutoFit/>
                      </wps:bodyPr>
                    </wps:wsp>
                  </a:graphicData>
                </a:graphic>
              </wp:anchor>
            </w:drawing>
          </mc:Choice>
          <mc:Fallback>
            <w:pict>
              <v:shape id="_x0000_s1286" type="#_x0000_t202" style="position:absolute;margin-left:73.450000000000003pt;margin-top:0;width:72.700000000000003pt;height:12.950000000000001pt;z-index:-125829317;mso-wrap-distance-left:0;mso-wrap-distance-right:0;mso-wrap-distance-bottom:641.35000000000002pt;mso-position-horizontal-relative:page" filled="f" stroked="f">
                <v:textbox inset="0,0,0,0">
                  <w:txbxContent>
                    <w:p>
                      <w:pPr>
                        <w:pStyle w:val="Style41"/>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b/>
                          <w:bCs/>
                          <w:i/>
                          <w:iCs/>
                          <w:color w:val="000000"/>
                          <w:spacing w:val="0"/>
                          <w:w w:val="100"/>
                          <w:position w:val="0"/>
                          <w:sz w:val="18"/>
                          <w:szCs w:val="18"/>
                          <w:u w:val="single"/>
                        </w:rPr>
                        <w:t>1</w:t>
                      </w:r>
                      <w:r>
                        <w:rPr>
                          <w:b/>
                          <w:bCs/>
                          <w:i/>
                          <w:iCs/>
                          <w:color w:val="000000"/>
                          <w:spacing w:val="0"/>
                          <w:w w:val="100"/>
                          <w:position w:val="0"/>
                          <w:sz w:val="18"/>
                          <w:szCs w:val="18"/>
                          <w:u w:val="single"/>
                        </w:rPr>
                        <w:t>、技术研发实力</w:t>
                      </w:r>
                    </w:p>
                  </w:txbxContent>
                </v:textbox>
                <w10:wrap type="topAndBottom" anchorx="page"/>
              </v:shape>
            </w:pict>
          </mc:Fallback>
        </mc:AlternateContent>
      </w:r>
      <w:r>
        <mc:AlternateContent>
          <mc:Choice Requires="wps">
            <w:drawing>
              <wp:anchor distT="298450" distB="7858760" distL="0" distR="0" simplePos="0" relativeHeight="125829438" behindDoc="0" locked="0" layoutInCell="1" allowOverlap="1">
                <wp:simplePos x="0" y="0"/>
                <wp:positionH relativeFrom="page">
                  <wp:posOffset>939165</wp:posOffset>
                </wp:positionH>
                <wp:positionV relativeFrom="paragraph">
                  <wp:posOffset>298450</wp:posOffset>
                </wp:positionV>
                <wp:extent cx="5913120" cy="152400"/>
                <wp:wrapTopAndBottom/>
                <wp:docPr id="262" name="Shape 262"/>
                <a:graphic xmlns:a="http://schemas.openxmlformats.org/drawingml/2006/main">
                  <a:graphicData uri="http://schemas.microsoft.com/office/word/2010/wordprocessingShape">
                    <wps:wsp>
                      <wps:cNvSpPr txBox="1"/>
                      <wps:spPr>
                        <a:xfrm>
                          <a:ext cx="5913120" cy="15240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公司自</w:t>
                            </w:r>
                            <w:r>
                              <w:rPr>
                                <w:rFonts w:ascii="Times New Roman" w:eastAsia="Times New Roman" w:hAnsi="Times New Roman" w:cs="Times New Roman"/>
                                <w:color w:val="000000"/>
                                <w:spacing w:val="0"/>
                                <w:w w:val="100"/>
                                <w:position w:val="0"/>
                                <w:sz w:val="18"/>
                                <w:szCs w:val="18"/>
                              </w:rPr>
                              <w:t>2001</w:t>
                            </w:r>
                            <w:r>
                              <w:rPr>
                                <w:color w:val="000000"/>
                                <w:spacing w:val="0"/>
                                <w:w w:val="100"/>
                                <w:position w:val="0"/>
                              </w:rPr>
                              <w:t>年正式设立以来，始终从事信息技术产业的产品研发与技术服务，多年秉承专注专业的精神，坚持计算机</w:t>
                            </w:r>
                          </w:p>
                        </w:txbxContent>
                      </wps:txbx>
                      <wps:bodyPr wrap="none" lIns="0" tIns="0" rIns="0" bIns="0">
                        <a:noAutoFit/>
                      </wps:bodyPr>
                    </wps:wsp>
                  </a:graphicData>
                </a:graphic>
              </wp:anchor>
            </w:drawing>
          </mc:Choice>
          <mc:Fallback>
            <w:pict>
              <v:shape id="_x0000_s1288" type="#_x0000_t202" style="position:absolute;margin-left:73.950000000000003pt;margin-top:23.5pt;width:465.60000000000002pt;height:12.pt;z-index:-125829315;mso-wrap-distance-left:0;mso-wrap-distance-top:23.5pt;mso-wrap-distance-right:0;mso-wrap-distance-bottom:618.80000000000007pt;mso-position-horizontal-relative:page" filled="f" stroked="f">
                <v:textbox inset="0,0,0,0">
                  <w:txbxContent>
                    <w:p>
                      <w:pPr>
                        <w:pStyle w:val="Style41"/>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公司自</w:t>
                      </w:r>
                      <w:r>
                        <w:rPr>
                          <w:rFonts w:ascii="Times New Roman" w:eastAsia="Times New Roman" w:hAnsi="Times New Roman" w:cs="Times New Roman"/>
                          <w:color w:val="000000"/>
                          <w:spacing w:val="0"/>
                          <w:w w:val="100"/>
                          <w:position w:val="0"/>
                          <w:sz w:val="18"/>
                          <w:szCs w:val="18"/>
                        </w:rPr>
                        <w:t>2001</w:t>
                      </w:r>
                      <w:r>
                        <w:rPr>
                          <w:color w:val="000000"/>
                          <w:spacing w:val="0"/>
                          <w:w w:val="100"/>
                          <w:position w:val="0"/>
                        </w:rPr>
                        <w:t>年正式设立以来，始终从事信息技术产业的产品研发与技术服务，多年秉承专注专业的精神，坚持计算机</w:t>
                      </w:r>
                    </w:p>
                  </w:txbxContent>
                </v:textbox>
                <w10:wrap type="topAndBottom" anchorx="page"/>
              </v:shape>
            </w:pict>
          </mc:Fallback>
        </mc:AlternateContent>
      </w:r>
      <w:r>
        <mc:AlternateContent>
          <mc:Choice Requires="wps">
            <w:drawing>
              <wp:anchor distT="597535" distB="7556500" distL="0" distR="0" simplePos="0" relativeHeight="125829440" behindDoc="0" locked="0" layoutInCell="1" allowOverlap="1">
                <wp:simplePos x="0" y="0"/>
                <wp:positionH relativeFrom="page">
                  <wp:posOffset>707390</wp:posOffset>
                </wp:positionH>
                <wp:positionV relativeFrom="paragraph">
                  <wp:posOffset>597535</wp:posOffset>
                </wp:positionV>
                <wp:extent cx="6150610" cy="155575"/>
                <wp:wrapTopAndBottom/>
                <wp:docPr id="264" name="Shape 264"/>
                <a:graphic xmlns:a="http://schemas.openxmlformats.org/drawingml/2006/main">
                  <a:graphicData uri="http://schemas.microsoft.com/office/word/2010/wordprocessingShape">
                    <wps:wsp>
                      <wps:cNvSpPr txBox="1"/>
                      <wps:spPr>
                        <a:xfrm>
                          <a:ext cx="6150610" cy="15557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color w:val="000000"/>
                                <w:spacing w:val="0"/>
                                <w:w w:val="100"/>
                                <w:position w:val="0"/>
                              </w:rPr>
                              <w:t>应用软件的自主研发与创新。公司是国家认定企业技术中心，北京市发改委认定</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智能运维技术</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北京市工程实验室。公司拥</w:t>
                            </w:r>
                          </w:p>
                        </w:txbxContent>
                      </wps:txbx>
                      <wps:bodyPr wrap="none" lIns="0" tIns="0" rIns="0" bIns="0">
                        <a:noAutoFit/>
                      </wps:bodyPr>
                    </wps:wsp>
                  </a:graphicData>
                </a:graphic>
              </wp:anchor>
            </w:drawing>
          </mc:Choice>
          <mc:Fallback>
            <w:pict>
              <v:shape id="_x0000_s1290" type="#_x0000_t202" style="position:absolute;margin-left:55.700000000000003pt;margin-top:47.050000000000004pt;width:484.30000000000001pt;height:12.25pt;z-index:-125829313;mso-wrap-distance-left:0;mso-wrap-distance-top:47.050000000000004pt;mso-wrap-distance-right:0;mso-wrap-distance-bottom:595.pt;mso-position-horizontal-relative:page" filled="f" stroked="f">
                <v:textbox inset="0,0,0,0">
                  <w:txbxContent>
                    <w:p>
                      <w:pPr>
                        <w:pStyle w:val="Style41"/>
                        <w:keepNext w:val="0"/>
                        <w:keepLines w:val="0"/>
                        <w:widowControl w:val="0"/>
                        <w:shd w:val="clear" w:color="auto" w:fill="auto"/>
                        <w:bidi w:val="0"/>
                        <w:spacing w:before="0" w:after="0" w:line="240" w:lineRule="auto"/>
                        <w:ind w:left="0" w:right="0" w:firstLine="0"/>
                        <w:jc w:val="left"/>
                      </w:pPr>
                      <w:r>
                        <w:rPr>
                          <w:color w:val="000000"/>
                          <w:spacing w:val="0"/>
                          <w:w w:val="100"/>
                          <w:position w:val="0"/>
                        </w:rPr>
                        <w:t>应用软件的自主研发与创新。公司是国家认定企业技术中心，北京市发改委认定</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智能运维技术</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北京市工程实验室。公司拥</w:t>
                      </w:r>
                    </w:p>
                  </w:txbxContent>
                </v:textbox>
                <w10:wrap type="topAndBottom" anchorx="page"/>
              </v:shape>
            </w:pict>
          </mc:Fallback>
        </mc:AlternateContent>
      </w:r>
      <w:r>
        <mc:AlternateContent>
          <mc:Choice Requires="wps">
            <w:drawing>
              <wp:anchor distT="892810" distB="7264400" distL="0" distR="0" simplePos="0" relativeHeight="125829442" behindDoc="0" locked="0" layoutInCell="1" allowOverlap="1">
                <wp:simplePos x="0" y="0"/>
                <wp:positionH relativeFrom="page">
                  <wp:posOffset>707390</wp:posOffset>
                </wp:positionH>
                <wp:positionV relativeFrom="paragraph">
                  <wp:posOffset>892810</wp:posOffset>
                </wp:positionV>
                <wp:extent cx="6150610" cy="152400"/>
                <wp:wrapTopAndBottom/>
                <wp:docPr id="266" name="Shape 266"/>
                <a:graphic xmlns:a="http://schemas.openxmlformats.org/drawingml/2006/main">
                  <a:graphicData uri="http://schemas.microsoft.com/office/word/2010/wordprocessingShape">
                    <wps:wsp>
                      <wps:cNvSpPr txBox="1"/>
                      <wps:spPr>
                        <a:xfrm>
                          <a:ext cx="6150610" cy="15240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color w:val="000000"/>
                                <w:spacing w:val="0"/>
                                <w:w w:val="100"/>
                                <w:position w:val="0"/>
                              </w:rPr>
                              <w:t>有深厚的计算机软件研发实力，拥有经验丰富的研发团队，技术人员占员工总人数的比例近</w:t>
                            </w:r>
                            <w:r>
                              <w:rPr>
                                <w:rFonts w:ascii="Times New Roman" w:eastAsia="Times New Roman" w:hAnsi="Times New Roman" w:cs="Times New Roman"/>
                                <w:color w:val="000000"/>
                                <w:spacing w:val="0"/>
                                <w:w w:val="100"/>
                                <w:position w:val="0"/>
                                <w:sz w:val="18"/>
                                <w:szCs w:val="18"/>
                              </w:rPr>
                              <w:t>80%</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月份，经人力</w:t>
                            </w:r>
                          </w:p>
                        </w:txbxContent>
                      </wps:txbx>
                      <wps:bodyPr wrap="none" lIns="0" tIns="0" rIns="0" bIns="0">
                        <a:noAutoFit/>
                      </wps:bodyPr>
                    </wps:wsp>
                  </a:graphicData>
                </a:graphic>
              </wp:anchor>
            </w:drawing>
          </mc:Choice>
          <mc:Fallback>
            <w:pict>
              <v:shape id="_x0000_s1292" type="#_x0000_t202" style="position:absolute;margin-left:55.700000000000003pt;margin-top:70.299999999999997pt;width:484.30000000000001pt;height:12.pt;z-index:-125829311;mso-wrap-distance-left:0;mso-wrap-distance-top:70.299999999999997pt;mso-wrap-distance-right:0;mso-wrap-distance-bottom:572.pt;mso-position-horizontal-relative:page" filled="f" stroked="f">
                <v:textbox inset="0,0,0,0">
                  <w:txbxContent>
                    <w:p>
                      <w:pPr>
                        <w:pStyle w:val="Style41"/>
                        <w:keepNext w:val="0"/>
                        <w:keepLines w:val="0"/>
                        <w:widowControl w:val="0"/>
                        <w:shd w:val="clear" w:color="auto" w:fill="auto"/>
                        <w:bidi w:val="0"/>
                        <w:spacing w:before="0" w:after="0" w:line="240" w:lineRule="auto"/>
                        <w:ind w:left="0" w:right="0" w:firstLine="0"/>
                        <w:jc w:val="left"/>
                      </w:pPr>
                      <w:r>
                        <w:rPr>
                          <w:color w:val="000000"/>
                          <w:spacing w:val="0"/>
                          <w:w w:val="100"/>
                          <w:position w:val="0"/>
                        </w:rPr>
                        <w:t>有深厚的计算机软件研发实力，拥有经验丰富的研发团队，技术人员占员工总人数的比例近</w:t>
                      </w:r>
                      <w:r>
                        <w:rPr>
                          <w:rFonts w:ascii="Times New Roman" w:eastAsia="Times New Roman" w:hAnsi="Times New Roman" w:cs="Times New Roman"/>
                          <w:color w:val="000000"/>
                          <w:spacing w:val="0"/>
                          <w:w w:val="100"/>
                          <w:position w:val="0"/>
                          <w:sz w:val="18"/>
                          <w:szCs w:val="18"/>
                        </w:rPr>
                        <w:t>80%</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月份，经人力</w:t>
                      </w:r>
                    </w:p>
                  </w:txbxContent>
                </v:textbox>
                <w10:wrap type="topAndBottom" anchorx="page"/>
              </v:shape>
            </w:pict>
          </mc:Fallback>
        </mc:AlternateContent>
      </w:r>
      <w:r>
        <mc:AlternateContent>
          <mc:Choice Requires="wps">
            <w:drawing>
              <wp:anchor distT="1191895" distB="6971665" distL="0" distR="0" simplePos="0" relativeHeight="125829444" behindDoc="0" locked="0" layoutInCell="1" allowOverlap="1">
                <wp:simplePos x="0" y="0"/>
                <wp:positionH relativeFrom="page">
                  <wp:posOffset>710565</wp:posOffset>
                </wp:positionH>
                <wp:positionV relativeFrom="paragraph">
                  <wp:posOffset>1191895</wp:posOffset>
                </wp:positionV>
                <wp:extent cx="6148070" cy="146050"/>
                <wp:wrapTopAndBottom/>
                <wp:docPr id="268" name="Shape 268"/>
                <a:graphic xmlns:a="http://schemas.openxmlformats.org/drawingml/2006/main">
                  <a:graphicData uri="http://schemas.microsoft.com/office/word/2010/wordprocessingShape">
                    <wps:wsp>
                      <wps:cNvSpPr txBox="1"/>
                      <wps:spPr>
                        <a:xfrm>
                          <a:ext cx="6148070" cy="14605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color w:val="000000"/>
                                <w:spacing w:val="0"/>
                                <w:w w:val="100"/>
                                <w:position w:val="0"/>
                              </w:rPr>
                              <w:t>资源和社会保障部、全国博士后管委会批准，公司正式被授权成立博士后科研工作站。公司博士后科研工作站的设立，将进</w:t>
                            </w:r>
                          </w:p>
                        </w:txbxContent>
                      </wps:txbx>
                      <wps:bodyPr wrap="none" lIns="0" tIns="0" rIns="0" bIns="0">
                        <a:noAutoFit/>
                      </wps:bodyPr>
                    </wps:wsp>
                  </a:graphicData>
                </a:graphic>
              </wp:anchor>
            </w:drawing>
          </mc:Choice>
          <mc:Fallback>
            <w:pict>
              <v:shape id="_x0000_s1294" type="#_x0000_t202" style="position:absolute;margin-left:55.950000000000003pt;margin-top:93.850000000000009pt;width:484.10000000000002pt;height:11.5pt;z-index:-125829309;mso-wrap-distance-left:0;mso-wrap-distance-top:93.850000000000009pt;mso-wrap-distance-right:0;mso-wrap-distance-bottom:548.95000000000005pt;mso-position-horizontal-relative:page" filled="f" stroked="f">
                <v:textbox inset="0,0,0,0">
                  <w:txbxContent>
                    <w:p>
                      <w:pPr>
                        <w:pStyle w:val="Style41"/>
                        <w:keepNext w:val="0"/>
                        <w:keepLines w:val="0"/>
                        <w:widowControl w:val="0"/>
                        <w:shd w:val="clear" w:color="auto" w:fill="auto"/>
                        <w:bidi w:val="0"/>
                        <w:spacing w:before="0" w:after="0" w:line="240" w:lineRule="auto"/>
                        <w:ind w:left="0" w:right="0" w:firstLine="0"/>
                        <w:jc w:val="left"/>
                      </w:pPr>
                      <w:r>
                        <w:rPr>
                          <w:color w:val="000000"/>
                          <w:spacing w:val="0"/>
                          <w:w w:val="100"/>
                          <w:position w:val="0"/>
                        </w:rPr>
                        <w:t>资源和社会保障部、全国博士后管委会批准，公司正式被授权成立博士后科研工作站。公司博士后科研工作站的设立，将进</w:t>
                      </w:r>
                    </w:p>
                  </w:txbxContent>
                </v:textbox>
                <w10:wrap type="topAndBottom" anchorx="page"/>
              </v:shape>
            </w:pict>
          </mc:Fallback>
        </mc:AlternateContent>
      </w:r>
      <w:r>
        <mc:AlternateContent>
          <mc:Choice Requires="wps">
            <w:drawing>
              <wp:anchor distT="1487170" distB="6676390" distL="0" distR="0" simplePos="0" relativeHeight="125829446" behindDoc="0" locked="0" layoutInCell="1" allowOverlap="1">
                <wp:simplePos x="0" y="0"/>
                <wp:positionH relativeFrom="page">
                  <wp:posOffset>707390</wp:posOffset>
                </wp:positionH>
                <wp:positionV relativeFrom="paragraph">
                  <wp:posOffset>1487170</wp:posOffset>
                </wp:positionV>
                <wp:extent cx="6150610" cy="146050"/>
                <wp:wrapTopAndBottom/>
                <wp:docPr id="270" name="Shape 270"/>
                <a:graphic xmlns:a="http://schemas.openxmlformats.org/drawingml/2006/main">
                  <a:graphicData uri="http://schemas.microsoft.com/office/word/2010/wordprocessingShape">
                    <wps:wsp>
                      <wps:cNvSpPr txBox="1"/>
                      <wps:spPr>
                        <a:xfrm>
                          <a:ext cx="6150610" cy="14605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color w:val="000000"/>
                                <w:spacing w:val="0"/>
                                <w:w w:val="100"/>
                                <w:position w:val="0"/>
                              </w:rPr>
                              <w:t>一步深化公司与高校、科研院所的密切合作，为公司培养更多高层次技术人才，增强公司在新技术研究、新产品研发上的能</w:t>
                            </w:r>
                          </w:p>
                        </w:txbxContent>
                      </wps:txbx>
                      <wps:bodyPr wrap="none" lIns="0" tIns="0" rIns="0" bIns="0">
                        <a:noAutoFit/>
                      </wps:bodyPr>
                    </wps:wsp>
                  </a:graphicData>
                </a:graphic>
              </wp:anchor>
            </w:drawing>
          </mc:Choice>
          <mc:Fallback>
            <w:pict>
              <v:shape id="_x0000_s1296" type="#_x0000_t202" style="position:absolute;margin-left:55.700000000000003pt;margin-top:117.10000000000001pt;width:484.30000000000001pt;height:11.5pt;z-index:-125829307;mso-wrap-distance-left:0;mso-wrap-distance-top:117.10000000000001pt;mso-wrap-distance-right:0;mso-wrap-distance-bottom:525.70000000000005pt;mso-position-horizontal-relative:page" filled="f" stroked="f">
                <v:textbox inset="0,0,0,0">
                  <w:txbxContent>
                    <w:p>
                      <w:pPr>
                        <w:pStyle w:val="Style41"/>
                        <w:keepNext w:val="0"/>
                        <w:keepLines w:val="0"/>
                        <w:widowControl w:val="0"/>
                        <w:shd w:val="clear" w:color="auto" w:fill="auto"/>
                        <w:bidi w:val="0"/>
                        <w:spacing w:before="0" w:after="0" w:line="240" w:lineRule="auto"/>
                        <w:ind w:left="0" w:right="0" w:firstLine="0"/>
                        <w:jc w:val="left"/>
                      </w:pPr>
                      <w:r>
                        <w:rPr>
                          <w:color w:val="000000"/>
                          <w:spacing w:val="0"/>
                          <w:w w:val="100"/>
                          <w:position w:val="0"/>
                        </w:rPr>
                        <w:t>一步深化公司与高校、科研院所的密切合作，为公司培养更多高层次技术人才，增强公司在新技术研究、新产品研发上的能</w:t>
                      </w:r>
                    </w:p>
                  </w:txbxContent>
                </v:textbox>
                <w10:wrap type="topAndBottom" anchorx="page"/>
              </v:shape>
            </w:pict>
          </mc:Fallback>
        </mc:AlternateContent>
      </w:r>
      <w:r>
        <mc:AlternateContent>
          <mc:Choice Requires="wps">
            <w:drawing>
              <wp:anchor distT="1786255" distB="6377305" distL="0" distR="0" simplePos="0" relativeHeight="125829448" behindDoc="0" locked="0" layoutInCell="1" allowOverlap="1">
                <wp:simplePos x="0" y="0"/>
                <wp:positionH relativeFrom="page">
                  <wp:posOffset>707390</wp:posOffset>
                </wp:positionH>
                <wp:positionV relativeFrom="paragraph">
                  <wp:posOffset>1786255</wp:posOffset>
                </wp:positionV>
                <wp:extent cx="6150610" cy="146050"/>
                <wp:wrapTopAndBottom/>
                <wp:docPr id="272" name="Shape 272"/>
                <a:graphic xmlns:a="http://schemas.openxmlformats.org/drawingml/2006/main">
                  <a:graphicData uri="http://schemas.microsoft.com/office/word/2010/wordprocessingShape">
                    <wps:wsp>
                      <wps:cNvSpPr txBox="1"/>
                      <wps:spPr>
                        <a:xfrm>
                          <a:ext cx="6150610" cy="14605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color w:val="000000"/>
                                <w:spacing w:val="0"/>
                                <w:w w:val="100"/>
                                <w:position w:val="0"/>
                              </w:rPr>
                              <w:t>力，同时，公司也将成为国家人才培养体系中的一部分，与国内的高校和产业界紧密的合作，为国家培养和输送更多高精尖</w:t>
                            </w:r>
                          </w:p>
                        </w:txbxContent>
                      </wps:txbx>
                      <wps:bodyPr wrap="none" lIns="0" tIns="0" rIns="0" bIns="0">
                        <a:noAutoFit/>
                      </wps:bodyPr>
                    </wps:wsp>
                  </a:graphicData>
                </a:graphic>
              </wp:anchor>
            </w:drawing>
          </mc:Choice>
          <mc:Fallback>
            <w:pict>
              <v:shape id="_x0000_s1298" type="#_x0000_t202" style="position:absolute;margin-left:55.700000000000003pt;margin-top:140.65000000000001pt;width:484.30000000000001pt;height:11.5pt;z-index:-125829305;mso-wrap-distance-left:0;mso-wrap-distance-top:140.65000000000001pt;mso-wrap-distance-right:0;mso-wrap-distance-bottom:502.15000000000003pt;mso-position-horizontal-relative:page" filled="f" stroked="f">
                <v:textbox inset="0,0,0,0">
                  <w:txbxContent>
                    <w:p>
                      <w:pPr>
                        <w:pStyle w:val="Style41"/>
                        <w:keepNext w:val="0"/>
                        <w:keepLines w:val="0"/>
                        <w:widowControl w:val="0"/>
                        <w:shd w:val="clear" w:color="auto" w:fill="auto"/>
                        <w:bidi w:val="0"/>
                        <w:spacing w:before="0" w:after="0" w:line="240" w:lineRule="auto"/>
                        <w:ind w:left="0" w:right="0" w:firstLine="0"/>
                        <w:jc w:val="left"/>
                      </w:pPr>
                      <w:r>
                        <w:rPr>
                          <w:color w:val="000000"/>
                          <w:spacing w:val="0"/>
                          <w:w w:val="100"/>
                          <w:position w:val="0"/>
                        </w:rPr>
                        <w:t>力，同时，公司也将成为国家人才培养体系中的一部分，与国内的高校和产业界紧密的合作，为国家培养和输送更多高精尖</w:t>
                      </w:r>
                    </w:p>
                  </w:txbxContent>
                </v:textbox>
                <w10:wrap type="topAndBottom" anchorx="page"/>
              </v:shape>
            </w:pict>
          </mc:Fallback>
        </mc:AlternateContent>
      </w:r>
      <w:r>
        <w:drawing>
          <wp:anchor distT="2383155" distB="3914775" distL="12065" distR="0" simplePos="0" relativeHeight="125829450" behindDoc="0" locked="0" layoutInCell="1" allowOverlap="1">
            <wp:simplePos x="0" y="0"/>
            <wp:positionH relativeFrom="page">
              <wp:posOffset>719455</wp:posOffset>
            </wp:positionH>
            <wp:positionV relativeFrom="paragraph">
              <wp:posOffset>2383155</wp:posOffset>
            </wp:positionV>
            <wp:extent cx="2999105" cy="2011680"/>
            <wp:wrapTopAndBottom/>
            <wp:docPr id="274" name="Shape 274"/>
            <a:graphic xmlns:a="http://schemas.openxmlformats.org/drawingml/2006/main">
              <a:graphicData uri="http://schemas.openxmlformats.org/drawingml/2006/picture">
                <pic:pic xmlns:pic="http://schemas.openxmlformats.org/drawingml/2006/picture">
                  <pic:nvPicPr>
                    <pic:cNvPr id="275" name="Picture box 275"/>
                    <pic:cNvPicPr/>
                  </pic:nvPicPr>
                  <pic:blipFill>
                    <a:blip r:embed="rId79"/>
                    <a:stretch/>
                  </pic:blipFill>
                  <pic:spPr>
                    <a:xfrm>
                      <a:ext cx="2999105" cy="2011680"/>
                    </a:xfrm>
                    <a:prstGeom prst="rect"/>
                  </pic:spPr>
                </pic:pic>
              </a:graphicData>
            </a:graphic>
          </wp:anchor>
        </w:drawing>
      </w:r>
      <w:r>
        <mc:AlternateContent>
          <mc:Choice Requires="wps">
            <w:drawing>
              <wp:anchor distT="0" distB="0" distL="0" distR="0" simplePos="0" relativeHeight="503316554" behindDoc="0" locked="0" layoutInCell="1" allowOverlap="1">
                <wp:simplePos x="0" y="0"/>
                <wp:positionH relativeFrom="page">
                  <wp:posOffset>707390</wp:posOffset>
                </wp:positionH>
                <wp:positionV relativeFrom="paragraph">
                  <wp:posOffset>2081530</wp:posOffset>
                </wp:positionV>
                <wp:extent cx="368935" cy="149225"/>
                <wp:wrapNone/>
                <wp:docPr id="276" name="Shape 276"/>
                <a:graphic xmlns:a="http://schemas.openxmlformats.org/drawingml/2006/main">
                  <a:graphicData uri="http://schemas.microsoft.com/office/word/2010/wordprocessingShape">
                    <wps:wsp>
                      <wps:cNvSpPr txBox="1"/>
                      <wps:spPr>
                        <a:xfrm>
                          <a:ext cx="368935" cy="149225"/>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人才。</w:t>
                            </w:r>
                          </w:p>
                        </w:txbxContent>
                      </wps:txbx>
                      <wps:bodyPr lIns="0" tIns="0" rIns="0" bIns="0">
                        <a:noAutoFit/>
                      </wps:bodyPr>
                    </wps:wsp>
                  </a:graphicData>
                </a:graphic>
              </wp:anchor>
            </w:drawing>
          </mc:Choice>
          <mc:Fallback>
            <w:pict>
              <v:shape id="_x0000_s1302" type="#_x0000_t202" style="position:absolute;margin-left:55.700000000000003pt;margin-top:163.90000000000001pt;width:29.050000000000001pt;height:11.75pt;z-index:251657801;mso-wrap-distance-left:0;mso-wrap-distance-right:0;mso-position-horizontal-relative:page" filled="f" stroked="f">
                <v:textbox inset="0,0,0,0">
                  <w:txbxContent>
                    <w:p>
                      <w:pPr>
                        <w:pStyle w:val="Style65"/>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人才。</w:t>
                      </w:r>
                    </w:p>
                  </w:txbxContent>
                </v:textbox>
                <w10:wrap anchorx="page"/>
              </v:shape>
            </w:pict>
          </mc:Fallback>
        </mc:AlternateContent>
      </w:r>
      <w:r>
        <mc:AlternateContent>
          <mc:Choice Requires="wps">
            <w:drawing>
              <wp:anchor distT="2566670" distB="5556885" distL="0" distR="0" simplePos="0" relativeHeight="125829451" behindDoc="0" locked="0" layoutInCell="1" allowOverlap="1">
                <wp:simplePos x="0" y="0"/>
                <wp:positionH relativeFrom="page">
                  <wp:posOffset>4419600</wp:posOffset>
                </wp:positionH>
                <wp:positionV relativeFrom="paragraph">
                  <wp:posOffset>2566670</wp:posOffset>
                </wp:positionV>
                <wp:extent cx="1917065" cy="186055"/>
                <wp:wrapTopAndBottom/>
                <wp:docPr id="278" name="Shape 278"/>
                <a:graphic xmlns:a="http://schemas.openxmlformats.org/drawingml/2006/main">
                  <a:graphicData uri="http://schemas.microsoft.com/office/word/2010/wordprocessingShape">
                    <wps:wsp>
                      <wps:cNvSpPr txBox="1"/>
                      <wps:spPr>
                        <a:xfrm>
                          <a:ext cx="1917065" cy="18605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color w:val="1C1A1D"/>
                                <w:spacing w:val="0"/>
                                <w:w w:val="100"/>
                                <w:position w:val="0"/>
                                <w:sz w:val="22"/>
                                <w:szCs w:val="22"/>
                              </w:rPr>
                              <w:t>中关村科技园区海淀园企业</w:t>
                            </w:r>
                          </w:p>
                        </w:txbxContent>
                      </wps:txbx>
                      <wps:bodyPr wrap="none" lIns="0" tIns="0" rIns="0" bIns="0">
                        <a:noAutoFit/>
                      </wps:bodyPr>
                    </wps:wsp>
                  </a:graphicData>
                </a:graphic>
              </wp:anchor>
            </w:drawing>
          </mc:Choice>
          <mc:Fallback>
            <w:pict>
              <v:shape id="_x0000_s1304" type="#_x0000_t202" style="position:absolute;margin-left:348.pt;margin-top:202.09999999999999pt;width:150.95000000000002pt;height:14.65pt;z-index:-125829302;mso-wrap-distance-left:0;mso-wrap-distance-top:202.09999999999999pt;mso-wrap-distance-right:0;mso-wrap-distance-bottom:437.55000000000001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color w:val="1C1A1D"/>
                          <w:spacing w:val="0"/>
                          <w:w w:val="100"/>
                          <w:position w:val="0"/>
                          <w:sz w:val="22"/>
                          <w:szCs w:val="22"/>
                        </w:rPr>
                        <w:t>中关村科技园区海淀园企业</w:t>
                      </w:r>
                    </w:p>
                  </w:txbxContent>
                </v:textbox>
                <w10:wrap type="topAndBottom" anchorx="page"/>
              </v:shape>
            </w:pict>
          </mc:Fallback>
        </mc:AlternateContent>
      </w:r>
      <w:r>
        <mc:AlternateContent>
          <mc:Choice Requires="wps">
            <w:drawing>
              <wp:anchor distT="2831465" distB="4947920" distL="0" distR="0" simplePos="0" relativeHeight="125829453" behindDoc="0" locked="0" layoutInCell="1" allowOverlap="1">
                <wp:simplePos x="0" y="0"/>
                <wp:positionH relativeFrom="page">
                  <wp:posOffset>4087495</wp:posOffset>
                </wp:positionH>
                <wp:positionV relativeFrom="paragraph">
                  <wp:posOffset>2831465</wp:posOffset>
                </wp:positionV>
                <wp:extent cx="2593975" cy="530225"/>
                <wp:wrapTopAndBottom/>
                <wp:docPr id="280" name="Shape 280"/>
                <a:graphic xmlns:a="http://schemas.openxmlformats.org/drawingml/2006/main">
                  <a:graphicData uri="http://schemas.microsoft.com/office/word/2010/wordprocessingShape">
                    <wps:wsp>
                      <wps:cNvSpPr txBox="1"/>
                      <wps:spPr>
                        <a:xfrm>
                          <a:ext cx="2593975" cy="530225"/>
                        </a:xfrm>
                        <a:prstGeom prst="rect"/>
                        <a:noFill/>
                      </wps:spPr>
                      <wps:txbx>
                        <w:txbxContent>
                          <w:p>
                            <w:pPr>
                              <w:pStyle w:val="Style2"/>
                              <w:keepNext w:val="0"/>
                              <w:keepLines w:val="0"/>
                              <w:widowControl w:val="0"/>
                              <w:shd w:val="clear" w:color="auto" w:fill="auto"/>
                              <w:bidi w:val="0"/>
                              <w:spacing w:before="0" w:after="0" w:line="350" w:lineRule="exact"/>
                              <w:ind w:left="0" w:right="0" w:firstLine="0"/>
                              <w:jc w:val="center"/>
                              <w:rPr>
                                <w:sz w:val="42"/>
                                <w:szCs w:val="42"/>
                              </w:rPr>
                            </w:pPr>
                            <w:r>
                              <w:rPr>
                                <w:color w:val="481614"/>
                                <w:spacing w:val="0"/>
                                <w:w w:val="100"/>
                                <w:position w:val="0"/>
                                <w:sz w:val="42"/>
                                <w:szCs w:val="42"/>
                                <w:shd w:val="clear" w:color="auto" w:fill="FFFFFF"/>
                              </w:rPr>
                              <w:t>博士后科研工作站</w:t>
                            </w:r>
                          </w:p>
                          <w:p>
                            <w:pPr>
                              <w:pStyle w:val="Style2"/>
                              <w:keepNext w:val="0"/>
                              <w:keepLines w:val="0"/>
                              <w:widowControl w:val="0"/>
                              <w:shd w:val="clear" w:color="auto" w:fill="auto"/>
                              <w:bidi w:val="0"/>
                              <w:spacing w:before="0" w:after="0" w:line="350" w:lineRule="exact"/>
                              <w:ind w:left="0" w:right="0" w:firstLine="0"/>
                              <w:jc w:val="center"/>
                              <w:rPr>
                                <w:sz w:val="28"/>
                                <w:szCs w:val="28"/>
                              </w:rPr>
                            </w:pPr>
                            <w:r>
                              <w:rPr>
                                <w:rFonts w:ascii="Calibri" w:eastAsia="Calibri" w:hAnsi="Calibri" w:cs="Calibri"/>
                                <w:color w:val="000000"/>
                                <w:spacing w:val="0"/>
                                <w:w w:val="100"/>
                                <w:position w:val="0"/>
                                <w:sz w:val="28"/>
                                <w:szCs w:val="28"/>
                              </w:rPr>
                              <w:t>POSTDOCTORAL PROGRAMME</w:t>
                            </w:r>
                          </w:p>
                        </w:txbxContent>
                      </wps:txbx>
                      <wps:bodyPr lIns="0" tIns="0" rIns="0" bIns="0">
                        <a:noAutoFit/>
                      </wps:bodyPr>
                    </wps:wsp>
                  </a:graphicData>
                </a:graphic>
              </wp:anchor>
            </w:drawing>
          </mc:Choice>
          <mc:Fallback>
            <w:pict>
              <v:shape id="_x0000_s1306" type="#_x0000_t202" style="position:absolute;margin-left:321.85000000000002pt;margin-top:222.95000000000002pt;width:204.25pt;height:41.75pt;z-index:-125829300;mso-wrap-distance-left:0;mso-wrap-distance-top:222.95000000000002pt;mso-wrap-distance-right:0;mso-wrap-distance-bottom:389.60000000000002pt;mso-position-horizontal-relative:page" filled="f" stroked="f">
                <v:textbox inset="0,0,0,0">
                  <w:txbxContent>
                    <w:p>
                      <w:pPr>
                        <w:pStyle w:val="Style2"/>
                        <w:keepNext w:val="0"/>
                        <w:keepLines w:val="0"/>
                        <w:widowControl w:val="0"/>
                        <w:shd w:val="clear" w:color="auto" w:fill="auto"/>
                        <w:bidi w:val="0"/>
                        <w:spacing w:before="0" w:after="0" w:line="350" w:lineRule="exact"/>
                        <w:ind w:left="0" w:right="0" w:firstLine="0"/>
                        <w:jc w:val="center"/>
                        <w:rPr>
                          <w:sz w:val="42"/>
                          <w:szCs w:val="42"/>
                        </w:rPr>
                      </w:pPr>
                      <w:r>
                        <w:rPr>
                          <w:color w:val="481614"/>
                          <w:spacing w:val="0"/>
                          <w:w w:val="100"/>
                          <w:position w:val="0"/>
                          <w:sz w:val="42"/>
                          <w:szCs w:val="42"/>
                          <w:shd w:val="clear" w:color="auto" w:fill="FFFFFF"/>
                        </w:rPr>
                        <w:t>博士后科研工作站</w:t>
                      </w:r>
                    </w:p>
                    <w:p>
                      <w:pPr>
                        <w:pStyle w:val="Style2"/>
                        <w:keepNext w:val="0"/>
                        <w:keepLines w:val="0"/>
                        <w:widowControl w:val="0"/>
                        <w:shd w:val="clear" w:color="auto" w:fill="auto"/>
                        <w:bidi w:val="0"/>
                        <w:spacing w:before="0" w:after="0" w:line="350" w:lineRule="exact"/>
                        <w:ind w:left="0" w:right="0" w:firstLine="0"/>
                        <w:jc w:val="center"/>
                        <w:rPr>
                          <w:sz w:val="28"/>
                          <w:szCs w:val="28"/>
                        </w:rPr>
                      </w:pPr>
                      <w:r>
                        <w:rPr>
                          <w:rFonts w:ascii="Calibri" w:eastAsia="Calibri" w:hAnsi="Calibri" w:cs="Calibri"/>
                          <w:color w:val="000000"/>
                          <w:spacing w:val="0"/>
                          <w:w w:val="100"/>
                          <w:position w:val="0"/>
                          <w:sz w:val="28"/>
                          <w:szCs w:val="28"/>
                        </w:rPr>
                        <w:t>POSTDOCTORAL PROGRAMME</w:t>
                      </w:r>
                    </w:p>
                  </w:txbxContent>
                </v:textbox>
                <w10:wrap type="topAndBottom" anchorx="page"/>
              </v:shape>
            </w:pict>
          </mc:Fallback>
        </mc:AlternateContent>
      </w:r>
      <w:r>
        <mc:AlternateContent>
          <mc:Choice Requires="wps">
            <w:drawing>
              <wp:anchor distT="3444240" distB="4682490" distL="0" distR="0" simplePos="0" relativeHeight="125829455" behindDoc="0" locked="0" layoutInCell="1" allowOverlap="1">
                <wp:simplePos x="0" y="0"/>
                <wp:positionH relativeFrom="page">
                  <wp:posOffset>4081780</wp:posOffset>
                </wp:positionH>
                <wp:positionV relativeFrom="paragraph">
                  <wp:posOffset>3444240</wp:posOffset>
                </wp:positionV>
                <wp:extent cx="2593975" cy="182880"/>
                <wp:wrapTopAndBottom/>
                <wp:docPr id="282" name="Shape 282"/>
                <a:graphic xmlns:a="http://schemas.openxmlformats.org/drawingml/2006/main">
                  <a:graphicData uri="http://schemas.microsoft.com/office/word/2010/wordprocessingShape">
                    <wps:wsp>
                      <wps:cNvSpPr txBox="1"/>
                      <wps:spPr>
                        <a:xfrm>
                          <a:ext cx="2593975" cy="1828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color w:val="1C1A1D"/>
                                <w:spacing w:val="0"/>
                                <w:w w:val="100"/>
                                <w:position w:val="0"/>
                                <w:sz w:val="22"/>
                                <w:szCs w:val="22"/>
                              </w:rPr>
                              <w:t>北京神州泰岳软件股份有限公司分站</w:t>
                            </w:r>
                          </w:p>
                        </w:txbxContent>
                      </wps:txbx>
                      <wps:bodyPr wrap="none" lIns="0" tIns="0" rIns="0" bIns="0">
                        <a:noAutoFit/>
                      </wps:bodyPr>
                    </wps:wsp>
                  </a:graphicData>
                </a:graphic>
              </wp:anchor>
            </w:drawing>
          </mc:Choice>
          <mc:Fallback>
            <w:pict>
              <v:shape id="_x0000_s1308" type="#_x0000_t202" style="position:absolute;margin-left:321.40000000000003pt;margin-top:271.19999999999999pt;width:204.25pt;height:14.4pt;z-index:-125829298;mso-wrap-distance-left:0;mso-wrap-distance-top:271.19999999999999pt;mso-wrap-distance-right:0;mso-wrap-distance-bottom:368.69999999999999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22"/>
                          <w:szCs w:val="22"/>
                        </w:rPr>
                      </w:pPr>
                      <w:r>
                        <w:rPr>
                          <w:color w:val="1C1A1D"/>
                          <w:spacing w:val="0"/>
                          <w:w w:val="100"/>
                          <w:position w:val="0"/>
                          <w:sz w:val="22"/>
                          <w:szCs w:val="22"/>
                        </w:rPr>
                        <w:t>北京神州泰岳软件股份有限公司分站</w:t>
                      </w:r>
                    </w:p>
                  </w:txbxContent>
                </v:textbox>
                <w10:wrap type="topAndBottom" anchorx="page"/>
              </v:shape>
            </w:pict>
          </mc:Fallback>
        </mc:AlternateContent>
      </w:r>
      <w:r>
        <mc:AlternateContent>
          <mc:Choice Requires="wps">
            <w:drawing>
              <wp:anchor distT="3733800" distB="4264660" distL="0" distR="0" simplePos="0" relativeHeight="125829457" behindDoc="0" locked="0" layoutInCell="1" allowOverlap="1">
                <wp:simplePos x="0" y="0"/>
                <wp:positionH relativeFrom="page">
                  <wp:posOffset>4703445</wp:posOffset>
                </wp:positionH>
                <wp:positionV relativeFrom="paragraph">
                  <wp:posOffset>3733800</wp:posOffset>
                </wp:positionV>
                <wp:extent cx="1337945" cy="311150"/>
                <wp:wrapTopAndBottom/>
                <wp:docPr id="284" name="Shape 284"/>
                <a:graphic xmlns:a="http://schemas.openxmlformats.org/drawingml/2006/main">
                  <a:graphicData uri="http://schemas.microsoft.com/office/word/2010/wordprocessingShape">
                    <wps:wsp>
                      <wps:cNvSpPr txBox="1"/>
                      <wps:spPr>
                        <a:xfrm>
                          <a:ext cx="1337945" cy="311150"/>
                        </a:xfrm>
                        <a:prstGeom prst="rect"/>
                        <a:noFill/>
                      </wps:spPr>
                      <wps:txbx>
                        <w:txbxContent>
                          <w:p>
                            <w:pPr>
                              <w:pStyle w:val="Style41"/>
                              <w:keepNext w:val="0"/>
                              <w:keepLines w:val="0"/>
                              <w:widowControl w:val="0"/>
                              <w:shd w:val="clear" w:color="auto" w:fill="auto"/>
                              <w:bidi w:val="0"/>
                              <w:spacing w:before="0" w:after="0" w:line="235" w:lineRule="exact"/>
                              <w:ind w:left="0" w:right="0" w:firstLine="0"/>
                              <w:jc w:val="left"/>
                            </w:pPr>
                            <w:r>
                              <w:rPr>
                                <w:b/>
                                <w:bCs/>
                                <w:color w:val="2A2522"/>
                                <w:spacing w:val="0"/>
                                <w:w w:val="100"/>
                                <w:position w:val="0"/>
                              </w:rPr>
                              <w:t>人力资源和社会保障部 全国博士后管委会</w:t>
                            </w:r>
                          </w:p>
                        </w:txbxContent>
                      </wps:txbx>
                      <wps:bodyPr lIns="0" tIns="0" rIns="0" bIns="0">
                        <a:noAutoFit/>
                      </wps:bodyPr>
                    </wps:wsp>
                  </a:graphicData>
                </a:graphic>
              </wp:anchor>
            </w:drawing>
          </mc:Choice>
          <mc:Fallback>
            <w:pict>
              <v:shape id="_x0000_s1310" type="#_x0000_t202" style="position:absolute;margin-left:370.35000000000002pt;margin-top:294.pt;width:105.35000000000001pt;height:24.5pt;z-index:-125829296;mso-wrap-distance-left:0;mso-wrap-distance-top:294.pt;mso-wrap-distance-right:0;mso-wrap-distance-bottom:335.80000000000001pt;mso-position-horizontal-relative:page" filled="f" stroked="f">
                <v:textbox inset="0,0,0,0">
                  <w:txbxContent>
                    <w:p>
                      <w:pPr>
                        <w:pStyle w:val="Style41"/>
                        <w:keepNext w:val="0"/>
                        <w:keepLines w:val="0"/>
                        <w:widowControl w:val="0"/>
                        <w:shd w:val="clear" w:color="auto" w:fill="auto"/>
                        <w:bidi w:val="0"/>
                        <w:spacing w:before="0" w:after="0" w:line="235" w:lineRule="exact"/>
                        <w:ind w:left="0" w:right="0" w:firstLine="0"/>
                        <w:jc w:val="left"/>
                      </w:pPr>
                      <w:r>
                        <w:rPr>
                          <w:b/>
                          <w:bCs/>
                          <w:color w:val="2A2522"/>
                          <w:spacing w:val="0"/>
                          <w:w w:val="100"/>
                          <w:position w:val="0"/>
                        </w:rPr>
                        <w:t>人力资源和社会保障部 全国博士后管委会</w:t>
                      </w:r>
                    </w:p>
                  </w:txbxContent>
                </v:textbox>
                <w10:wrap type="topAndBottom" anchorx="page"/>
              </v:shape>
            </w:pict>
          </mc:Fallback>
        </mc:AlternateContent>
      </w:r>
      <w:r>
        <mc:AlternateContent>
          <mc:Choice Requires="wps">
            <w:drawing>
              <wp:anchor distT="4138930" distB="4039870" distL="0" distR="0" simplePos="0" relativeHeight="125829459" behindDoc="0" locked="0" layoutInCell="1" allowOverlap="1">
                <wp:simplePos x="0" y="0"/>
                <wp:positionH relativeFrom="page">
                  <wp:posOffset>4950460</wp:posOffset>
                </wp:positionH>
                <wp:positionV relativeFrom="paragraph">
                  <wp:posOffset>4138930</wp:posOffset>
                </wp:positionV>
                <wp:extent cx="826135" cy="130810"/>
                <wp:wrapTopAndBottom/>
                <wp:docPr id="286" name="Shape 286"/>
                <a:graphic xmlns:a="http://schemas.openxmlformats.org/drawingml/2006/main">
                  <a:graphicData uri="http://schemas.microsoft.com/office/word/2010/wordprocessingShape">
                    <wps:wsp>
                      <wps:cNvSpPr txBox="1"/>
                      <wps:spPr>
                        <a:xfrm>
                          <a:ext cx="826135" cy="13081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center"/>
                              <w:rPr>
                                <w:sz w:val="13"/>
                                <w:szCs w:val="13"/>
                              </w:rPr>
                            </w:pPr>
                            <w:r>
                              <w:rPr>
                                <w:rFonts w:ascii="SimHei" w:eastAsia="SimHei" w:hAnsi="SimHei" w:cs="SimHei"/>
                                <w:color w:val="2A2522"/>
                                <w:spacing w:val="0"/>
                                <w:w w:val="100"/>
                                <w:position w:val="0"/>
                                <w:sz w:val="13"/>
                                <w:szCs w:val="13"/>
                              </w:rPr>
                              <w:t>二。二。年十二月</w:t>
                            </w:r>
                          </w:p>
                        </w:txbxContent>
                      </wps:txbx>
                      <wps:bodyPr wrap="none" lIns="0" tIns="0" rIns="0" bIns="0">
                        <a:noAutoFit/>
                      </wps:bodyPr>
                    </wps:wsp>
                  </a:graphicData>
                </a:graphic>
              </wp:anchor>
            </w:drawing>
          </mc:Choice>
          <mc:Fallback>
            <w:pict>
              <v:shape id="_x0000_s1312" type="#_x0000_t202" style="position:absolute;margin-left:389.80000000000001pt;margin-top:325.90000000000003pt;width:65.049999999999997pt;height:10.300000000000001pt;z-index:-125829294;mso-wrap-distance-left:0;mso-wrap-distance-top:325.90000000000003pt;mso-wrap-distance-right:0;mso-wrap-distance-bottom:318.10000000000002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center"/>
                        <w:rPr>
                          <w:sz w:val="13"/>
                          <w:szCs w:val="13"/>
                        </w:rPr>
                      </w:pPr>
                      <w:r>
                        <w:rPr>
                          <w:rFonts w:ascii="SimHei" w:eastAsia="SimHei" w:hAnsi="SimHei" w:cs="SimHei"/>
                          <w:color w:val="2A2522"/>
                          <w:spacing w:val="0"/>
                          <w:w w:val="100"/>
                          <w:position w:val="0"/>
                          <w:sz w:val="13"/>
                          <w:szCs w:val="13"/>
                        </w:rPr>
                        <w:t>二。二。年十二月</w:t>
                      </w:r>
                    </w:p>
                  </w:txbxContent>
                </v:textbox>
                <w10:wrap type="topAndBottom" anchorx="page"/>
              </v:shape>
            </w:pict>
          </mc:Fallback>
        </mc:AlternateContent>
      </w:r>
      <w:r>
        <mc:AlternateContent>
          <mc:Choice Requires="wps">
            <w:drawing>
              <wp:anchor distT="4559935" distB="3588385" distL="0" distR="0" simplePos="0" relativeHeight="125829461" behindDoc="0" locked="0" layoutInCell="1" allowOverlap="1">
                <wp:simplePos x="0" y="0"/>
                <wp:positionH relativeFrom="page">
                  <wp:posOffset>3136900</wp:posOffset>
                </wp:positionH>
                <wp:positionV relativeFrom="paragraph">
                  <wp:posOffset>4559935</wp:posOffset>
                </wp:positionV>
                <wp:extent cx="1520825" cy="161290"/>
                <wp:wrapTopAndBottom/>
                <wp:docPr id="288" name="Shape 288"/>
                <a:graphic xmlns:a="http://schemas.openxmlformats.org/drawingml/2006/main">
                  <a:graphicData uri="http://schemas.microsoft.com/office/word/2010/wordprocessingShape">
                    <wps:wsp>
                      <wps:cNvSpPr txBox="1"/>
                      <wps:spPr>
                        <a:xfrm>
                          <a:ext cx="1520825" cy="16129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b/>
                                <w:bCs/>
                                <w:color w:val="000000"/>
                                <w:spacing w:val="0"/>
                                <w:w w:val="100"/>
                                <w:position w:val="0"/>
                                <w:sz w:val="18"/>
                                <w:szCs w:val="18"/>
                              </w:rPr>
                              <w:t>“</w:t>
                            </w:r>
                            <w:r>
                              <w:rPr>
                                <w:b/>
                                <w:bCs/>
                                <w:color w:val="000000"/>
                                <w:spacing w:val="0"/>
                                <w:w w:val="100"/>
                                <w:position w:val="0"/>
                                <w:sz w:val="17"/>
                                <w:szCs w:val="17"/>
                              </w:rPr>
                              <w:t>神州泰岳博士后科研工作站</w:t>
                            </w:r>
                            <w:r>
                              <w:rPr>
                                <w:rFonts w:ascii="Times New Roman" w:eastAsia="Times New Roman" w:hAnsi="Times New Roman" w:cs="Times New Roman"/>
                                <w:b/>
                                <w:bCs/>
                                <w:color w:val="000000"/>
                                <w:spacing w:val="0"/>
                                <w:w w:val="100"/>
                                <w:position w:val="0"/>
                                <w:sz w:val="18"/>
                                <w:szCs w:val="18"/>
                              </w:rPr>
                              <w:t>”</w:t>
                            </w:r>
                          </w:p>
                        </w:txbxContent>
                      </wps:txbx>
                      <wps:bodyPr wrap="none" lIns="0" tIns="0" rIns="0" bIns="0">
                        <a:noAutoFit/>
                      </wps:bodyPr>
                    </wps:wsp>
                  </a:graphicData>
                </a:graphic>
              </wp:anchor>
            </w:drawing>
          </mc:Choice>
          <mc:Fallback>
            <w:pict>
              <v:shape id="_x0000_s1314" type="#_x0000_t202" style="position:absolute;margin-left:247.pt;margin-top:359.05000000000001pt;width:119.75pt;height:12.700000000000001pt;z-index:-125829292;mso-wrap-distance-left:0;mso-wrap-distance-top:359.05000000000001pt;mso-wrap-distance-right:0;mso-wrap-distance-bottom:282.55000000000001pt;mso-position-horizontal-relative:page" filled="f" stroked="f">
                <v:textbox inset="0,0,0,0">
                  <w:txbxContent>
                    <w:p>
                      <w:pPr>
                        <w:pStyle w:val="Style41"/>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b/>
                          <w:bCs/>
                          <w:color w:val="000000"/>
                          <w:spacing w:val="0"/>
                          <w:w w:val="100"/>
                          <w:position w:val="0"/>
                          <w:sz w:val="18"/>
                          <w:szCs w:val="18"/>
                        </w:rPr>
                        <w:t>“</w:t>
                      </w:r>
                      <w:r>
                        <w:rPr>
                          <w:b/>
                          <w:bCs/>
                          <w:color w:val="000000"/>
                          <w:spacing w:val="0"/>
                          <w:w w:val="100"/>
                          <w:position w:val="0"/>
                          <w:sz w:val="17"/>
                          <w:szCs w:val="17"/>
                        </w:rPr>
                        <w:t>神州泰岳博士后科研工作站</w:t>
                      </w:r>
                      <w:r>
                        <w:rPr>
                          <w:rFonts w:ascii="Times New Roman" w:eastAsia="Times New Roman" w:hAnsi="Times New Roman" w:cs="Times New Roman"/>
                          <w:b/>
                          <w:bCs/>
                          <w:color w:val="000000"/>
                          <w:spacing w:val="0"/>
                          <w:w w:val="100"/>
                          <w:position w:val="0"/>
                          <w:sz w:val="18"/>
                          <w:szCs w:val="18"/>
                        </w:rPr>
                        <w:t>”</w:t>
                      </w:r>
                    </w:p>
                  </w:txbxContent>
                </v:textbox>
                <w10:wrap type="topAndBottom" anchorx="page"/>
              </v:shape>
            </w:pict>
          </mc:Fallback>
        </mc:AlternateContent>
      </w:r>
      <w:r>
        <mc:AlternateContent>
          <mc:Choice Requires="wps">
            <w:drawing>
              <wp:anchor distT="4858385" distB="3298825" distL="0" distR="0" simplePos="0" relativeHeight="125829463" behindDoc="0" locked="0" layoutInCell="1" allowOverlap="1">
                <wp:simplePos x="0" y="0"/>
                <wp:positionH relativeFrom="page">
                  <wp:posOffset>939165</wp:posOffset>
                </wp:positionH>
                <wp:positionV relativeFrom="paragraph">
                  <wp:posOffset>4858385</wp:posOffset>
                </wp:positionV>
                <wp:extent cx="5919470" cy="152400"/>
                <wp:wrapTopAndBottom/>
                <wp:docPr id="290" name="Shape 290"/>
                <a:graphic xmlns:a="http://schemas.openxmlformats.org/drawingml/2006/main">
                  <a:graphicData uri="http://schemas.microsoft.com/office/word/2010/wordprocessingShape">
                    <wps:wsp>
                      <wps:cNvSpPr txBox="1"/>
                      <wps:spPr>
                        <a:xfrm>
                          <a:ext cx="5919470" cy="15240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公司及子公司连续多年被认定为高新技术企业，具备</w:t>
                            </w:r>
                            <w:r>
                              <w:rPr>
                                <w:rFonts w:ascii="Times New Roman" w:eastAsia="Times New Roman" w:hAnsi="Times New Roman" w:cs="Times New Roman"/>
                                <w:color w:val="000000"/>
                                <w:spacing w:val="0"/>
                                <w:w w:val="100"/>
                                <w:position w:val="0"/>
                                <w:sz w:val="18"/>
                                <w:szCs w:val="18"/>
                              </w:rPr>
                              <w:t>CMMI L5</w:t>
                            </w:r>
                            <w:r>
                              <w:rPr>
                                <w:color w:val="000000"/>
                                <w:spacing w:val="0"/>
                                <w:w w:val="100"/>
                                <w:position w:val="0"/>
                              </w:rPr>
                              <w:t>级认证、国家信息安全认证服务二级资质、</w:t>
                            </w:r>
                            <w:r>
                              <w:rPr>
                                <w:rFonts w:ascii="Times New Roman" w:eastAsia="Times New Roman" w:hAnsi="Times New Roman" w:cs="Times New Roman"/>
                                <w:color w:val="000000"/>
                                <w:spacing w:val="0"/>
                                <w:w w:val="100"/>
                                <w:position w:val="0"/>
                                <w:sz w:val="18"/>
                                <w:szCs w:val="18"/>
                              </w:rPr>
                              <w:t>IS09001</w:t>
                            </w:r>
                            <w:r>
                              <w:rPr>
                                <w:color w:val="000000"/>
                                <w:spacing w:val="0"/>
                                <w:w w:val="100"/>
                                <w:position w:val="0"/>
                              </w:rPr>
                              <w:t>质</w:t>
                            </w:r>
                          </w:p>
                        </w:txbxContent>
                      </wps:txbx>
                      <wps:bodyPr wrap="none" lIns="0" tIns="0" rIns="0" bIns="0">
                        <a:noAutoFit/>
                      </wps:bodyPr>
                    </wps:wsp>
                  </a:graphicData>
                </a:graphic>
              </wp:anchor>
            </w:drawing>
          </mc:Choice>
          <mc:Fallback>
            <w:pict>
              <v:shape id="_x0000_s1316" type="#_x0000_t202" style="position:absolute;margin-left:73.950000000000003pt;margin-top:382.55000000000001pt;width:466.10000000000002pt;height:12.pt;z-index:-125829290;mso-wrap-distance-left:0;mso-wrap-distance-top:382.55000000000001pt;mso-wrap-distance-right:0;mso-wrap-distance-bottom:259.75pt;mso-position-horizontal-relative:page" filled="f" stroked="f">
                <v:textbox inset="0,0,0,0">
                  <w:txbxContent>
                    <w:p>
                      <w:pPr>
                        <w:pStyle w:val="Style41"/>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公司及子公司连续多年被认定为高新技术企业，具备</w:t>
                      </w:r>
                      <w:r>
                        <w:rPr>
                          <w:rFonts w:ascii="Times New Roman" w:eastAsia="Times New Roman" w:hAnsi="Times New Roman" w:cs="Times New Roman"/>
                          <w:color w:val="000000"/>
                          <w:spacing w:val="0"/>
                          <w:w w:val="100"/>
                          <w:position w:val="0"/>
                          <w:sz w:val="18"/>
                          <w:szCs w:val="18"/>
                        </w:rPr>
                        <w:t>CMMI L5</w:t>
                      </w:r>
                      <w:r>
                        <w:rPr>
                          <w:color w:val="000000"/>
                          <w:spacing w:val="0"/>
                          <w:w w:val="100"/>
                          <w:position w:val="0"/>
                        </w:rPr>
                        <w:t>级认证、国家信息安全认证服务二级资质、</w:t>
                      </w:r>
                      <w:r>
                        <w:rPr>
                          <w:rFonts w:ascii="Times New Roman" w:eastAsia="Times New Roman" w:hAnsi="Times New Roman" w:cs="Times New Roman"/>
                          <w:color w:val="000000"/>
                          <w:spacing w:val="0"/>
                          <w:w w:val="100"/>
                          <w:position w:val="0"/>
                          <w:sz w:val="18"/>
                          <w:szCs w:val="18"/>
                        </w:rPr>
                        <w:t>IS09001</w:t>
                      </w:r>
                      <w:r>
                        <w:rPr>
                          <w:color w:val="000000"/>
                          <w:spacing w:val="0"/>
                          <w:w w:val="100"/>
                          <w:position w:val="0"/>
                        </w:rPr>
                        <w:t>质</w:t>
                      </w:r>
                    </w:p>
                  </w:txbxContent>
                </v:textbox>
                <w10:wrap type="topAndBottom" anchorx="page"/>
              </v:shape>
            </w:pict>
          </mc:Fallback>
        </mc:AlternateContent>
      </w:r>
      <w:r>
        <mc:AlternateContent>
          <mc:Choice Requires="wps">
            <w:drawing>
              <wp:anchor distT="5157470" distB="3002915" distL="0" distR="0" simplePos="0" relativeHeight="125829465" behindDoc="0" locked="0" layoutInCell="1" allowOverlap="1">
                <wp:simplePos x="0" y="0"/>
                <wp:positionH relativeFrom="page">
                  <wp:posOffset>707390</wp:posOffset>
                </wp:positionH>
                <wp:positionV relativeFrom="paragraph">
                  <wp:posOffset>5157470</wp:posOffset>
                </wp:positionV>
                <wp:extent cx="6150610" cy="149225"/>
                <wp:wrapTopAndBottom/>
                <wp:docPr id="292" name="Shape 292"/>
                <a:graphic xmlns:a="http://schemas.openxmlformats.org/drawingml/2006/main">
                  <a:graphicData uri="http://schemas.microsoft.com/office/word/2010/wordprocessingShape">
                    <wps:wsp>
                      <wps:cNvSpPr txBox="1"/>
                      <wps:spPr>
                        <a:xfrm>
                          <a:ext cx="6150610" cy="14922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color w:val="000000"/>
                                <w:spacing w:val="0"/>
                                <w:w w:val="100"/>
                                <w:position w:val="0"/>
                              </w:rPr>
                              <w:t>量管理体系认证、</w:t>
                            </w:r>
                            <w:r>
                              <w:rPr>
                                <w:rFonts w:ascii="Times New Roman" w:eastAsia="Times New Roman" w:hAnsi="Times New Roman" w:cs="Times New Roman"/>
                                <w:color w:val="000000"/>
                                <w:spacing w:val="0"/>
                                <w:w w:val="100"/>
                                <w:position w:val="0"/>
                                <w:sz w:val="18"/>
                                <w:szCs w:val="18"/>
                              </w:rPr>
                              <w:t>IS020000IT</w:t>
                            </w:r>
                            <w:r>
                              <w:rPr>
                                <w:color w:val="000000"/>
                                <w:spacing w:val="0"/>
                                <w:w w:val="100"/>
                                <w:position w:val="0"/>
                              </w:rPr>
                              <w:t>信息技术服务管理体系认证、</w:t>
                            </w:r>
                            <w:r>
                              <w:rPr>
                                <w:rFonts w:ascii="Times New Roman" w:eastAsia="Times New Roman" w:hAnsi="Times New Roman" w:cs="Times New Roman"/>
                                <w:color w:val="000000"/>
                                <w:spacing w:val="0"/>
                                <w:w w:val="100"/>
                                <w:position w:val="0"/>
                                <w:sz w:val="18"/>
                                <w:szCs w:val="18"/>
                              </w:rPr>
                              <w:t>IS027001</w:t>
                            </w:r>
                            <w:r>
                              <w:rPr>
                                <w:color w:val="000000"/>
                                <w:spacing w:val="0"/>
                                <w:w w:val="100"/>
                                <w:position w:val="0"/>
                              </w:rPr>
                              <w:t>信息安全管理体系认证、信息技术服务运行维护标准</w:t>
                            </w:r>
                          </w:p>
                        </w:txbxContent>
                      </wps:txbx>
                      <wps:bodyPr wrap="none" lIns="0" tIns="0" rIns="0" bIns="0">
                        <a:noAutoFit/>
                      </wps:bodyPr>
                    </wps:wsp>
                  </a:graphicData>
                </a:graphic>
              </wp:anchor>
            </w:drawing>
          </mc:Choice>
          <mc:Fallback>
            <w:pict>
              <v:shape id="_x0000_s1318" type="#_x0000_t202" style="position:absolute;margin-left:55.700000000000003pt;margin-top:406.10000000000002pt;width:484.30000000000001pt;height:11.75pt;z-index:-125829288;mso-wrap-distance-left:0;mso-wrap-distance-top:406.10000000000002pt;mso-wrap-distance-right:0;mso-wrap-distance-bottom:236.45000000000002pt;mso-position-horizontal-relative:page" filled="f" stroked="f">
                <v:textbox inset="0,0,0,0">
                  <w:txbxContent>
                    <w:p>
                      <w:pPr>
                        <w:pStyle w:val="Style41"/>
                        <w:keepNext w:val="0"/>
                        <w:keepLines w:val="0"/>
                        <w:widowControl w:val="0"/>
                        <w:shd w:val="clear" w:color="auto" w:fill="auto"/>
                        <w:bidi w:val="0"/>
                        <w:spacing w:before="0" w:after="0" w:line="240" w:lineRule="auto"/>
                        <w:ind w:left="0" w:right="0" w:firstLine="0"/>
                        <w:jc w:val="left"/>
                      </w:pPr>
                      <w:r>
                        <w:rPr>
                          <w:color w:val="000000"/>
                          <w:spacing w:val="0"/>
                          <w:w w:val="100"/>
                          <w:position w:val="0"/>
                        </w:rPr>
                        <w:t>量管理体系认证、</w:t>
                      </w:r>
                      <w:r>
                        <w:rPr>
                          <w:rFonts w:ascii="Times New Roman" w:eastAsia="Times New Roman" w:hAnsi="Times New Roman" w:cs="Times New Roman"/>
                          <w:color w:val="000000"/>
                          <w:spacing w:val="0"/>
                          <w:w w:val="100"/>
                          <w:position w:val="0"/>
                          <w:sz w:val="18"/>
                          <w:szCs w:val="18"/>
                        </w:rPr>
                        <w:t>IS020000IT</w:t>
                      </w:r>
                      <w:r>
                        <w:rPr>
                          <w:color w:val="000000"/>
                          <w:spacing w:val="0"/>
                          <w:w w:val="100"/>
                          <w:position w:val="0"/>
                        </w:rPr>
                        <w:t>信息技术服务管理体系认证、</w:t>
                      </w:r>
                      <w:r>
                        <w:rPr>
                          <w:rFonts w:ascii="Times New Roman" w:eastAsia="Times New Roman" w:hAnsi="Times New Roman" w:cs="Times New Roman"/>
                          <w:color w:val="000000"/>
                          <w:spacing w:val="0"/>
                          <w:w w:val="100"/>
                          <w:position w:val="0"/>
                          <w:sz w:val="18"/>
                          <w:szCs w:val="18"/>
                        </w:rPr>
                        <w:t>IS027001</w:t>
                      </w:r>
                      <w:r>
                        <w:rPr>
                          <w:color w:val="000000"/>
                          <w:spacing w:val="0"/>
                          <w:w w:val="100"/>
                          <w:position w:val="0"/>
                        </w:rPr>
                        <w:t>信息安全管理体系认证、信息技术服务运行维护标准</w:t>
                      </w:r>
                    </w:p>
                  </w:txbxContent>
                </v:textbox>
                <w10:wrap type="topAndBottom" anchorx="page"/>
              </v:shape>
            </w:pict>
          </mc:Fallback>
        </mc:AlternateContent>
      </w:r>
      <w:r>
        <mc:AlternateContent>
          <mc:Choice Requires="wps">
            <w:drawing>
              <wp:anchor distT="5452745" distB="2701290" distL="0" distR="0" simplePos="0" relativeHeight="125829467" behindDoc="0" locked="0" layoutInCell="1" allowOverlap="1">
                <wp:simplePos x="0" y="0"/>
                <wp:positionH relativeFrom="page">
                  <wp:posOffset>707390</wp:posOffset>
                </wp:positionH>
                <wp:positionV relativeFrom="paragraph">
                  <wp:posOffset>5452745</wp:posOffset>
                </wp:positionV>
                <wp:extent cx="5754370" cy="155575"/>
                <wp:wrapTopAndBottom/>
                <wp:docPr id="294" name="Shape 294"/>
                <a:graphic xmlns:a="http://schemas.openxmlformats.org/drawingml/2006/main">
                  <a:graphicData uri="http://schemas.microsoft.com/office/word/2010/wordprocessingShape">
                    <wps:wsp>
                      <wps:cNvSpPr txBox="1"/>
                      <wps:spPr>
                        <a:xfrm>
                          <a:ext cx="5754370" cy="15557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color w:val="000000"/>
                                <w:spacing w:val="0"/>
                                <w:w w:val="100"/>
                                <w:position w:val="0"/>
                              </w:rPr>
                              <w:t>符合性证书</w:t>
                            </w:r>
                            <w:r>
                              <w:rPr>
                                <w:rFonts w:ascii="Times New Roman" w:eastAsia="Times New Roman" w:hAnsi="Times New Roman" w:cs="Times New Roman"/>
                                <w:color w:val="000000"/>
                                <w:spacing w:val="0"/>
                                <w:w w:val="100"/>
                                <w:position w:val="0"/>
                                <w:sz w:val="18"/>
                                <w:szCs w:val="18"/>
                              </w:rPr>
                              <w:t>ITSS</w:t>
                            </w:r>
                            <w:r>
                              <w:rPr>
                                <w:color w:val="000000"/>
                                <w:spacing w:val="0"/>
                                <w:w w:val="100"/>
                                <w:position w:val="0"/>
                              </w:rPr>
                              <w:t>二级、安防工程企业设计施工维护能力一级、</w:t>
                            </w:r>
                            <w:r>
                              <w:rPr>
                                <w:rFonts w:ascii="Times New Roman" w:eastAsia="Times New Roman" w:hAnsi="Times New Roman" w:cs="Times New Roman"/>
                                <w:color w:val="000000"/>
                                <w:spacing w:val="0"/>
                                <w:w w:val="100"/>
                                <w:position w:val="0"/>
                                <w:sz w:val="18"/>
                                <w:szCs w:val="18"/>
                              </w:rPr>
                              <w:t>DevOps</w:t>
                            </w:r>
                            <w:r>
                              <w:rPr>
                                <w:color w:val="000000"/>
                                <w:spacing w:val="0"/>
                                <w:w w:val="100"/>
                                <w:position w:val="0"/>
                              </w:rPr>
                              <w:t>能力成熟度模型</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级评估认证等多项资质。</w:t>
                            </w:r>
                          </w:p>
                        </w:txbxContent>
                      </wps:txbx>
                      <wps:bodyPr wrap="none" lIns="0" tIns="0" rIns="0" bIns="0">
                        <a:noAutoFit/>
                      </wps:bodyPr>
                    </wps:wsp>
                  </a:graphicData>
                </a:graphic>
              </wp:anchor>
            </w:drawing>
          </mc:Choice>
          <mc:Fallback>
            <w:pict>
              <v:shape id="_x0000_s1320" type="#_x0000_t202" style="position:absolute;margin-left:55.700000000000003pt;margin-top:429.35000000000002pt;width:453.10000000000002pt;height:12.25pt;z-index:-125829286;mso-wrap-distance-left:0;mso-wrap-distance-top:429.35000000000002pt;mso-wrap-distance-right:0;mso-wrap-distance-bottom:212.70000000000002pt;mso-position-horizontal-relative:page" filled="f" stroked="f">
                <v:textbox inset="0,0,0,0">
                  <w:txbxContent>
                    <w:p>
                      <w:pPr>
                        <w:pStyle w:val="Style41"/>
                        <w:keepNext w:val="0"/>
                        <w:keepLines w:val="0"/>
                        <w:widowControl w:val="0"/>
                        <w:shd w:val="clear" w:color="auto" w:fill="auto"/>
                        <w:bidi w:val="0"/>
                        <w:spacing w:before="0" w:after="0" w:line="240" w:lineRule="auto"/>
                        <w:ind w:left="0" w:right="0" w:firstLine="0"/>
                        <w:jc w:val="left"/>
                      </w:pPr>
                      <w:r>
                        <w:rPr>
                          <w:color w:val="000000"/>
                          <w:spacing w:val="0"/>
                          <w:w w:val="100"/>
                          <w:position w:val="0"/>
                        </w:rPr>
                        <w:t>符合性证书</w:t>
                      </w:r>
                      <w:r>
                        <w:rPr>
                          <w:rFonts w:ascii="Times New Roman" w:eastAsia="Times New Roman" w:hAnsi="Times New Roman" w:cs="Times New Roman"/>
                          <w:color w:val="000000"/>
                          <w:spacing w:val="0"/>
                          <w:w w:val="100"/>
                          <w:position w:val="0"/>
                          <w:sz w:val="18"/>
                          <w:szCs w:val="18"/>
                        </w:rPr>
                        <w:t>ITSS</w:t>
                      </w:r>
                      <w:r>
                        <w:rPr>
                          <w:color w:val="000000"/>
                          <w:spacing w:val="0"/>
                          <w:w w:val="100"/>
                          <w:position w:val="0"/>
                        </w:rPr>
                        <w:t>二级、安防工程企业设计施工维护能力一级、</w:t>
                      </w:r>
                      <w:r>
                        <w:rPr>
                          <w:rFonts w:ascii="Times New Roman" w:eastAsia="Times New Roman" w:hAnsi="Times New Roman" w:cs="Times New Roman"/>
                          <w:color w:val="000000"/>
                          <w:spacing w:val="0"/>
                          <w:w w:val="100"/>
                          <w:position w:val="0"/>
                          <w:sz w:val="18"/>
                          <w:szCs w:val="18"/>
                        </w:rPr>
                        <w:t>DevOps</w:t>
                      </w:r>
                      <w:r>
                        <w:rPr>
                          <w:color w:val="000000"/>
                          <w:spacing w:val="0"/>
                          <w:w w:val="100"/>
                          <w:position w:val="0"/>
                        </w:rPr>
                        <w:t>能力成熟度模型</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级评估认证等多项资质。</w:t>
                      </w:r>
                    </w:p>
                  </w:txbxContent>
                </v:textbox>
                <w10:wrap type="topAndBottom" anchorx="page"/>
              </v:shape>
            </w:pict>
          </mc:Fallback>
        </mc:AlternateContent>
      </w:r>
      <w:r>
        <w:drawing>
          <wp:anchor distT="5882640" distB="177165" distL="18415" distR="0" simplePos="0" relativeHeight="125829469" behindDoc="0" locked="0" layoutInCell="1" allowOverlap="1">
            <wp:simplePos x="0" y="0"/>
            <wp:positionH relativeFrom="page">
              <wp:posOffset>1387475</wp:posOffset>
            </wp:positionH>
            <wp:positionV relativeFrom="paragraph">
              <wp:posOffset>5882640</wp:posOffset>
            </wp:positionV>
            <wp:extent cx="4736465" cy="2249170"/>
            <wp:wrapTopAndBottom/>
            <wp:docPr id="296" name="Shape 296"/>
            <a:graphic xmlns:a="http://schemas.openxmlformats.org/drawingml/2006/main">
              <a:graphicData uri="http://schemas.openxmlformats.org/drawingml/2006/picture">
                <pic:pic xmlns:pic="http://schemas.openxmlformats.org/drawingml/2006/picture">
                  <pic:nvPicPr>
                    <pic:cNvPr id="297" name="Picture box 297"/>
                    <pic:cNvPicPr/>
                  </pic:nvPicPr>
                  <pic:blipFill>
                    <a:blip r:embed="rId81"/>
                    <a:stretch/>
                  </pic:blipFill>
                  <pic:spPr>
                    <a:xfrm>
                      <a:ext cx="4736465" cy="2249170"/>
                    </a:xfrm>
                    <a:prstGeom prst="rect"/>
                  </pic:spPr>
                </pic:pic>
              </a:graphicData>
            </a:graphic>
          </wp:anchor>
        </w:drawing>
      </w:r>
      <w:r>
        <mc:AlternateContent>
          <mc:Choice Requires="wps">
            <w:drawing>
              <wp:anchor distT="0" distB="0" distL="0" distR="0" simplePos="0" relativeHeight="503316556" behindDoc="0" locked="0" layoutInCell="1" allowOverlap="1">
                <wp:simplePos x="0" y="0"/>
                <wp:positionH relativeFrom="page">
                  <wp:posOffset>1369060</wp:posOffset>
                </wp:positionH>
                <wp:positionV relativeFrom="paragraph">
                  <wp:posOffset>5779135</wp:posOffset>
                </wp:positionV>
                <wp:extent cx="198120" cy="128270"/>
                <wp:wrapNone/>
                <wp:docPr id="298" name="Shape 298"/>
                <a:graphic xmlns:a="http://schemas.openxmlformats.org/drawingml/2006/main">
                  <a:graphicData uri="http://schemas.microsoft.com/office/word/2010/wordprocessingShape">
                    <wps:wsp>
                      <wps:cNvSpPr txBox="1"/>
                      <wps:spPr>
                        <a:xfrm>
                          <a:ext cx="198120" cy="12827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797777"/>
                                <w:spacing w:val="0"/>
                                <w:w w:val="100"/>
                                <w:position w:val="0"/>
                                <w:sz w:val="16"/>
                                <w:szCs w:val="16"/>
                              </w:rPr>
                              <w:t>200</w:t>
                            </w:r>
                          </w:p>
                        </w:txbxContent>
                      </wps:txbx>
                      <wps:bodyPr lIns="0" tIns="0" rIns="0" bIns="0">
                        <a:noAutoFit/>
                      </wps:bodyPr>
                    </wps:wsp>
                  </a:graphicData>
                </a:graphic>
              </wp:anchor>
            </w:drawing>
          </mc:Choice>
          <mc:Fallback>
            <w:pict>
              <v:shape id="_x0000_s1324" type="#_x0000_t202" style="position:absolute;margin-left:107.8pt;margin-top:455.05000000000001pt;width:15.6pt;height:10.1pt;z-index:251657803;mso-wrap-distance-left:0;mso-wrap-distance-right:0;mso-position-horizontal-relative:page" filled="f" stroked="f">
                <v:textbox inset="0,0,0,0">
                  <w:txbxContent>
                    <w:p>
                      <w:pPr>
                        <w:pStyle w:val="Style65"/>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797777"/>
                          <w:spacing w:val="0"/>
                          <w:w w:val="100"/>
                          <w:position w:val="0"/>
                          <w:sz w:val="16"/>
                          <w:szCs w:val="16"/>
                        </w:rPr>
                        <w:t>200</w:t>
                      </w:r>
                    </w:p>
                  </w:txbxContent>
                </v:textbox>
                <w10:wrap anchorx="page"/>
              </v:shape>
            </w:pict>
          </mc:Fallback>
        </mc:AlternateContent>
      </w:r>
    </w:p>
    <w:p>
      <w:pPr>
        <w:pStyle w:val="Style41"/>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1904" w:h="17375"/>
          <w:pgMar w:top="1828" w:right="1104" w:bottom="1828" w:left="1114" w:header="0" w:footer="3" w:gutter="0"/>
          <w:cols w:space="720"/>
          <w:noEndnote/>
          <w:rtlGutter w:val="0"/>
          <w:docGrid w:linePitch="360"/>
        </w:sectPr>
      </w:pPr>
      <w:r>
        <w:rPr>
          <w:b/>
          <w:bCs/>
          <w:color w:val="000000"/>
          <w:spacing w:val="0"/>
          <w:w w:val="100"/>
          <w:position w:val="0"/>
        </w:rPr>
        <w:t>（近三年公司新申请知识产权同比分析图）</w:t>
      </w:r>
    </w:p>
    <w:p>
      <w:pPr>
        <w:pStyle w:val="Style41"/>
        <w:keepNext w:val="0"/>
        <w:keepLines w:val="0"/>
        <w:widowControl w:val="0"/>
        <w:shd w:val="clear" w:color="auto" w:fill="auto"/>
        <w:bidi w:val="0"/>
        <w:spacing w:before="0" w:after="740" w:line="473" w:lineRule="exact"/>
        <w:ind w:left="0" w:right="0"/>
        <w:jc w:val="both"/>
      </w:pPr>
      <w:r>
        <w:rPr>
          <w:color w:val="000000"/>
          <w:spacing w:val="0"/>
          <w:w w:val="100"/>
          <w:position w:val="0"/>
        </w:rPr>
        <w:t>截至</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日，公司已申请专利</w:t>
      </w:r>
      <w:r>
        <w:rPr>
          <w:rFonts w:ascii="Times New Roman" w:eastAsia="Times New Roman" w:hAnsi="Times New Roman" w:cs="Times New Roman"/>
          <w:color w:val="000000"/>
          <w:spacing w:val="0"/>
          <w:w w:val="100"/>
          <w:position w:val="0"/>
          <w:sz w:val="18"/>
          <w:szCs w:val="18"/>
        </w:rPr>
        <w:t>1,443</w:t>
      </w:r>
      <w:r>
        <w:rPr>
          <w:color w:val="000000"/>
          <w:spacing w:val="0"/>
          <w:w w:val="100"/>
          <w:position w:val="0"/>
        </w:rPr>
        <w:t>项，授权专利</w:t>
      </w:r>
      <w:r>
        <w:rPr>
          <w:rFonts w:ascii="Times New Roman" w:eastAsia="Times New Roman" w:hAnsi="Times New Roman" w:cs="Times New Roman"/>
          <w:color w:val="000000"/>
          <w:spacing w:val="0"/>
          <w:w w:val="100"/>
          <w:position w:val="0"/>
          <w:sz w:val="18"/>
          <w:szCs w:val="18"/>
        </w:rPr>
        <w:t>797</w:t>
      </w:r>
      <w:r>
        <w:rPr>
          <w:color w:val="000000"/>
          <w:spacing w:val="0"/>
          <w:w w:val="100"/>
          <w:position w:val="0"/>
        </w:rPr>
        <w:t>项；申请软件著作权</w:t>
      </w:r>
      <w:r>
        <w:rPr>
          <w:rFonts w:ascii="Times New Roman" w:eastAsia="Times New Roman" w:hAnsi="Times New Roman" w:cs="Times New Roman"/>
          <w:color w:val="000000"/>
          <w:spacing w:val="0"/>
          <w:w w:val="100"/>
          <w:position w:val="0"/>
          <w:sz w:val="18"/>
          <w:szCs w:val="18"/>
        </w:rPr>
        <w:t>1,609</w:t>
      </w:r>
      <w:r>
        <w:rPr>
          <w:color w:val="000000"/>
          <w:spacing w:val="0"/>
          <w:w w:val="100"/>
          <w:position w:val="0"/>
        </w:rPr>
        <w:t>项，注册商标</w:t>
      </w:r>
      <w:r>
        <w:rPr>
          <w:rFonts w:ascii="Times New Roman" w:eastAsia="Times New Roman" w:hAnsi="Times New Roman" w:cs="Times New Roman"/>
          <w:color w:val="000000"/>
          <w:spacing w:val="0"/>
          <w:w w:val="100"/>
          <w:position w:val="0"/>
          <w:sz w:val="18"/>
          <w:szCs w:val="18"/>
        </w:rPr>
        <w:t>237</w:t>
      </w:r>
      <w:r>
        <w:rPr>
          <w:color w:val="000000"/>
          <w:spacing w:val="0"/>
          <w:w w:val="100"/>
          <w:position w:val="0"/>
        </w:rPr>
        <w:t>项。</w:t>
      </w:r>
      <w:r>
        <w:rPr>
          <w:rFonts w:ascii="Times New Roman" w:eastAsia="Times New Roman" w:hAnsi="Times New Roman" w:cs="Times New Roman"/>
          <w:color w:val="000000"/>
          <w:spacing w:val="0"/>
          <w:w w:val="100"/>
          <w:position w:val="0"/>
          <w:sz w:val="18"/>
          <w:szCs w:val="18"/>
        </w:rPr>
        <w:t xml:space="preserve">2020 </w:t>
      </w:r>
      <w:r>
        <w:rPr>
          <w:color w:val="000000"/>
          <w:spacing w:val="0"/>
          <w:w w:val="100"/>
          <w:position w:val="0"/>
        </w:rPr>
        <w:t>年申请专利</w:t>
      </w:r>
      <w:r>
        <w:rPr>
          <w:rFonts w:ascii="Times New Roman" w:eastAsia="Times New Roman" w:hAnsi="Times New Roman" w:cs="Times New Roman"/>
          <w:color w:val="000000"/>
          <w:spacing w:val="0"/>
          <w:w w:val="100"/>
          <w:position w:val="0"/>
          <w:sz w:val="18"/>
          <w:szCs w:val="18"/>
        </w:rPr>
        <w:t>101</w:t>
      </w:r>
      <w:r>
        <w:rPr>
          <w:color w:val="000000"/>
          <w:spacing w:val="0"/>
          <w:w w:val="100"/>
          <w:position w:val="0"/>
        </w:rPr>
        <w:t>项，授权专利</w:t>
      </w:r>
      <w:r>
        <w:rPr>
          <w:rFonts w:ascii="Times New Roman" w:eastAsia="Times New Roman" w:hAnsi="Times New Roman" w:cs="Times New Roman"/>
          <w:color w:val="000000"/>
          <w:spacing w:val="0"/>
          <w:w w:val="100"/>
          <w:position w:val="0"/>
          <w:sz w:val="18"/>
          <w:szCs w:val="18"/>
        </w:rPr>
        <w:t>87</w:t>
      </w:r>
      <w:r>
        <w:rPr>
          <w:color w:val="000000"/>
          <w:spacing w:val="0"/>
          <w:w w:val="100"/>
          <w:position w:val="0"/>
        </w:rPr>
        <w:t>项；申请软件著作权</w:t>
      </w:r>
      <w:r>
        <w:rPr>
          <w:rFonts w:ascii="Times New Roman" w:eastAsia="Times New Roman" w:hAnsi="Times New Roman" w:cs="Times New Roman"/>
          <w:color w:val="000000"/>
          <w:spacing w:val="0"/>
          <w:w w:val="100"/>
          <w:position w:val="0"/>
          <w:sz w:val="18"/>
          <w:szCs w:val="18"/>
        </w:rPr>
        <w:t>131</w:t>
      </w:r>
      <w:r>
        <w:rPr>
          <w:color w:val="000000"/>
          <w:spacing w:val="0"/>
          <w:w w:val="100"/>
          <w:position w:val="0"/>
        </w:rPr>
        <w:t>项，注册商标</w:t>
      </w:r>
      <w:r>
        <w:rPr>
          <w:rFonts w:ascii="Times New Roman" w:eastAsia="Times New Roman" w:hAnsi="Times New Roman" w:cs="Times New Roman"/>
          <w:color w:val="000000"/>
          <w:spacing w:val="0"/>
          <w:w w:val="100"/>
          <w:position w:val="0"/>
          <w:sz w:val="18"/>
          <w:szCs w:val="18"/>
        </w:rPr>
        <w:t>32</w:t>
      </w:r>
      <w:r>
        <w:rPr>
          <w:color w:val="000000"/>
          <w:spacing w:val="0"/>
          <w:w w:val="100"/>
          <w:position w:val="0"/>
        </w:rPr>
        <w:t>项。公司的软件著作权及专利规模，充分体现了 公司的技术创新能力、研发实力、拓展能力、企业经营能力，成为企业长期持续健康发展的有力支撑。</w:t>
      </w:r>
    </w:p>
    <w:p>
      <w:pPr>
        <w:pStyle w:val="Style41"/>
        <w:keepNext w:val="0"/>
        <w:keepLines w:val="0"/>
        <w:widowControl w:val="0"/>
        <w:shd w:val="clear" w:color="auto" w:fill="auto"/>
        <w:bidi w:val="0"/>
        <w:spacing w:before="0" w:after="0" w:line="547" w:lineRule="auto"/>
        <w:ind w:left="0" w:right="0"/>
        <w:jc w:val="both"/>
        <w:rPr>
          <w:sz w:val="18"/>
          <w:szCs w:val="18"/>
        </w:rPr>
      </w:pPr>
      <w:bookmarkStart w:id="148" w:name="bookmark148"/>
      <w:r>
        <w:rPr>
          <w:rFonts w:ascii="Times New Roman" w:eastAsia="Times New Roman" w:hAnsi="Times New Roman" w:cs="Times New Roman"/>
          <w:b/>
          <w:bCs/>
          <w:i/>
          <w:iCs/>
          <w:color w:val="000000"/>
          <w:spacing w:val="0"/>
          <w:w w:val="100"/>
          <w:position w:val="0"/>
          <w:sz w:val="18"/>
          <w:szCs w:val="18"/>
          <w:u w:val="single"/>
        </w:rPr>
        <w:t>2</w:t>
      </w:r>
      <w:bookmarkEnd w:id="148"/>
      <w:r>
        <w:rPr>
          <w:b/>
          <w:bCs/>
          <w:i/>
          <w:iCs/>
          <w:color w:val="000000"/>
          <w:spacing w:val="0"/>
          <w:w w:val="100"/>
          <w:position w:val="0"/>
          <w:sz w:val="18"/>
          <w:szCs w:val="18"/>
          <w:u w:val="single"/>
        </w:rPr>
        <w:t>、信息技术创新能力</w:t>
      </w:r>
    </w:p>
    <w:p>
      <w:pPr>
        <w:pStyle w:val="Style41"/>
        <w:keepNext w:val="0"/>
        <w:keepLines w:val="0"/>
        <w:widowControl w:val="0"/>
        <w:shd w:val="clear" w:color="auto" w:fill="auto"/>
        <w:bidi w:val="0"/>
        <w:spacing w:before="0" w:after="0" w:line="471" w:lineRule="exact"/>
        <w:ind w:left="0" w:right="0"/>
        <w:jc w:val="both"/>
      </w:pPr>
      <w:r>
        <w:rPr>
          <w:color w:val="000000"/>
          <w:spacing w:val="0"/>
          <w:w w:val="100"/>
          <w:position w:val="0"/>
        </w:rPr>
        <w:t>公司秉持以创新驱动未来发展的理念，始终坚持科技创新与自主研发，持续为企业注入更多内涵与动力。在信息产业日 新月异的时代，公司不断探索，追寻最新的科技进步潮流，不断寻找新的业绩增长点积极转型，大力度投入基础研究和行业 创新，报告期内：</w:t>
      </w:r>
    </w:p>
    <w:p>
      <w:pPr>
        <w:pStyle w:val="Style2"/>
        <w:keepNext w:val="0"/>
        <w:keepLines w:val="0"/>
        <w:widowControl w:val="0"/>
        <w:shd w:val="clear" w:color="auto" w:fill="auto"/>
        <w:tabs>
          <w:tab w:pos="668" w:val="left"/>
        </w:tabs>
        <w:bidi w:val="0"/>
        <w:spacing w:before="0" w:after="0" w:line="471" w:lineRule="exact"/>
        <w:ind w:left="0" w:right="0"/>
        <w:jc w:val="both"/>
      </w:pPr>
      <w:bookmarkStart w:id="149" w:name="bookmark149"/>
      <w:r>
        <w:rPr>
          <w:rFonts w:ascii="Times New Roman" w:eastAsia="Times New Roman" w:hAnsi="Times New Roman" w:cs="Times New Roman"/>
          <w:b/>
          <w:bCs/>
          <w:color w:val="000000"/>
          <w:spacing w:val="0"/>
          <w:w w:val="100"/>
          <w:position w:val="0"/>
          <w:sz w:val="18"/>
          <w:szCs w:val="18"/>
        </w:rPr>
        <w:t>1</w:t>
      </w:r>
      <w:bookmarkEnd w:id="149"/>
      <w:r>
        <w:rPr>
          <w:b/>
          <w:bCs/>
          <w:color w:val="000000"/>
          <w:spacing w:val="0"/>
          <w:w w:val="100"/>
          <w:position w:val="0"/>
        </w:rPr>
        <w:t>）</w:t>
        <w:tab/>
        <w:t>算法研究成果发布</w:t>
      </w:r>
      <w:r>
        <w:rPr>
          <w:color w:val="000000"/>
          <w:spacing w:val="0"/>
          <w:w w:val="100"/>
          <w:position w:val="0"/>
        </w:rPr>
        <w:t>，公司与北京师范大学联合实验室发布的</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Diachronic Sense Modeling with Deep Contextualized Word Embeddings: An Ecological View</w:t>
      </w:r>
      <w:r>
        <w:rPr>
          <w:color w:val="000000"/>
          <w:spacing w:val="0"/>
          <w:w w:val="100"/>
          <w:position w:val="0"/>
        </w:rPr>
        <w:t>》被自然语言处理领域顶级会议</w:t>
      </w:r>
      <w:r>
        <w:rPr>
          <w:rFonts w:ascii="Times New Roman" w:eastAsia="Times New Roman" w:hAnsi="Times New Roman" w:cs="Times New Roman"/>
          <w:color w:val="000000"/>
          <w:spacing w:val="0"/>
          <w:w w:val="100"/>
          <w:position w:val="0"/>
          <w:sz w:val="18"/>
          <w:szCs w:val="18"/>
        </w:rPr>
        <w:t>ACL</w:t>
      </w:r>
      <w:r>
        <w:rPr>
          <w:color w:val="000000"/>
          <w:spacing w:val="0"/>
          <w:w w:val="100"/>
          <w:position w:val="0"/>
        </w:rPr>
        <w:t>录用；公司在语义和深度学习结合的研究成果</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A distant supervision method based on paradigmatic relations for learning word embeddings</w:t>
      </w:r>
      <w:r>
        <w:rPr>
          <w:color w:val="000000"/>
          <w:spacing w:val="0"/>
          <w:w w:val="100"/>
          <w:position w:val="0"/>
        </w:rPr>
        <w:t xml:space="preserve">》被 </w:t>
      </w:r>
      <w:r>
        <w:rPr>
          <w:rFonts w:ascii="Times New Roman" w:eastAsia="Times New Roman" w:hAnsi="Times New Roman" w:cs="Times New Roman"/>
          <w:color w:val="000000"/>
          <w:spacing w:val="0"/>
          <w:w w:val="100"/>
          <w:position w:val="0"/>
          <w:sz w:val="18"/>
          <w:szCs w:val="18"/>
        </w:rPr>
        <w:t xml:space="preserve">SCI </w:t>
      </w:r>
      <w:r>
        <w:rPr>
          <w:color w:val="000000"/>
          <w:spacing w:val="0"/>
          <w:w w:val="100"/>
          <w:position w:val="0"/>
        </w:rPr>
        <w:t>期刊发表。公司的核心研究成果纷纷 被国际顶级学术会议、期刊收录，标志着公司场景化</w:t>
      </w:r>
      <w:r>
        <w:rPr>
          <w:rFonts w:ascii="Times New Roman" w:eastAsia="Times New Roman" w:hAnsi="Times New Roman" w:cs="Times New Roman"/>
          <w:color w:val="000000"/>
          <w:spacing w:val="0"/>
          <w:w w:val="100"/>
          <w:position w:val="0"/>
          <w:sz w:val="18"/>
          <w:szCs w:val="18"/>
        </w:rPr>
        <w:t>NLP</w:t>
      </w:r>
      <w:r>
        <w:rPr>
          <w:color w:val="000000"/>
          <w:spacing w:val="0"/>
          <w:w w:val="100"/>
          <w:position w:val="0"/>
        </w:rPr>
        <w:t>认知技术得到了国际同行专家认可。</w:t>
      </w:r>
    </w:p>
    <w:p>
      <w:pPr>
        <w:pStyle w:val="Style41"/>
        <w:keepNext w:val="0"/>
        <w:keepLines w:val="0"/>
        <w:widowControl w:val="0"/>
        <w:shd w:val="clear" w:color="auto" w:fill="auto"/>
        <w:bidi w:val="0"/>
        <w:spacing w:before="0" w:after="240" w:line="471" w:lineRule="exact"/>
        <w:ind w:left="0" w:right="0"/>
        <w:jc w:val="both"/>
      </w:pPr>
      <w:r>
        <w:rPr>
          <w:color w:val="000000"/>
          <w:spacing w:val="0"/>
          <w:w w:val="100"/>
          <w:position w:val="0"/>
        </w:rPr>
        <w:t>由神州泰岳</w:t>
      </w:r>
      <w:r>
        <w:rPr>
          <w:rFonts w:ascii="Times New Roman" w:eastAsia="Times New Roman" w:hAnsi="Times New Roman" w:cs="Times New Roman"/>
          <w:color w:val="000000"/>
          <w:spacing w:val="0"/>
          <w:w w:val="100"/>
          <w:position w:val="0"/>
          <w:sz w:val="18"/>
          <w:szCs w:val="18"/>
        </w:rPr>
        <w:t>AI</w:t>
      </w:r>
      <w:r>
        <w:rPr>
          <w:color w:val="000000"/>
          <w:spacing w:val="0"/>
          <w:w w:val="100"/>
          <w:position w:val="0"/>
        </w:rPr>
        <w:t>研究院与中科院深圳先进技术研究院合作推出的</w:t>
      </w:r>
      <w:r>
        <w:rPr>
          <w:rFonts w:ascii="Times New Roman" w:eastAsia="Times New Roman" w:hAnsi="Times New Roman" w:cs="Times New Roman"/>
          <w:color w:val="000000"/>
          <w:spacing w:val="0"/>
          <w:w w:val="100"/>
          <w:position w:val="0"/>
          <w:sz w:val="18"/>
          <w:szCs w:val="18"/>
        </w:rPr>
        <w:t>BERT-EMD</w:t>
      </w:r>
      <w:r>
        <w:rPr>
          <w:color w:val="000000"/>
          <w:spacing w:val="0"/>
          <w:w w:val="100"/>
          <w:position w:val="0"/>
        </w:rPr>
        <w:t>，</w:t>
      </w:r>
      <w:r>
        <w:rPr>
          <w:color w:val="000000"/>
          <w:spacing w:val="0"/>
          <w:w w:val="100"/>
          <w:position w:val="0"/>
        </w:rPr>
        <w:t>相较于以前工作蒸馏</w:t>
      </w:r>
      <w:r>
        <w:rPr>
          <w:rFonts w:ascii="Times New Roman" w:eastAsia="Times New Roman" w:hAnsi="Times New Roman" w:cs="Times New Roman"/>
          <w:color w:val="000000"/>
          <w:spacing w:val="0"/>
          <w:w w:val="100"/>
          <w:position w:val="0"/>
          <w:sz w:val="18"/>
          <w:szCs w:val="18"/>
        </w:rPr>
        <w:t>BERT</w:t>
      </w:r>
      <w:r>
        <w:rPr>
          <w:color w:val="000000"/>
          <w:spacing w:val="0"/>
          <w:w w:val="100"/>
          <w:position w:val="0"/>
        </w:rPr>
        <w:t>的方式，有效 地解决了人工指定蒸馏学习层次对应关系的弊端，有关论文已被自然语言处理</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NLP</w:t>
      </w:r>
      <w:r>
        <w:rPr>
          <w:color w:val="000000"/>
          <w:spacing w:val="0"/>
          <w:w w:val="100"/>
          <w:position w:val="0"/>
        </w:rPr>
        <w:t>）</w:t>
      </w:r>
      <w:r>
        <w:rPr>
          <w:color w:val="000000"/>
          <w:spacing w:val="0"/>
          <w:w w:val="100"/>
          <w:position w:val="0"/>
        </w:rPr>
        <w:t>方向的国际学术会议</w:t>
      </w:r>
      <w:r>
        <w:rPr>
          <w:rFonts w:ascii="Times New Roman" w:eastAsia="Times New Roman" w:hAnsi="Times New Roman" w:cs="Times New Roman"/>
          <w:color w:val="000000"/>
          <w:spacing w:val="0"/>
          <w:w w:val="100"/>
          <w:position w:val="0"/>
          <w:sz w:val="18"/>
          <w:szCs w:val="18"/>
        </w:rPr>
        <w:t xml:space="preserve">EMNLP </w:t>
      </w:r>
      <w:r>
        <w:rPr>
          <w:rFonts w:ascii="Times New Roman" w:eastAsia="Times New Roman" w:hAnsi="Times New Roman" w:cs="Times New Roman"/>
          <w:color w:val="000000"/>
          <w:spacing w:val="0"/>
          <w:w w:val="100"/>
          <w:position w:val="0"/>
          <w:sz w:val="18"/>
          <w:szCs w:val="18"/>
        </w:rPr>
        <w:t xml:space="preserve">2020 </w:t>
      </w:r>
      <w:r>
        <w:rPr>
          <w:color w:val="000000"/>
          <w:spacing w:val="0"/>
          <w:w w:val="100"/>
          <w:position w:val="0"/>
        </w:rPr>
        <w:t>收录。</w:t>
      </w:r>
    </w:p>
    <w:p>
      <w:pPr>
        <w:pStyle w:val="Style41"/>
        <w:keepNext w:val="0"/>
        <w:keepLines w:val="0"/>
        <w:widowControl w:val="0"/>
        <w:shd w:val="clear" w:color="auto" w:fill="auto"/>
        <w:tabs>
          <w:tab w:pos="688" w:val="left"/>
        </w:tabs>
        <w:bidi w:val="0"/>
        <w:spacing w:before="0" w:after="0" w:line="547" w:lineRule="auto"/>
        <w:ind w:left="0" w:right="0"/>
        <w:jc w:val="both"/>
      </w:pPr>
      <w:bookmarkStart w:id="150" w:name="bookmark150"/>
      <w:r>
        <w:rPr>
          <w:rFonts w:ascii="Times New Roman" w:eastAsia="Times New Roman" w:hAnsi="Times New Roman" w:cs="Times New Roman"/>
          <w:b/>
          <w:bCs/>
          <w:color w:val="000000"/>
          <w:spacing w:val="0"/>
          <w:w w:val="100"/>
          <w:position w:val="0"/>
          <w:sz w:val="18"/>
          <w:szCs w:val="18"/>
        </w:rPr>
        <w:t>2</w:t>
      </w:r>
      <w:bookmarkEnd w:id="150"/>
      <w:r>
        <w:rPr>
          <w:b/>
          <w:bCs/>
          <w:color w:val="000000"/>
          <w:spacing w:val="0"/>
          <w:w w:val="100"/>
          <w:position w:val="0"/>
        </w:rPr>
        <w:t>）</w:t>
        <w:tab/>
        <w:t>积极开发新型的</w:t>
      </w:r>
      <w:r>
        <w:rPr>
          <w:rFonts w:ascii="Times New Roman" w:eastAsia="Times New Roman" w:hAnsi="Times New Roman" w:cs="Times New Roman"/>
          <w:b/>
          <w:bCs/>
          <w:color w:val="000000"/>
          <w:spacing w:val="0"/>
          <w:w w:val="100"/>
          <w:position w:val="0"/>
          <w:sz w:val="18"/>
          <w:szCs w:val="18"/>
        </w:rPr>
        <w:t>Nu-Comm</w:t>
      </w:r>
      <w:r>
        <w:rPr>
          <w:b/>
          <w:bCs/>
          <w:color w:val="000000"/>
          <w:spacing w:val="0"/>
          <w:w w:val="100"/>
          <w:position w:val="0"/>
        </w:rPr>
        <w:t>微基站设备</w:t>
      </w:r>
    </w:p>
    <w:p>
      <w:pPr>
        <w:pStyle w:val="Style41"/>
        <w:keepNext w:val="0"/>
        <w:keepLines w:val="0"/>
        <w:widowControl w:val="0"/>
        <w:shd w:val="clear" w:color="auto" w:fill="auto"/>
        <w:bidi w:val="0"/>
        <w:spacing w:before="0" w:after="0" w:line="471" w:lineRule="exact"/>
        <w:ind w:left="0" w:right="0"/>
        <w:jc w:val="both"/>
      </w:pPr>
      <w:r>
        <w:rPr>
          <w:color w:val="000000"/>
          <w:spacing w:val="0"/>
          <w:w w:val="100"/>
          <w:position w:val="0"/>
        </w:rPr>
        <w:t>针对核电站内存在的核辐射区域，开发新型的</w:t>
      </w:r>
      <w:r>
        <w:rPr>
          <w:rFonts w:ascii="Times New Roman" w:eastAsia="Times New Roman" w:hAnsi="Times New Roman" w:cs="Times New Roman"/>
          <w:color w:val="000000"/>
          <w:spacing w:val="0"/>
          <w:w w:val="100"/>
          <w:position w:val="0"/>
          <w:sz w:val="18"/>
          <w:szCs w:val="18"/>
        </w:rPr>
        <w:t>Nu-Comm</w:t>
      </w:r>
      <w:r>
        <w:rPr>
          <w:color w:val="000000"/>
          <w:spacing w:val="0"/>
          <w:w w:val="100"/>
          <w:position w:val="0"/>
        </w:rPr>
        <w:t>微基站设备，对电路和外壳进行特殊的防护设计，目标满足核 电站辐射橙区的耐辐照指标要求，并做辐射剂量的冗余设计，此项技术完成后，将填补核电站内辐射区信号覆盖的难题，将 建立核电站及其他核设施内的高速无线数据通道和窄带物联网数据通道，为真正实现智能化核电运营，提供数据传输保障。</w:t>
      </w:r>
    </w:p>
    <w:p>
      <w:pPr>
        <w:pStyle w:val="Style41"/>
        <w:keepNext w:val="0"/>
        <w:keepLines w:val="0"/>
        <w:widowControl w:val="0"/>
        <w:shd w:val="clear" w:color="auto" w:fill="auto"/>
        <w:tabs>
          <w:tab w:pos="688" w:val="left"/>
        </w:tabs>
        <w:bidi w:val="0"/>
        <w:spacing w:before="0" w:after="0" w:line="471" w:lineRule="exact"/>
        <w:ind w:left="0" w:right="0"/>
        <w:jc w:val="both"/>
      </w:pPr>
      <w:bookmarkStart w:id="151" w:name="bookmark151"/>
      <w:r>
        <w:rPr>
          <w:rFonts w:ascii="Times New Roman" w:eastAsia="Times New Roman" w:hAnsi="Times New Roman" w:cs="Times New Roman"/>
          <w:b/>
          <w:bCs/>
          <w:color w:val="000000"/>
          <w:spacing w:val="0"/>
          <w:w w:val="100"/>
          <w:position w:val="0"/>
          <w:sz w:val="18"/>
          <w:szCs w:val="18"/>
        </w:rPr>
        <w:t>3</w:t>
      </w:r>
      <w:bookmarkEnd w:id="151"/>
      <w:r>
        <w:rPr>
          <w:b/>
          <w:bCs/>
          <w:color w:val="000000"/>
          <w:spacing w:val="0"/>
          <w:w w:val="100"/>
          <w:position w:val="0"/>
        </w:rPr>
        <w:t>）</w:t>
        <w:tab/>
        <w:t>研发新一代智慧墙产品</w:t>
      </w:r>
    </w:p>
    <w:p>
      <w:pPr>
        <w:pStyle w:val="Style41"/>
        <w:keepNext w:val="0"/>
        <w:keepLines w:val="0"/>
        <w:widowControl w:val="0"/>
        <w:shd w:val="clear" w:color="auto" w:fill="auto"/>
        <w:bidi w:val="0"/>
        <w:spacing w:before="0" w:after="0" w:line="471" w:lineRule="exact"/>
        <w:ind w:left="0" w:right="0"/>
        <w:jc w:val="both"/>
      </w:pPr>
      <w:r>
        <w:rPr>
          <w:color w:val="000000"/>
          <w:spacing w:val="0"/>
          <w:w w:val="100"/>
          <w:position w:val="0"/>
        </w:rPr>
        <w:t>公司智慧墙周界安防产品，应用自主研发的智慧线和具备深度学习能力的人工智能算法，实现高复杂野外场景中高准确 度的入侵报警，实际使用效果得到了各行业客户的广泛认可。为了满足超长距离的周界安防场景需求，公司研发新一代的智 慧墙产品，通过技术升级解决远距离供电、传输等问题，并提供更加便捷的维护手段，以满足百公里至千公里级的超级周界 安防需求。</w:t>
      </w:r>
    </w:p>
    <w:p>
      <w:pPr>
        <w:pStyle w:val="Style41"/>
        <w:keepNext w:val="0"/>
        <w:keepLines w:val="0"/>
        <w:widowControl w:val="0"/>
        <w:shd w:val="clear" w:color="auto" w:fill="auto"/>
        <w:tabs>
          <w:tab w:pos="688" w:val="left"/>
        </w:tabs>
        <w:bidi w:val="0"/>
        <w:spacing w:before="0" w:after="0" w:line="471" w:lineRule="exact"/>
        <w:ind w:left="0" w:right="0"/>
        <w:jc w:val="both"/>
      </w:pPr>
      <w:bookmarkStart w:id="152" w:name="bookmark152"/>
      <w:r>
        <w:rPr>
          <w:rFonts w:ascii="Times New Roman" w:eastAsia="Times New Roman" w:hAnsi="Times New Roman" w:cs="Times New Roman"/>
          <w:b/>
          <w:bCs/>
          <w:color w:val="000000"/>
          <w:spacing w:val="0"/>
          <w:w w:val="100"/>
          <w:position w:val="0"/>
          <w:sz w:val="18"/>
          <w:szCs w:val="18"/>
        </w:rPr>
        <w:t>4</w:t>
      </w:r>
      <w:bookmarkEnd w:id="152"/>
      <w:r>
        <w:rPr>
          <w:b/>
          <w:bCs/>
          <w:color w:val="000000"/>
          <w:spacing w:val="0"/>
          <w:w w:val="100"/>
          <w:position w:val="0"/>
        </w:rPr>
        <w:t>）</w:t>
        <w:tab/>
        <w:t>全新的角色剧情表现系统</w:t>
      </w:r>
    </w:p>
    <w:p>
      <w:pPr>
        <w:pStyle w:val="Style41"/>
        <w:keepNext w:val="0"/>
        <w:keepLines w:val="0"/>
        <w:widowControl w:val="0"/>
        <w:shd w:val="clear" w:color="auto" w:fill="auto"/>
        <w:bidi w:val="0"/>
        <w:spacing w:before="0" w:after="120" w:line="471" w:lineRule="exact"/>
        <w:ind w:left="0" w:right="0"/>
        <w:jc w:val="both"/>
        <w:sectPr>
          <w:headerReference w:type="default" r:id="rId83"/>
          <w:footerReference w:type="default" r:id="rId84"/>
          <w:headerReference w:type="even" r:id="rId85"/>
          <w:footerReference w:type="even" r:id="rId86"/>
          <w:footnotePr>
            <w:pos w:val="pageBottom"/>
            <w:numFmt w:val="decimal"/>
            <w:numRestart w:val="continuous"/>
          </w:footnotePr>
          <w:pgSz w:w="11904" w:h="17375"/>
          <w:pgMar w:top="1862" w:right="1032" w:bottom="1728" w:left="1104" w:header="0" w:footer="3" w:gutter="0"/>
          <w:cols w:space="720"/>
          <w:noEndnote/>
          <w:rtlGutter w:val="0"/>
          <w:docGrid w:linePitch="360"/>
        </w:sectPr>
      </w:pPr>
      <w:r>
        <w:rPr>
          <w:color w:val="000000"/>
          <w:spacing w:val="0"/>
          <w:w w:val="100"/>
          <w:position w:val="0"/>
        </w:rPr>
        <w:t>公司游戏团队基于</w:t>
      </w:r>
      <w:r>
        <w:rPr>
          <w:rFonts w:ascii="Times New Roman" w:eastAsia="Times New Roman" w:hAnsi="Times New Roman" w:cs="Times New Roman"/>
          <w:color w:val="000000"/>
          <w:spacing w:val="0"/>
          <w:w w:val="100"/>
          <w:position w:val="0"/>
          <w:sz w:val="18"/>
          <w:szCs w:val="18"/>
        </w:rPr>
        <w:t>Unity</w:t>
      </w:r>
      <w:r>
        <w:rPr>
          <w:color w:val="000000"/>
          <w:spacing w:val="0"/>
          <w:w w:val="100"/>
          <w:position w:val="0"/>
        </w:rPr>
        <w:t>等商业引擎和美术工具打造一流的</w:t>
      </w:r>
      <w:r>
        <w:rPr>
          <w:rFonts w:ascii="Times New Roman" w:eastAsia="Times New Roman" w:hAnsi="Times New Roman" w:cs="Times New Roman"/>
          <w:color w:val="000000"/>
          <w:spacing w:val="0"/>
          <w:w w:val="100"/>
          <w:position w:val="0"/>
          <w:sz w:val="18"/>
          <w:szCs w:val="18"/>
        </w:rPr>
        <w:t>3D</w:t>
      </w:r>
      <w:r>
        <w:rPr>
          <w:color w:val="000000"/>
          <w:spacing w:val="0"/>
          <w:w w:val="100"/>
          <w:position w:val="0"/>
        </w:rPr>
        <w:t>手游，通过优化底层渲染管线、结合多核并行计算的移 动硬件优势，在大规模战斗的场景表现、全立体大世界场景、后处理效果、</w:t>
      </w:r>
      <w:r>
        <w:rPr>
          <w:rFonts w:ascii="Times New Roman" w:eastAsia="Times New Roman" w:hAnsi="Times New Roman" w:cs="Times New Roman"/>
          <w:color w:val="000000"/>
          <w:spacing w:val="0"/>
          <w:w w:val="100"/>
          <w:position w:val="0"/>
          <w:sz w:val="18"/>
          <w:szCs w:val="18"/>
        </w:rPr>
        <w:t>GPU</w:t>
      </w:r>
      <w:r>
        <w:rPr>
          <w:color w:val="000000"/>
          <w:spacing w:val="0"/>
          <w:w w:val="100"/>
          <w:position w:val="0"/>
        </w:rPr>
        <w:t>计算、无缝热更、</w:t>
      </w:r>
      <w:r>
        <w:rPr>
          <w:rFonts w:ascii="Times New Roman" w:eastAsia="Times New Roman" w:hAnsi="Times New Roman" w:cs="Times New Roman"/>
          <w:color w:val="000000"/>
          <w:spacing w:val="0"/>
          <w:w w:val="100"/>
          <w:position w:val="0"/>
          <w:sz w:val="18"/>
          <w:szCs w:val="18"/>
        </w:rPr>
        <w:t>C/S</w:t>
      </w:r>
      <w:r>
        <w:rPr>
          <w:color w:val="000000"/>
          <w:spacing w:val="0"/>
          <w:w w:val="100"/>
          <w:position w:val="0"/>
        </w:rPr>
        <w:t>低延迟实时同步等方 面进行了深耕优化，持续在最新领域与新硬件性能的发挥上不懈追求和提升，在画质渲染、视听感受、性能体验方面做到品 类领先的水准。</w:t>
      </w:r>
      <w:r>
        <w:rPr>
          <w:b/>
          <w:bCs/>
          <w:color w:val="000000"/>
          <w:spacing w:val="0"/>
          <w:w w:val="100"/>
          <w:position w:val="0"/>
        </w:rPr>
        <w:t>在新推出的</w:t>
      </w:r>
      <w:r>
        <w:rPr>
          <w:i/>
          <w:iCs/>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Infinite Galaxy</w:t>
      </w:r>
      <w:r>
        <w:rPr>
          <w:color w:val="000000"/>
          <w:spacing w:val="0"/>
          <w:w w:val="100"/>
          <w:position w:val="0"/>
        </w:rPr>
        <w:t>》项目中，开发了</w:t>
      </w:r>
      <w:r>
        <w:rPr>
          <w:b/>
          <w:bCs/>
          <w:color w:val="000000"/>
          <w:spacing w:val="0"/>
          <w:w w:val="100"/>
          <w:position w:val="0"/>
        </w:rPr>
        <w:t>全新的角色剧情表现系统</w:t>
      </w:r>
      <w:r>
        <w:rPr>
          <w:color w:val="000000"/>
          <w:spacing w:val="0"/>
          <w:w w:val="100"/>
          <w:position w:val="0"/>
        </w:rPr>
        <w:t>，公司技术团队采用</w:t>
      </w:r>
      <w:r>
        <w:rPr>
          <w:rFonts w:ascii="Times New Roman" w:eastAsia="Times New Roman" w:hAnsi="Times New Roman" w:cs="Times New Roman"/>
          <w:color w:val="000000"/>
          <w:spacing w:val="0"/>
          <w:w w:val="100"/>
          <w:position w:val="0"/>
          <w:sz w:val="18"/>
          <w:szCs w:val="18"/>
        </w:rPr>
        <w:t xml:space="preserve">Unity timeline </w:t>
      </w:r>
      <w:r>
        <w:rPr>
          <w:color w:val="000000"/>
          <w:spacing w:val="0"/>
          <w:w w:val="100"/>
          <w:position w:val="0"/>
        </w:rPr>
        <w:t>进行实时渲染的场景剧情</w:t>
      </w:r>
      <w:r>
        <w:rPr>
          <w:rFonts w:ascii="Times New Roman" w:eastAsia="Times New Roman" w:hAnsi="Times New Roman" w:cs="Times New Roman"/>
          <w:color w:val="000000"/>
          <w:spacing w:val="0"/>
          <w:w w:val="100"/>
          <w:position w:val="0"/>
          <w:sz w:val="18"/>
          <w:szCs w:val="18"/>
        </w:rPr>
        <w:t>CG</w:t>
      </w:r>
      <w:r>
        <w:rPr>
          <w:color w:val="000000"/>
          <w:spacing w:val="0"/>
          <w:w w:val="100"/>
          <w:position w:val="0"/>
        </w:rPr>
        <w:t>制作，在控制了包体大小的前提下，引入影视化游戏剧情，并结合自主研发的面部表情捕捉技</w:t>
      </w:r>
    </w:p>
    <w:p>
      <w:pPr>
        <w:pStyle w:val="Style2"/>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41"/>
        <w:keepNext w:val="0"/>
        <w:keepLines w:val="0"/>
        <w:widowControl w:val="0"/>
        <w:pBdr>
          <w:top w:val="single" w:sz="4" w:space="0" w:color="auto"/>
        </w:pBdr>
        <w:shd w:val="clear" w:color="auto" w:fill="auto"/>
        <w:bidi w:val="0"/>
        <w:spacing w:before="0" w:after="660" w:line="456" w:lineRule="exact"/>
        <w:ind w:left="0" w:right="0" w:firstLine="820"/>
        <w:jc w:val="both"/>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 术进行制作，为玩家带来更强的沉浸感。</w:t>
      </w:r>
    </w:p>
    <w:p>
      <w:pPr>
        <w:pStyle w:val="Style41"/>
        <w:keepNext w:val="0"/>
        <w:keepLines w:val="0"/>
        <w:widowControl w:val="0"/>
        <w:shd w:val="clear" w:color="auto" w:fill="auto"/>
        <w:tabs>
          <w:tab w:pos="678" w:val="left"/>
        </w:tabs>
        <w:bidi w:val="0"/>
        <w:spacing w:before="0" w:after="0" w:line="240" w:lineRule="auto"/>
        <w:ind w:left="0" w:right="0"/>
        <w:jc w:val="left"/>
        <w:rPr>
          <w:sz w:val="18"/>
          <w:szCs w:val="18"/>
        </w:rPr>
      </w:pPr>
      <w:bookmarkStart w:id="153" w:name="bookmark153"/>
      <w:r>
        <w:rPr>
          <w:rFonts w:ascii="Times New Roman" w:eastAsia="Times New Roman" w:hAnsi="Times New Roman" w:cs="Times New Roman"/>
          <w:b/>
          <w:bCs/>
          <w:i/>
          <w:iCs/>
          <w:color w:val="000000"/>
          <w:spacing w:val="0"/>
          <w:w w:val="100"/>
          <w:position w:val="0"/>
          <w:sz w:val="18"/>
          <w:szCs w:val="18"/>
          <w:u w:val="single"/>
        </w:rPr>
        <w:t>3</w:t>
      </w:r>
      <w:bookmarkEnd w:id="153"/>
      <w:r>
        <w:rPr>
          <w:b/>
          <w:bCs/>
          <w:i/>
          <w:iCs/>
          <w:color w:val="000000"/>
          <w:spacing w:val="0"/>
          <w:w w:val="100"/>
          <w:position w:val="0"/>
          <w:sz w:val="18"/>
          <w:szCs w:val="18"/>
          <w:u w:val="single"/>
        </w:rPr>
        <w:t>、</w:t>
        <w:tab/>
        <w:t>行业客户资源优势</w:t>
      </w:r>
    </w:p>
    <w:p>
      <w:pPr>
        <w:pStyle w:val="Style41"/>
        <w:keepNext w:val="0"/>
        <w:keepLines w:val="0"/>
        <w:widowControl w:val="0"/>
        <w:shd w:val="clear" w:color="auto" w:fill="auto"/>
        <w:bidi w:val="0"/>
        <w:spacing w:before="0" w:after="0" w:line="468" w:lineRule="exact"/>
        <w:ind w:left="0" w:right="0"/>
        <w:jc w:val="both"/>
      </w:pPr>
      <w:r>
        <w:rPr>
          <w:color w:val="000000"/>
          <w:spacing w:val="0"/>
          <w:w w:val="100"/>
          <w:position w:val="0"/>
        </w:rPr>
        <w:t>在</w:t>
      </w:r>
      <w:r>
        <w:rPr>
          <w:rFonts w:ascii="Times New Roman" w:eastAsia="Times New Roman" w:hAnsi="Times New Roman" w:cs="Times New Roman"/>
          <w:color w:val="000000"/>
          <w:spacing w:val="0"/>
          <w:w w:val="100"/>
          <w:position w:val="0"/>
          <w:sz w:val="18"/>
          <w:szCs w:val="18"/>
        </w:rPr>
        <w:t>ICT</w:t>
      </w:r>
      <w:r>
        <w:rPr>
          <w:color w:val="000000"/>
          <w:spacing w:val="0"/>
          <w:w w:val="100"/>
          <w:position w:val="0"/>
        </w:rPr>
        <w:t>运营管理领域，公司在二十余年来业务发展的过程中，积累了一批以电信行业为主，兼顾金融、政府、能源、交 通等行业中的大中型企业以及政府机构的优质客户资源，主要包括：中国移动、中国联通、中国电信、中国铁塔、歌华有线、 人民银行、建设银行、工商银行、中国银行、光大银行、民生银行、中国人寿、新华人寿、上海证券交易所、中国证券登记 结算公司、中海油等众多客户。公司的产品和服务在上述客户中得到了广泛应用与高度认同，在业内留下了良好的口碑。</w:t>
      </w:r>
    </w:p>
    <w:p>
      <w:pPr>
        <w:pStyle w:val="Style41"/>
        <w:keepNext w:val="0"/>
        <w:keepLines w:val="0"/>
        <w:widowControl w:val="0"/>
        <w:shd w:val="clear" w:color="auto" w:fill="auto"/>
        <w:bidi w:val="0"/>
        <w:spacing w:before="0" w:after="660" w:line="468" w:lineRule="exact"/>
        <w:ind w:left="0" w:right="0"/>
        <w:jc w:val="both"/>
      </w:pPr>
      <w:r>
        <w:rPr>
          <w:color w:val="000000"/>
          <w:spacing w:val="0"/>
          <w:w w:val="100"/>
          <w:position w:val="0"/>
        </w:rPr>
        <w:t>随着公司人工智能</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大数据、物联网通信等业务板块的积淀，公司也与中核、中广核以及公安、文博类用户进行业务合 作，并在此基础上继续开展延续性服务。在保持传统优势的运营商、政府、公安等市场资源基础上，积极布局，面向未来拓 展布局了包括电力、能源、城市建设等市场领域，跨行业的丰富的客户资源可以保障公司业务持续稳健的发展，并随着技术 创新和行业信息化水平提升，为公司不断带来新的增长机遇。</w:t>
      </w:r>
    </w:p>
    <w:p>
      <w:pPr>
        <w:pStyle w:val="Style41"/>
        <w:keepNext w:val="0"/>
        <w:keepLines w:val="0"/>
        <w:widowControl w:val="0"/>
        <w:shd w:val="clear" w:color="auto" w:fill="auto"/>
        <w:tabs>
          <w:tab w:pos="678" w:val="left"/>
        </w:tabs>
        <w:bidi w:val="0"/>
        <w:spacing w:before="0" w:after="0" w:line="240" w:lineRule="auto"/>
        <w:ind w:left="0" w:right="0"/>
        <w:jc w:val="both"/>
        <w:rPr>
          <w:sz w:val="18"/>
          <w:szCs w:val="18"/>
        </w:rPr>
      </w:pPr>
      <w:bookmarkStart w:id="154" w:name="bookmark154"/>
      <w:r>
        <w:rPr>
          <w:rFonts w:ascii="Times New Roman" w:eastAsia="Times New Roman" w:hAnsi="Times New Roman" w:cs="Times New Roman"/>
          <w:b/>
          <w:bCs/>
          <w:i/>
          <w:iCs/>
          <w:color w:val="000000"/>
          <w:spacing w:val="0"/>
          <w:w w:val="100"/>
          <w:position w:val="0"/>
          <w:sz w:val="18"/>
          <w:szCs w:val="18"/>
          <w:u w:val="single"/>
        </w:rPr>
        <w:t>4</w:t>
      </w:r>
      <w:bookmarkEnd w:id="154"/>
      <w:r>
        <w:rPr>
          <w:b/>
          <w:bCs/>
          <w:i/>
          <w:iCs/>
          <w:color w:val="000000"/>
          <w:spacing w:val="0"/>
          <w:w w:val="100"/>
          <w:position w:val="0"/>
          <w:sz w:val="18"/>
          <w:szCs w:val="18"/>
          <w:u w:val="single"/>
        </w:rPr>
        <w:t>、</w:t>
        <w:tab/>
        <w:t>品牌优势</w:t>
      </w:r>
    </w:p>
    <w:p>
      <w:pPr>
        <w:pStyle w:val="Style41"/>
        <w:keepNext w:val="0"/>
        <w:keepLines w:val="0"/>
        <w:widowControl w:val="0"/>
        <w:shd w:val="clear" w:color="auto" w:fill="auto"/>
        <w:bidi w:val="0"/>
        <w:spacing w:before="0" w:after="0" w:line="469" w:lineRule="exact"/>
        <w:ind w:left="0" w:right="0"/>
        <w:jc w:val="both"/>
      </w:pPr>
      <w:r>
        <w:rPr>
          <w:color w:val="000000"/>
          <w:spacing w:val="0"/>
          <w:w w:val="100"/>
          <w:position w:val="0"/>
        </w:rPr>
        <w:t>公司高度重视市场品牌建设，致力于打造信息产业内知名品牌，基于公司二十余年来在信息产业内的深耕细作，公司的 服务及产品得到了众多客户认可，公司品牌的知名度和美誉度也在不断提升。</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年公司在《互联网周刊》</w:t>
      </w:r>
      <w:r>
        <w:rPr>
          <w:rFonts w:ascii="Times New Roman" w:eastAsia="Times New Roman" w:hAnsi="Times New Roman" w:cs="Times New Roman"/>
          <w:color w:val="000000"/>
          <w:spacing w:val="0"/>
          <w:w w:val="100"/>
          <w:position w:val="0"/>
          <w:sz w:val="18"/>
          <w:szCs w:val="18"/>
        </w:rPr>
        <w:t>&amp;eNet</w:t>
      </w:r>
      <w:r>
        <w:rPr>
          <w:color w:val="000000"/>
          <w:spacing w:val="0"/>
          <w:w w:val="100"/>
          <w:position w:val="0"/>
        </w:rPr>
        <w:t>研究院发 布的《</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推动中国数字化转型</w:t>
      </w:r>
      <w:r>
        <w:rPr>
          <w:rFonts w:ascii="Times New Roman" w:eastAsia="Times New Roman" w:hAnsi="Times New Roman" w:cs="Times New Roman"/>
          <w:color w:val="000000"/>
          <w:spacing w:val="0"/>
          <w:w w:val="100"/>
          <w:position w:val="0"/>
          <w:sz w:val="18"/>
          <w:szCs w:val="18"/>
        </w:rPr>
        <w:t>TOP100</w:t>
      </w:r>
      <w:r>
        <w:rPr>
          <w:color w:val="000000"/>
          <w:spacing w:val="0"/>
          <w:w w:val="100"/>
          <w:position w:val="0"/>
        </w:rPr>
        <w:t>》</w:t>
      </w:r>
      <w:r>
        <w:rPr>
          <w:color w:val="000000"/>
          <w:spacing w:val="0"/>
          <w:w w:val="100"/>
          <w:position w:val="0"/>
        </w:rPr>
        <w:t>排行榜，凭借在数字化转型上的强劲实力与发展前景荣登榜单第十二位；通过了 北京市知识产权局</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北京市知识产权示范单位</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认定，成为</w:t>
      </w:r>
      <w:r>
        <w:rPr>
          <w:rFonts w:ascii="Times New Roman" w:eastAsia="Times New Roman" w:hAnsi="Times New Roman" w:cs="Times New Roman"/>
          <w:color w:val="000000"/>
          <w:spacing w:val="0"/>
          <w:w w:val="100"/>
          <w:position w:val="0"/>
          <w:sz w:val="18"/>
          <w:szCs w:val="18"/>
        </w:rPr>
        <w:t>56</w:t>
      </w:r>
      <w:r>
        <w:rPr>
          <w:color w:val="000000"/>
          <w:spacing w:val="0"/>
          <w:w w:val="100"/>
          <w:position w:val="0"/>
        </w:rPr>
        <w:t>家</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北京市知识产权示范单位</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之一；荣获北京市诚信创建企业认 定办公室颁发的</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北京市诚信创建企业</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；中国科学院《互联网周刊》、中国社会科学院信息研究中心、</w:t>
      </w:r>
      <w:r>
        <w:rPr>
          <w:rFonts w:ascii="Times New Roman" w:eastAsia="Times New Roman" w:hAnsi="Times New Roman" w:cs="Times New Roman"/>
          <w:color w:val="000000"/>
          <w:spacing w:val="0"/>
          <w:w w:val="100"/>
          <w:position w:val="0"/>
          <w:sz w:val="18"/>
          <w:szCs w:val="18"/>
        </w:rPr>
        <w:t>eNet</w:t>
      </w:r>
      <w:r>
        <w:rPr>
          <w:color w:val="000000"/>
          <w:spacing w:val="0"/>
          <w:w w:val="100"/>
          <w:position w:val="0"/>
        </w:rPr>
        <w:t>研究院、德本咨 询授予的</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年度创新云成本优化工具</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；公司入选由工信部头部产业信息服务集团计世研究院发布的</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年工业互联网网 络体系年度优秀企业</w:t>
      </w:r>
      <w:r>
        <w:rPr>
          <w:rFonts w:ascii="Times New Roman" w:eastAsia="Times New Roman" w:hAnsi="Times New Roman" w:cs="Times New Roman"/>
          <w:color w:val="000000"/>
          <w:spacing w:val="0"/>
          <w:w w:val="100"/>
          <w:position w:val="0"/>
          <w:sz w:val="18"/>
          <w:szCs w:val="18"/>
        </w:rPr>
        <w:t>TOP10</w:t>
      </w:r>
      <w:r>
        <w:rPr>
          <w:color w:val="000000"/>
          <w:spacing w:val="0"/>
          <w:w w:val="100"/>
          <w:position w:val="0"/>
        </w:rPr>
        <w:t>榜单；荣登由《互联网周刊》</w:t>
      </w:r>
      <w:r>
        <w:rPr>
          <w:rFonts w:ascii="Times New Roman" w:eastAsia="Times New Roman" w:hAnsi="Times New Roman" w:cs="Times New Roman"/>
          <w:color w:val="000000"/>
          <w:spacing w:val="0"/>
          <w:w w:val="100"/>
          <w:position w:val="0"/>
          <w:sz w:val="18"/>
          <w:szCs w:val="18"/>
        </w:rPr>
        <w:t>&amp;eNet</w:t>
      </w:r>
      <w:r>
        <w:rPr>
          <w:color w:val="000000"/>
          <w:spacing w:val="0"/>
          <w:w w:val="100"/>
          <w:position w:val="0"/>
        </w:rPr>
        <w:t>研究院</w:t>
      </w:r>
      <w:r>
        <w:rPr>
          <w:rFonts w:ascii="Times New Roman" w:eastAsia="Times New Roman" w:hAnsi="Times New Roman" w:cs="Times New Roman"/>
          <w:color w:val="000000"/>
          <w:spacing w:val="0"/>
          <w:w w:val="100"/>
          <w:position w:val="0"/>
          <w:sz w:val="18"/>
          <w:szCs w:val="18"/>
        </w:rPr>
        <w:t>&amp;</w:t>
      </w:r>
      <w:r>
        <w:rPr>
          <w:color w:val="000000"/>
          <w:spacing w:val="0"/>
          <w:w w:val="100"/>
          <w:position w:val="0"/>
        </w:rPr>
        <w:t>德本咨询联合发布的《</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年度新基建产业领军企 业</w:t>
      </w:r>
      <w:r>
        <w:rPr>
          <w:rFonts w:ascii="Times New Roman" w:eastAsia="Times New Roman" w:hAnsi="Times New Roman" w:cs="Times New Roman"/>
          <w:color w:val="000000"/>
          <w:spacing w:val="0"/>
          <w:w w:val="100"/>
          <w:position w:val="0"/>
          <w:sz w:val="18"/>
          <w:szCs w:val="18"/>
        </w:rPr>
        <w:t>100</w:t>
      </w:r>
      <w:r>
        <w:rPr>
          <w:color w:val="000000"/>
          <w:spacing w:val="0"/>
          <w:w w:val="100"/>
          <w:position w:val="0"/>
        </w:rPr>
        <w:t>强》排行榜第十三位。</w:t>
      </w:r>
    </w:p>
    <w:p>
      <w:pPr>
        <w:pStyle w:val="Style41"/>
        <w:keepNext w:val="0"/>
        <w:keepLines w:val="0"/>
        <w:widowControl w:val="0"/>
        <w:shd w:val="clear" w:color="auto" w:fill="auto"/>
        <w:bidi w:val="0"/>
        <w:spacing w:before="0" w:after="320" w:line="469" w:lineRule="exact"/>
        <w:ind w:left="0" w:right="0"/>
        <w:jc w:val="both"/>
        <w:sectPr>
          <w:headerReference w:type="default" r:id="rId87"/>
          <w:footerReference w:type="default" r:id="rId88"/>
          <w:headerReference w:type="even" r:id="rId89"/>
          <w:footerReference w:type="even" r:id="rId90"/>
          <w:footnotePr>
            <w:pos w:val="pageBottom"/>
            <w:numFmt w:val="decimal"/>
            <w:numRestart w:val="continuous"/>
          </w:footnotePr>
          <w:pgSz w:w="11904" w:h="17375"/>
          <w:pgMar w:top="1070" w:right="1022" w:bottom="1425" w:left="1104" w:header="642" w:footer="3" w:gutter="0"/>
          <w:cols w:space="720"/>
          <w:noEndnote/>
          <w:rtlGutter w:val="0"/>
          <w:docGrid w:linePitch="360"/>
        </w:sectPr>
      </w:pPr>
      <w:r>
        <w:rPr>
          <w:rFonts w:ascii="Times New Roman" w:eastAsia="Times New Roman" w:hAnsi="Times New Roman" w:cs="Times New Roman"/>
          <w:color w:val="000000"/>
          <w:spacing w:val="0"/>
          <w:w w:val="100"/>
          <w:position w:val="0"/>
          <w:sz w:val="18"/>
          <w:szCs w:val="18"/>
        </w:rPr>
        <w:t>2021</w:t>
      </w:r>
      <w:r>
        <w:rPr>
          <w:color w:val="000000"/>
          <w:spacing w:val="0"/>
          <w:w w:val="100"/>
          <w:position w:val="0"/>
        </w:rPr>
        <w:t>年年初，公司携</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大</w:t>
      </w:r>
      <w:r>
        <w:rPr>
          <w:rFonts w:ascii="Times New Roman" w:eastAsia="Times New Roman" w:hAnsi="Times New Roman" w:cs="Times New Roman"/>
          <w:color w:val="000000"/>
          <w:spacing w:val="0"/>
          <w:w w:val="100"/>
          <w:position w:val="0"/>
          <w:sz w:val="18"/>
          <w:szCs w:val="18"/>
        </w:rPr>
        <w:t>IT</w:t>
      </w:r>
      <w:r>
        <w:rPr>
          <w:color w:val="000000"/>
          <w:spacing w:val="0"/>
          <w:w w:val="100"/>
          <w:position w:val="0"/>
        </w:rPr>
        <w:t>智能运营</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“5G</w:t>
      </w:r>
      <w:r>
        <w:rPr>
          <w:color w:val="000000"/>
          <w:spacing w:val="0"/>
          <w:w w:val="100"/>
          <w:position w:val="0"/>
        </w:rPr>
        <w:t>专网</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“5G+</w:t>
      </w:r>
      <w:r>
        <w:rPr>
          <w:color w:val="000000"/>
          <w:spacing w:val="0"/>
          <w:w w:val="100"/>
          <w:position w:val="0"/>
        </w:rPr>
        <w:t>创新</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三大板块内容以及多个产品解决方案亮相全球最具影响力 的年度移动通信盛会</w:t>
      </w:r>
      <w:r>
        <w:rPr>
          <w:color w:val="000000"/>
          <w:spacing w:val="0"/>
          <w:w w:val="100"/>
          <w:position w:val="0"/>
        </w:rPr>
        <w:t>一</w:t>
      </w:r>
      <w:r>
        <w:rPr>
          <w:rFonts w:ascii="Times New Roman" w:eastAsia="Times New Roman" w:hAnsi="Times New Roman" w:cs="Times New Roman"/>
          <w:color w:val="000000"/>
          <w:spacing w:val="0"/>
          <w:w w:val="100"/>
          <w:position w:val="0"/>
          <w:sz w:val="18"/>
          <w:szCs w:val="18"/>
        </w:rPr>
        <w:t>2021</w:t>
      </w:r>
      <w:r>
        <w:rPr>
          <w:color w:val="000000"/>
          <w:spacing w:val="0"/>
          <w:w w:val="100"/>
          <w:position w:val="0"/>
        </w:rPr>
        <w:t>世界移动通信大会</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上海（简称</w:t>
      </w:r>
      <w:r>
        <w:rPr>
          <w:rFonts w:ascii="Times New Roman" w:eastAsia="Times New Roman" w:hAnsi="Times New Roman" w:cs="Times New Roman"/>
          <w:color w:val="000000"/>
          <w:spacing w:val="0"/>
          <w:w w:val="100"/>
          <w:position w:val="0"/>
          <w:sz w:val="18"/>
          <w:szCs w:val="18"/>
        </w:rPr>
        <w:t xml:space="preserve">2021 </w:t>
      </w:r>
      <w:r>
        <w:rPr>
          <w:rFonts w:ascii="Times New Roman" w:eastAsia="Times New Roman" w:hAnsi="Times New Roman" w:cs="Times New Roman"/>
          <w:color w:val="000000"/>
          <w:spacing w:val="0"/>
          <w:w w:val="100"/>
          <w:position w:val="0"/>
          <w:sz w:val="18"/>
          <w:szCs w:val="18"/>
        </w:rPr>
        <w:t>MWC</w:t>
      </w:r>
      <w:r>
        <w:rPr>
          <w:color w:val="000000"/>
          <w:spacing w:val="0"/>
          <w:w w:val="100"/>
          <w:position w:val="0"/>
        </w:rPr>
        <w:t>）</w:t>
      </w:r>
      <w:r>
        <w:rPr>
          <w:color w:val="000000"/>
          <w:spacing w:val="0"/>
          <w:w w:val="100"/>
          <w:position w:val="0"/>
        </w:rPr>
        <w:t>，全面展示了</w:t>
      </w:r>
      <w:r>
        <w:rPr>
          <w:rFonts w:ascii="Times New Roman" w:eastAsia="Times New Roman" w:hAnsi="Times New Roman" w:cs="Times New Roman"/>
          <w:color w:val="000000"/>
          <w:spacing w:val="0"/>
          <w:w w:val="100"/>
          <w:position w:val="0"/>
          <w:sz w:val="18"/>
          <w:szCs w:val="18"/>
        </w:rPr>
        <w:t>5G</w:t>
      </w:r>
      <w:r>
        <w:rPr>
          <w:color w:val="000000"/>
          <w:spacing w:val="0"/>
          <w:w w:val="100"/>
          <w:position w:val="0"/>
        </w:rPr>
        <w:t>时代下的智慧运营和万物互联产 品所带来的便利与价值。</w:t>
      </w:r>
    </w:p>
    <w:p>
      <w:pPr>
        <w:widowControl w:val="0"/>
        <w:jc w:val="center"/>
        <w:rPr>
          <w:sz w:val="2"/>
          <w:szCs w:val="2"/>
        </w:rPr>
      </w:pPr>
      <w:r>
        <w:drawing>
          <wp:inline>
            <wp:extent cx="5699760" cy="1761490"/>
            <wp:docPr id="314" name="Picutre 314"/>
            <a:graphic xmlns:a="http://schemas.openxmlformats.org/drawingml/2006/main">
              <a:graphicData uri="http://schemas.openxmlformats.org/drawingml/2006/picture">
                <pic:pic xmlns:pic="http://schemas.openxmlformats.org/drawingml/2006/picture">
                  <pic:nvPicPr>
                    <pic:cNvPr id="314" name="Picture 314"/>
                    <pic:cNvPicPr/>
                  </pic:nvPicPr>
                  <pic:blipFill>
                    <a:blip r:embed="rId91"/>
                    <a:stretch/>
                  </pic:blipFill>
                  <pic:spPr>
                    <a:xfrm>
                      <a:ext cx="5699760" cy="1761490"/>
                    </a:xfrm>
                    <a:prstGeom prst="rect"/>
                  </pic:spPr>
                </pic:pic>
              </a:graphicData>
            </a:graphic>
          </wp:inline>
        </w:drawing>
      </w:r>
    </w:p>
    <w:p>
      <w:pPr>
        <w:pStyle w:val="Style65"/>
        <w:keepNext w:val="0"/>
        <w:keepLines w:val="0"/>
        <w:widowControl w:val="0"/>
        <w:shd w:val="clear" w:color="auto" w:fill="auto"/>
        <w:bidi w:val="0"/>
        <w:spacing w:before="0" w:after="0" w:line="240" w:lineRule="auto"/>
        <w:ind w:left="0" w:right="0" w:firstLine="0"/>
        <w:jc w:val="center"/>
        <w:rPr>
          <w:sz w:val="17"/>
          <w:szCs w:val="17"/>
        </w:rPr>
        <w:sectPr>
          <w:headerReference w:type="default" r:id="rId93"/>
          <w:footerReference w:type="default" r:id="rId94"/>
          <w:headerReference w:type="even" r:id="rId95"/>
          <w:footerReference w:type="even" r:id="rId96"/>
          <w:footnotePr>
            <w:pos w:val="pageBottom"/>
            <w:numFmt w:val="decimal"/>
            <w:numRestart w:val="continuous"/>
          </w:footnotePr>
          <w:pgSz w:w="11904" w:h="17375"/>
          <w:pgMar w:top="1727" w:right="1022" w:bottom="1727" w:left="1104" w:header="0" w:footer="3" w:gutter="0"/>
          <w:cols w:space="720"/>
          <w:noEndnote/>
          <w:rtlGutter w:val="0"/>
          <w:docGrid w:linePitch="360"/>
        </w:sectPr>
      </w:pPr>
      <w:r>
        <w:rPr>
          <w:rFonts w:ascii="Times New Roman" w:eastAsia="Times New Roman" w:hAnsi="Times New Roman" w:cs="Times New Roman"/>
          <w:b/>
          <w:bCs/>
          <w:color w:val="000000"/>
          <w:spacing w:val="0"/>
          <w:w w:val="100"/>
          <w:position w:val="0"/>
          <w:sz w:val="18"/>
          <w:szCs w:val="18"/>
        </w:rPr>
        <w:t>（2021</w:t>
      </w:r>
      <w:r>
        <w:rPr>
          <w:rFonts w:ascii="SimSun" w:eastAsia="SimSun" w:hAnsi="SimSun" w:cs="SimSun"/>
          <w:b/>
          <w:bCs/>
          <w:color w:val="000000"/>
          <w:spacing w:val="0"/>
          <w:w w:val="100"/>
          <w:position w:val="0"/>
          <w:sz w:val="17"/>
          <w:szCs w:val="17"/>
        </w:rPr>
        <w:t>上海</w:t>
      </w:r>
      <w:r>
        <w:rPr>
          <w:rFonts w:ascii="Times New Roman" w:eastAsia="Times New Roman" w:hAnsi="Times New Roman" w:cs="Times New Roman"/>
          <w:b/>
          <w:bCs/>
          <w:color w:val="000000"/>
          <w:spacing w:val="0"/>
          <w:w w:val="100"/>
          <w:position w:val="0"/>
          <w:sz w:val="18"/>
          <w:szCs w:val="18"/>
        </w:rPr>
        <w:t>MWC</w:t>
      </w:r>
      <w:r>
        <w:rPr>
          <w:rFonts w:ascii="SimSun" w:eastAsia="SimSun" w:hAnsi="SimSun" w:cs="SimSun"/>
          <w:b/>
          <w:bCs/>
          <w:color w:val="000000"/>
          <w:spacing w:val="0"/>
          <w:w w:val="100"/>
          <w:position w:val="0"/>
          <w:sz w:val="17"/>
          <w:szCs w:val="17"/>
        </w:rPr>
        <w:t>移动通信大会部分图片）</w:t>
      </w:r>
    </w:p>
    <w:p>
      <w:pPr>
        <w:pStyle w:val="Style7"/>
        <w:keepNext/>
        <w:keepLines/>
        <w:widowControl w:val="0"/>
        <w:shd w:val="clear" w:color="auto" w:fill="auto"/>
        <w:bidi w:val="0"/>
        <w:spacing w:before="380" w:after="520" w:line="240" w:lineRule="auto"/>
        <w:ind w:left="0" w:right="0" w:firstLine="0"/>
        <w:jc w:val="center"/>
      </w:pPr>
      <w:bookmarkStart w:id="155" w:name="bookmark155"/>
      <w:bookmarkStart w:id="156" w:name="bookmark156"/>
      <w:bookmarkStart w:id="157" w:name="bookmark157"/>
      <w:r>
        <w:rPr>
          <w:color w:val="000000"/>
          <w:spacing w:val="0"/>
          <w:w w:val="100"/>
          <w:position w:val="0"/>
        </w:rPr>
        <w:t>第四节经营情况讨论与分析</w:t>
      </w:r>
      <w:bookmarkEnd w:id="155"/>
      <w:bookmarkEnd w:id="156"/>
      <w:bookmarkEnd w:id="157"/>
    </w:p>
    <w:p>
      <w:pPr>
        <w:pStyle w:val="Style39"/>
        <w:keepNext/>
        <w:keepLines/>
        <w:widowControl w:val="0"/>
        <w:shd w:val="clear" w:color="auto" w:fill="auto"/>
        <w:bidi w:val="0"/>
        <w:spacing w:before="0" w:after="380" w:line="240" w:lineRule="auto"/>
        <w:ind w:left="0" w:right="0" w:firstLine="0"/>
        <w:jc w:val="left"/>
      </w:pPr>
      <w:bookmarkStart w:id="158" w:name="bookmark158"/>
      <w:bookmarkStart w:id="159" w:name="bookmark159"/>
      <w:bookmarkStart w:id="160" w:name="bookmark160"/>
      <w:bookmarkStart w:id="161" w:name="bookmark161"/>
      <w:r>
        <w:rPr>
          <w:color w:val="000000"/>
          <w:spacing w:val="0"/>
          <w:w w:val="100"/>
          <w:position w:val="0"/>
          <w:sz w:val="24"/>
          <w:szCs w:val="24"/>
        </w:rPr>
        <w:t>一</w:t>
      </w:r>
      <w:bookmarkEnd w:id="160"/>
      <w:r>
        <w:rPr>
          <w:color w:val="000000"/>
          <w:spacing w:val="0"/>
          <w:w w:val="100"/>
          <w:position w:val="0"/>
          <w:sz w:val="24"/>
          <w:szCs w:val="24"/>
        </w:rPr>
        <w:t>、概述</w:t>
      </w:r>
      <w:bookmarkEnd w:id="158"/>
      <w:bookmarkEnd w:id="159"/>
      <w:bookmarkEnd w:id="161"/>
    </w:p>
    <w:p>
      <w:pPr>
        <w:pStyle w:val="Style41"/>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公司需遵守《深圳证券交易所创业板行业信息披露指引第</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号——上市公司从事互联网游戏业务》的披露要求：</w:t>
      </w:r>
    </w:p>
    <w:p>
      <w:pPr>
        <w:pStyle w:val="Style41"/>
        <w:keepNext w:val="0"/>
        <w:keepLines w:val="0"/>
        <w:widowControl w:val="0"/>
        <w:shd w:val="clear" w:color="auto" w:fill="auto"/>
        <w:bidi w:val="0"/>
        <w:spacing w:before="0" w:after="0" w:line="472" w:lineRule="exact"/>
        <w:ind w:left="0" w:right="0"/>
        <w:jc w:val="both"/>
      </w:pPr>
      <w:r>
        <w:rPr>
          <w:color w:val="000000"/>
          <w:spacing w:val="0"/>
          <w:w w:val="100"/>
          <w:position w:val="0"/>
        </w:rPr>
        <w:t>过去的十年，公司依托</w:t>
      </w:r>
      <w:r>
        <w:rPr>
          <w:rFonts w:ascii="Times New Roman" w:eastAsia="Times New Roman" w:hAnsi="Times New Roman" w:cs="Times New Roman"/>
          <w:color w:val="000000"/>
          <w:spacing w:val="0"/>
          <w:w w:val="100"/>
          <w:position w:val="0"/>
          <w:sz w:val="18"/>
          <w:szCs w:val="18"/>
        </w:rPr>
        <w:t>ICT</w:t>
      </w:r>
      <w:r>
        <w:rPr>
          <w:color w:val="000000"/>
          <w:spacing w:val="0"/>
          <w:w w:val="100"/>
          <w:position w:val="0"/>
        </w:rPr>
        <w:t xml:space="preserve">运营管理类业务上市，自上市以来，在坚守主营业务的同时，公司不断的创新变革，寻求 新的业务方向，保持公司未来长远的稳定前行。历经数年来的前行及摸索，公司业已形成了 </w:t>
      </w:r>
      <w:r>
        <w:rPr>
          <w:rFonts w:ascii="Times New Roman" w:eastAsia="Times New Roman" w:hAnsi="Times New Roman" w:cs="Times New Roman"/>
          <w:color w:val="000000"/>
          <w:spacing w:val="0"/>
          <w:w w:val="100"/>
          <w:position w:val="0"/>
          <w:sz w:val="18"/>
          <w:szCs w:val="18"/>
        </w:rPr>
        <w:t>ICT</w:t>
      </w:r>
      <w:r>
        <w:rPr>
          <w:color w:val="000000"/>
          <w:spacing w:val="0"/>
          <w:w w:val="100"/>
          <w:position w:val="0"/>
        </w:rPr>
        <w:t>运营管理类业务板块、手 机游戏板块、物联网通信板块、人工智能大数据板块为主的发展战略，几个业务板块呈现相辅相成的状态，在不同的时期贡 献不同的力量，推动公司稳定向前的发展。</w:t>
      </w:r>
    </w:p>
    <w:p>
      <w:pPr>
        <w:pStyle w:val="Style41"/>
        <w:keepNext w:val="0"/>
        <w:keepLines w:val="0"/>
        <w:widowControl w:val="0"/>
        <w:shd w:val="clear" w:color="auto" w:fill="auto"/>
        <w:bidi w:val="0"/>
        <w:spacing w:before="0" w:after="180" w:line="469" w:lineRule="exact"/>
        <w:ind w:left="0" w:right="0"/>
        <w:jc w:val="both"/>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年面对</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新冠</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疫情，公司运营商业务、人工智能与大数据、物联网与通讯业务的项目执行、业务拓展等受到一定 的冲击，公司积极应对，采取各类有效措施，在严防疫情的前提下，全力保障业务的开展，努力将疫情影响降到最低限度， 调整策略，不断提升产品技术水平，积极拓展市场，强化精益运营，最大限度地降低了疫情对公司经营管理的不利影响；另 一方面，海外线上娱乐需求增加，公司游戏业务增长较快，业绩表现亮眼。</w:t>
      </w:r>
    </w:p>
    <w:p>
      <w:pPr>
        <w:widowControl w:val="0"/>
        <w:jc w:val="center"/>
        <w:rPr>
          <w:sz w:val="2"/>
          <w:szCs w:val="2"/>
        </w:rPr>
      </w:pPr>
      <w:r>
        <w:drawing>
          <wp:inline>
            <wp:extent cx="5419090" cy="2164080"/>
            <wp:docPr id="329" name="Picutre 329"/>
            <a:graphic xmlns:a="http://schemas.openxmlformats.org/drawingml/2006/main">
              <a:graphicData uri="http://schemas.openxmlformats.org/drawingml/2006/picture">
                <pic:pic xmlns:pic="http://schemas.openxmlformats.org/drawingml/2006/picture">
                  <pic:nvPicPr>
                    <pic:cNvPr id="329" name="Picture 329"/>
                    <pic:cNvPicPr/>
                  </pic:nvPicPr>
                  <pic:blipFill>
                    <a:blip r:embed="rId97"/>
                    <a:stretch/>
                  </pic:blipFill>
                  <pic:spPr>
                    <a:xfrm>
                      <a:ext cx="5419090" cy="2164080"/>
                    </a:xfrm>
                    <a:prstGeom prst="rect"/>
                  </pic:spPr>
                </pic:pic>
              </a:graphicData>
            </a:graphic>
          </wp:inline>
        </w:drawing>
      </w:r>
    </w:p>
    <w:p>
      <w:pPr>
        <w:pStyle w:val="Style65"/>
        <w:keepNext w:val="0"/>
        <w:keepLines w:val="0"/>
        <w:widowControl w:val="0"/>
        <w:shd w:val="clear" w:color="auto" w:fill="auto"/>
        <w:bidi w:val="0"/>
        <w:spacing w:before="0" w:after="0" w:line="240" w:lineRule="auto"/>
        <w:ind w:left="2894" w:right="0" w:firstLine="0"/>
        <w:jc w:val="left"/>
        <w:rPr>
          <w:sz w:val="17"/>
          <w:szCs w:val="17"/>
        </w:rPr>
      </w:pPr>
      <w:r>
        <w:rPr>
          <w:rFonts w:ascii="SimSun" w:eastAsia="SimSun" w:hAnsi="SimSun" w:cs="SimSun"/>
          <w:b/>
          <w:bCs/>
          <w:color w:val="000000"/>
          <w:spacing w:val="0"/>
          <w:w w:val="100"/>
          <w:position w:val="0"/>
          <w:sz w:val="17"/>
          <w:szCs w:val="17"/>
        </w:rPr>
        <w:t>（公司自上市以来营业收入走势图）</w:t>
      </w:r>
    </w:p>
    <w:p>
      <w:pPr>
        <w:pStyle w:val="Style41"/>
        <w:keepNext w:val="0"/>
        <w:keepLines w:val="0"/>
        <w:widowControl w:val="0"/>
        <w:shd w:val="clear" w:color="auto" w:fill="auto"/>
        <w:bidi w:val="0"/>
        <w:spacing w:before="0" w:after="0" w:line="475" w:lineRule="exact"/>
        <w:ind w:left="0" w:right="0"/>
        <w:jc w:val="both"/>
      </w:pPr>
      <w:r>
        <w:rPr>
          <w:color w:val="000000"/>
          <w:spacing w:val="0"/>
          <w:w w:val="100"/>
          <w:position w:val="0"/>
        </w:rPr>
        <w:t>报告期内，公司营业收入</w:t>
      </w:r>
      <w:r>
        <w:rPr>
          <w:rFonts w:ascii="Times New Roman" w:eastAsia="Times New Roman" w:hAnsi="Times New Roman" w:cs="Times New Roman"/>
          <w:color w:val="000000"/>
          <w:spacing w:val="0"/>
          <w:w w:val="100"/>
          <w:position w:val="0"/>
          <w:sz w:val="18"/>
          <w:szCs w:val="18"/>
        </w:rPr>
        <w:t>359,579.47</w:t>
      </w:r>
      <w:r>
        <w:rPr>
          <w:color w:val="000000"/>
          <w:spacing w:val="0"/>
          <w:w w:val="100"/>
          <w:position w:val="0"/>
        </w:rPr>
        <w:t>万元，较上年同期增加</w:t>
      </w:r>
      <w:r>
        <w:rPr>
          <w:rFonts w:ascii="Times New Roman" w:eastAsia="Times New Roman" w:hAnsi="Times New Roman" w:cs="Times New Roman"/>
          <w:color w:val="000000"/>
          <w:spacing w:val="0"/>
          <w:w w:val="100"/>
          <w:position w:val="0"/>
          <w:sz w:val="18"/>
          <w:szCs w:val="18"/>
        </w:rPr>
        <w:t>102.32%</w:t>
      </w:r>
      <w:r>
        <w:rPr>
          <w:color w:val="000000"/>
          <w:spacing w:val="0"/>
          <w:w w:val="100"/>
          <w:position w:val="0"/>
        </w:rPr>
        <w:t>；实现利润总额</w:t>
      </w:r>
      <w:r>
        <w:rPr>
          <w:rFonts w:ascii="Times New Roman" w:eastAsia="Times New Roman" w:hAnsi="Times New Roman" w:cs="Times New Roman"/>
          <w:color w:val="000000"/>
          <w:spacing w:val="0"/>
          <w:w w:val="100"/>
          <w:position w:val="0"/>
          <w:sz w:val="18"/>
          <w:szCs w:val="18"/>
        </w:rPr>
        <w:t>41,240.13</w:t>
      </w:r>
      <w:r>
        <w:rPr>
          <w:color w:val="000000"/>
          <w:spacing w:val="0"/>
          <w:w w:val="100"/>
          <w:position w:val="0"/>
        </w:rPr>
        <w:t>万元，归属于上市公司 股东净利润</w:t>
      </w:r>
      <w:r>
        <w:rPr>
          <w:rFonts w:ascii="Times New Roman" w:eastAsia="Times New Roman" w:hAnsi="Times New Roman" w:cs="Times New Roman"/>
          <w:color w:val="000000"/>
          <w:spacing w:val="0"/>
          <w:w w:val="100"/>
          <w:position w:val="0"/>
          <w:sz w:val="18"/>
          <w:szCs w:val="18"/>
        </w:rPr>
        <w:t>35,115.25</w:t>
      </w:r>
      <w:r>
        <w:rPr>
          <w:color w:val="000000"/>
          <w:spacing w:val="0"/>
          <w:w w:val="100"/>
          <w:position w:val="0"/>
        </w:rPr>
        <w:t>万元，较上年同期实现扭亏为盈。</w:t>
      </w:r>
    </w:p>
    <w:p>
      <w:pPr>
        <w:pStyle w:val="Style41"/>
        <w:keepNext w:val="0"/>
        <w:keepLines w:val="0"/>
        <w:widowControl w:val="0"/>
        <w:shd w:val="clear" w:color="auto" w:fill="auto"/>
        <w:bidi w:val="0"/>
        <w:spacing w:before="0" w:after="220" w:line="469" w:lineRule="exact"/>
        <w:ind w:left="0" w:right="0"/>
        <w:jc w:val="both"/>
      </w:pPr>
      <w:r>
        <w:rPr>
          <w:color w:val="000000"/>
          <w:spacing w:val="0"/>
          <w:w w:val="100"/>
          <w:position w:val="0"/>
        </w:rPr>
        <w:t>报告期内，公司业绩变动主要原因系：</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年公司对</w:t>
      </w:r>
      <w:r>
        <w:rPr>
          <w:rFonts w:ascii="Times New Roman" w:eastAsia="Times New Roman" w:hAnsi="Times New Roman" w:cs="Times New Roman"/>
          <w:color w:val="000000"/>
          <w:spacing w:val="0"/>
          <w:w w:val="100"/>
          <w:position w:val="0"/>
          <w:sz w:val="18"/>
          <w:szCs w:val="18"/>
        </w:rPr>
        <w:t>ICT</w:t>
      </w:r>
      <w:r>
        <w:rPr>
          <w:color w:val="000000"/>
          <w:spacing w:val="0"/>
          <w:w w:val="100"/>
          <w:position w:val="0"/>
        </w:rPr>
        <w:t>业务实行了强有力的业绩改善措施，并取得了显著的成效， 业绩较上年同期明显改善；</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）公司游戏业务团队积极开拓海外市场，提高产品的精细化运营水平，公司游戏业务板块净利 润较上年同期大幅增加；</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）公司应收款项信用减值损失、商誉与无形资产减值损失、长期股权投资减值损失、金融资产公 允价值变动损失较上年同期大幅减少；</w:t>
      </w:r>
      <w:r>
        <w:rPr>
          <w:rFonts w:ascii="Times New Roman" w:eastAsia="Times New Roman" w:hAnsi="Times New Roman" w:cs="Times New Roman"/>
          <w:color w:val="000000"/>
          <w:spacing w:val="0"/>
          <w:w w:val="100"/>
          <w:position w:val="0"/>
          <w:sz w:val="18"/>
          <w:szCs w:val="18"/>
        </w:rPr>
        <w:t>4</w:t>
      </w:r>
      <w:r>
        <w:rPr>
          <w:color w:val="000000"/>
          <w:spacing w:val="0"/>
          <w:w w:val="100"/>
          <w:position w:val="0"/>
        </w:rPr>
        <w:t xml:space="preserve">）在内部管理上，公司持续在管理变革中探索与实践，积极进行绩效改革。不断努 力提升业务的产品化程度，通过强化内部成本管控、细化考核指标、减员增效等一系列措施，提升精细化管理水平，并取得 </w:t>
      </w:r>
      <w:r>
        <w:rPr>
          <w:color w:val="000000"/>
          <w:spacing w:val="0"/>
          <w:w w:val="100"/>
          <w:position w:val="0"/>
        </w:rPr>
        <w:t>了阶段性成果。</w:t>
      </w:r>
    </w:p>
    <w:p>
      <w:pPr>
        <w:pStyle w:val="Style41"/>
        <w:keepNext w:val="0"/>
        <w:keepLines w:val="0"/>
        <w:widowControl w:val="0"/>
        <w:shd w:val="clear" w:color="auto" w:fill="auto"/>
        <w:bidi w:val="0"/>
        <w:spacing w:before="0" w:after="240" w:line="469" w:lineRule="exact"/>
        <w:ind w:left="0" w:right="0" w:firstLine="0"/>
        <w:jc w:val="left"/>
      </w:pPr>
      <w:r>
        <w:rPr>
          <w:b/>
          <w:bCs/>
          <w:color w:val="000000"/>
          <w:spacing w:val="0"/>
          <w:w w:val="100"/>
          <w:position w:val="0"/>
        </w:rPr>
        <w:t>报告期内各核心业务板块发展情况如下：</w:t>
      </w:r>
    </w:p>
    <w:p>
      <w:pPr>
        <w:pStyle w:val="Style39"/>
        <w:keepNext/>
        <w:keepLines/>
        <w:widowControl w:val="0"/>
        <w:shd w:val="clear" w:color="auto" w:fill="auto"/>
        <w:bidi w:val="0"/>
        <w:spacing w:before="0" w:after="0" w:line="545" w:lineRule="auto"/>
        <w:ind w:left="0" w:right="0" w:firstLine="380"/>
        <w:jc w:val="both"/>
        <w:rPr>
          <w:sz w:val="18"/>
          <w:szCs w:val="18"/>
        </w:rPr>
      </w:pPr>
      <w:bookmarkStart w:id="162" w:name="bookmark162"/>
      <w:bookmarkStart w:id="163" w:name="bookmark163"/>
      <w:bookmarkStart w:id="164" w:name="bookmark164"/>
      <w:bookmarkStart w:id="165" w:name="bookmark165"/>
      <w:r>
        <w:rPr>
          <w:rFonts w:ascii="Times New Roman" w:eastAsia="Times New Roman" w:hAnsi="Times New Roman" w:cs="Times New Roman"/>
          <w:i/>
          <w:iCs/>
          <w:color w:val="000000"/>
          <w:spacing w:val="0"/>
          <w:w w:val="100"/>
          <w:position w:val="0"/>
          <w:sz w:val="18"/>
          <w:szCs w:val="18"/>
          <w:u w:val="single"/>
        </w:rPr>
        <w:t>1</w:t>
      </w:r>
      <w:bookmarkEnd w:id="164"/>
      <w:r>
        <w:rPr>
          <w:i/>
          <w:iCs/>
          <w:color w:val="000000"/>
          <w:spacing w:val="0"/>
          <w:w w:val="100"/>
          <w:position w:val="0"/>
          <w:sz w:val="18"/>
          <w:szCs w:val="18"/>
          <w:u w:val="single"/>
        </w:rPr>
        <w:t>、运营商业务</w:t>
      </w:r>
      <w:bookmarkEnd w:id="162"/>
      <w:bookmarkEnd w:id="163"/>
      <w:bookmarkEnd w:id="165"/>
    </w:p>
    <w:p>
      <w:pPr>
        <w:pStyle w:val="Style41"/>
        <w:keepNext w:val="0"/>
        <w:keepLines w:val="0"/>
        <w:widowControl w:val="0"/>
        <w:shd w:val="clear" w:color="auto" w:fill="auto"/>
        <w:tabs>
          <w:tab w:pos="761" w:val="left"/>
        </w:tabs>
        <w:bidi w:val="0"/>
        <w:spacing w:before="0" w:after="0" w:line="545" w:lineRule="auto"/>
        <w:ind w:left="0" w:right="0"/>
        <w:jc w:val="both"/>
      </w:pPr>
      <w:bookmarkStart w:id="166" w:name="bookmark166"/>
      <w:r>
        <w:rPr>
          <w:rFonts w:ascii="Times New Roman" w:eastAsia="Times New Roman" w:hAnsi="Times New Roman" w:cs="Times New Roman"/>
          <w:b/>
          <w:bCs/>
          <w:color w:val="000000"/>
          <w:spacing w:val="0"/>
          <w:w w:val="100"/>
          <w:position w:val="0"/>
          <w:sz w:val="18"/>
          <w:szCs w:val="18"/>
        </w:rPr>
        <w:t>A</w:t>
      </w:r>
      <w:bookmarkEnd w:id="166"/>
      <w:r>
        <w:rPr>
          <w:b/>
          <w:bCs/>
          <w:color w:val="000000"/>
          <w:spacing w:val="0"/>
          <w:w w:val="100"/>
          <w:position w:val="0"/>
        </w:rPr>
        <w:t>、</w:t>
        <w:tab/>
      </w:r>
      <w:r>
        <w:rPr>
          <w:b/>
          <w:bCs/>
          <w:color w:val="000000"/>
          <w:spacing w:val="0"/>
          <w:w w:val="100"/>
          <w:position w:val="0"/>
        </w:rPr>
        <w:t>重新整合出发，获得市场认可</w:t>
      </w:r>
    </w:p>
    <w:p>
      <w:pPr>
        <w:pStyle w:val="Style41"/>
        <w:keepNext w:val="0"/>
        <w:keepLines w:val="0"/>
        <w:widowControl w:val="0"/>
        <w:shd w:val="clear" w:color="auto" w:fill="auto"/>
        <w:bidi w:val="0"/>
        <w:spacing w:before="0" w:after="240" w:line="469" w:lineRule="exact"/>
        <w:ind w:left="0" w:right="0"/>
        <w:jc w:val="both"/>
      </w:pPr>
      <w:r>
        <w:rPr>
          <w:color w:val="000000"/>
          <w:spacing w:val="0"/>
          <w:w w:val="100"/>
          <w:position w:val="0"/>
        </w:rPr>
        <w:t>结合多年</w:t>
      </w:r>
      <w:r>
        <w:rPr>
          <w:rFonts w:ascii="Times New Roman" w:eastAsia="Times New Roman" w:hAnsi="Times New Roman" w:cs="Times New Roman"/>
          <w:color w:val="000000"/>
          <w:spacing w:val="0"/>
          <w:w w:val="100"/>
          <w:position w:val="0"/>
          <w:sz w:val="18"/>
          <w:szCs w:val="18"/>
        </w:rPr>
        <w:t>ICT</w:t>
      </w:r>
      <w:r>
        <w:rPr>
          <w:color w:val="000000"/>
          <w:spacing w:val="0"/>
          <w:w w:val="100"/>
          <w:position w:val="0"/>
        </w:rPr>
        <w:t xml:space="preserve">运营管理的业务经验，针对电信、金融、政府等大型企业客户在新环境、新格局中产生的新需求，推出了 </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智能中台、轻载前台</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'的</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大</w:t>
      </w:r>
      <w:r>
        <w:rPr>
          <w:rFonts w:ascii="Times New Roman" w:eastAsia="Times New Roman" w:hAnsi="Times New Roman" w:cs="Times New Roman"/>
          <w:color w:val="000000"/>
          <w:spacing w:val="0"/>
          <w:w w:val="100"/>
          <w:position w:val="0"/>
          <w:sz w:val="18"/>
          <w:szCs w:val="18"/>
        </w:rPr>
        <w:t>IT</w:t>
      </w:r>
      <w:r>
        <w:rPr>
          <w:color w:val="000000"/>
          <w:spacing w:val="0"/>
          <w:w w:val="100"/>
          <w:position w:val="0"/>
        </w:rPr>
        <w:t>智能运营</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系列产品，报告期内，该系统产品在由云计算开源产业联盟为指导，高效运维社区 和开放运维联盟联合主办的第十五届</w:t>
      </w:r>
      <w:r>
        <w:rPr>
          <w:rFonts w:ascii="Times New Roman" w:eastAsia="Times New Roman" w:hAnsi="Times New Roman" w:cs="Times New Roman"/>
          <w:color w:val="000000"/>
          <w:spacing w:val="0"/>
          <w:w w:val="100"/>
          <w:position w:val="0"/>
          <w:sz w:val="18"/>
          <w:szCs w:val="18"/>
        </w:rPr>
        <w:t>GOPS</w:t>
      </w:r>
      <w:r>
        <w:rPr>
          <w:color w:val="000000"/>
          <w:spacing w:val="0"/>
          <w:w w:val="100"/>
          <w:position w:val="0"/>
        </w:rPr>
        <w:t>全球运维大会上，荣获</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年度优秀合作伙伴</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奖；</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神州泰岳大</w:t>
      </w:r>
      <w:r>
        <w:rPr>
          <w:rFonts w:ascii="Times New Roman" w:eastAsia="Times New Roman" w:hAnsi="Times New Roman" w:cs="Times New Roman"/>
          <w:color w:val="000000"/>
          <w:spacing w:val="0"/>
          <w:w w:val="100"/>
          <w:position w:val="0"/>
          <w:sz w:val="18"/>
          <w:szCs w:val="18"/>
        </w:rPr>
        <w:t>IT</w:t>
      </w:r>
      <w:r>
        <w:rPr>
          <w:color w:val="000000"/>
          <w:spacing w:val="0"/>
          <w:w w:val="100"/>
          <w:position w:val="0"/>
        </w:rPr>
        <w:t>全栈智能监控 系统</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在由中国信息通信研究院主办的</w:t>
      </w:r>
      <w:r>
        <w:rPr>
          <w:rFonts w:ascii="Times New Roman" w:eastAsia="Times New Roman" w:hAnsi="Times New Roman" w:cs="Times New Roman"/>
          <w:color w:val="000000"/>
          <w:spacing w:val="0"/>
          <w:w w:val="100"/>
          <w:position w:val="0"/>
          <w:sz w:val="18"/>
          <w:szCs w:val="18"/>
        </w:rPr>
        <w:t xml:space="preserve">“2020 </w:t>
      </w:r>
      <w:r>
        <w:rPr>
          <w:rFonts w:ascii="Times New Roman" w:eastAsia="Times New Roman" w:hAnsi="Times New Roman" w:cs="Times New Roman"/>
          <w:color w:val="000000"/>
          <w:spacing w:val="0"/>
          <w:w w:val="100"/>
          <w:position w:val="0"/>
          <w:sz w:val="18"/>
          <w:szCs w:val="18"/>
        </w:rPr>
        <w:t>GOLF+ IT</w:t>
      </w:r>
      <w:r>
        <w:rPr>
          <w:color w:val="000000"/>
          <w:spacing w:val="0"/>
          <w:w w:val="100"/>
          <w:position w:val="0"/>
        </w:rPr>
        <w:t>新治理领导力论坛</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上，荣获</w:t>
      </w:r>
      <w:r>
        <w:rPr>
          <w:rFonts w:ascii="Times New Roman" w:eastAsia="Times New Roman" w:hAnsi="Times New Roman" w:cs="Times New Roman"/>
          <w:color w:val="000000"/>
          <w:spacing w:val="0"/>
          <w:w w:val="100"/>
          <w:position w:val="0"/>
          <w:sz w:val="18"/>
          <w:szCs w:val="18"/>
        </w:rPr>
        <w:t>“2020IT</w:t>
      </w:r>
      <w:r>
        <w:rPr>
          <w:color w:val="000000"/>
          <w:spacing w:val="0"/>
          <w:w w:val="100"/>
          <w:position w:val="0"/>
        </w:rPr>
        <w:t>行业年度优秀案例</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奖项。</w:t>
      </w:r>
    </w:p>
    <w:p>
      <w:pPr>
        <w:pStyle w:val="Style41"/>
        <w:keepNext w:val="0"/>
        <w:keepLines w:val="0"/>
        <w:widowControl w:val="0"/>
        <w:shd w:val="clear" w:color="auto" w:fill="auto"/>
        <w:tabs>
          <w:tab w:pos="761" w:val="left"/>
        </w:tabs>
        <w:bidi w:val="0"/>
        <w:spacing w:before="0" w:after="0" w:line="545" w:lineRule="auto"/>
        <w:ind w:left="0" w:right="0"/>
        <w:jc w:val="both"/>
      </w:pPr>
      <w:bookmarkStart w:id="167" w:name="bookmark167"/>
      <w:r>
        <w:rPr>
          <w:rFonts w:ascii="Times New Roman" w:eastAsia="Times New Roman" w:hAnsi="Times New Roman" w:cs="Times New Roman"/>
          <w:b/>
          <w:bCs/>
          <w:color w:val="000000"/>
          <w:spacing w:val="0"/>
          <w:w w:val="100"/>
          <w:position w:val="0"/>
          <w:sz w:val="18"/>
          <w:szCs w:val="18"/>
        </w:rPr>
        <w:t>B</w:t>
      </w:r>
      <w:bookmarkEnd w:id="167"/>
      <w:r>
        <w:rPr>
          <w:b/>
          <w:bCs/>
          <w:color w:val="000000"/>
          <w:spacing w:val="0"/>
          <w:w w:val="100"/>
          <w:position w:val="0"/>
        </w:rPr>
        <w:t>、</w:t>
        <w:tab/>
      </w:r>
      <w:r>
        <w:rPr>
          <w:b/>
          <w:bCs/>
          <w:color w:val="000000"/>
          <w:spacing w:val="0"/>
          <w:w w:val="100"/>
          <w:position w:val="0"/>
        </w:rPr>
        <w:t>共建产业联盟，助力共赢局面</w:t>
      </w:r>
    </w:p>
    <w:p>
      <w:pPr>
        <w:pStyle w:val="Style41"/>
        <w:keepNext w:val="0"/>
        <w:keepLines w:val="0"/>
        <w:widowControl w:val="0"/>
        <w:shd w:val="clear" w:color="auto" w:fill="auto"/>
        <w:bidi w:val="0"/>
        <w:spacing w:before="0" w:after="0" w:line="469" w:lineRule="exact"/>
        <w:ind w:left="0" w:right="0"/>
        <w:jc w:val="both"/>
      </w:pPr>
      <w:r>
        <w:rPr>
          <w:rFonts w:ascii="Times New Roman" w:eastAsia="Times New Roman" w:hAnsi="Times New Roman" w:cs="Times New Roman"/>
          <w:color w:val="000000"/>
          <w:spacing w:val="0"/>
          <w:w w:val="100"/>
          <w:position w:val="0"/>
          <w:sz w:val="18"/>
          <w:szCs w:val="18"/>
        </w:rPr>
        <w:t>5G</w:t>
      </w:r>
      <w:r>
        <w:rPr>
          <w:color w:val="000000"/>
          <w:spacing w:val="0"/>
          <w:w w:val="100"/>
          <w:position w:val="0"/>
        </w:rPr>
        <w:t>消息时代，</w:t>
      </w:r>
      <w:r>
        <w:rPr>
          <w:rFonts w:ascii="Times New Roman" w:eastAsia="Times New Roman" w:hAnsi="Times New Roman" w:cs="Times New Roman"/>
          <w:color w:val="000000"/>
          <w:spacing w:val="0"/>
          <w:w w:val="100"/>
          <w:position w:val="0"/>
          <w:sz w:val="18"/>
          <w:szCs w:val="18"/>
        </w:rPr>
        <w:t>5G</w:t>
      </w:r>
      <w:r>
        <w:rPr>
          <w:color w:val="000000"/>
          <w:spacing w:val="0"/>
          <w:w w:val="100"/>
          <w:position w:val="0"/>
        </w:rPr>
        <w:t>消息业务开展需要以运营商为核心，消息业务全产业链共同参与和推进，对于行业场景千差万别的需 求，内容展现和能力要求，不再是一家企业所能独立完成的事情，而是需要行业内合作伙伴一起优势互补、能力互助。</w:t>
      </w:r>
    </w:p>
    <w:p>
      <w:pPr>
        <w:pStyle w:val="Style41"/>
        <w:keepNext w:val="0"/>
        <w:keepLines w:val="0"/>
        <w:widowControl w:val="0"/>
        <w:shd w:val="clear" w:color="auto" w:fill="auto"/>
        <w:bidi w:val="0"/>
        <w:spacing w:before="0" w:after="0" w:line="469" w:lineRule="exact"/>
        <w:ind w:left="0" w:right="0"/>
        <w:jc w:val="both"/>
      </w:pPr>
      <w:r>
        <w:rPr>
          <w:color w:val="000000"/>
          <w:spacing w:val="0"/>
          <w:w w:val="100"/>
          <w:position w:val="0"/>
        </w:rPr>
        <w:t>从行业场景合作角度，公司搭建</w:t>
      </w:r>
      <w:r>
        <w:rPr>
          <w:rFonts w:ascii="Times New Roman" w:eastAsia="Times New Roman" w:hAnsi="Times New Roman" w:cs="Times New Roman"/>
          <w:color w:val="000000"/>
          <w:spacing w:val="0"/>
          <w:w w:val="100"/>
          <w:position w:val="0"/>
          <w:sz w:val="18"/>
          <w:szCs w:val="18"/>
        </w:rPr>
        <w:t>5G</w:t>
      </w:r>
      <w:r>
        <w:rPr>
          <w:color w:val="000000"/>
          <w:spacing w:val="0"/>
          <w:w w:val="100"/>
          <w:position w:val="0"/>
        </w:rPr>
        <w:t>消息云平台，以开放的心态联合行业相关合作伙伴提供丰富的素材、模板、场景管 理能力以及金融、气象信息、广告内容生成、数据分析、图形图像识别、语音转文字、</w:t>
      </w:r>
      <w:r>
        <w:rPr>
          <w:rFonts w:ascii="Times New Roman" w:eastAsia="Times New Roman" w:hAnsi="Times New Roman" w:cs="Times New Roman"/>
          <w:color w:val="000000"/>
          <w:spacing w:val="0"/>
          <w:w w:val="100"/>
          <w:position w:val="0"/>
          <w:sz w:val="18"/>
          <w:szCs w:val="18"/>
        </w:rPr>
        <w:t>NLP</w:t>
      </w:r>
      <w:r>
        <w:rPr>
          <w:color w:val="000000"/>
          <w:spacing w:val="0"/>
          <w:w w:val="100"/>
          <w:position w:val="0"/>
        </w:rPr>
        <w:t>语义分析、视频直播等</w:t>
      </w:r>
      <w:r>
        <w:rPr>
          <w:rFonts w:ascii="Times New Roman" w:eastAsia="Times New Roman" w:hAnsi="Times New Roman" w:cs="Times New Roman"/>
          <w:color w:val="000000"/>
          <w:spacing w:val="0"/>
          <w:w w:val="100"/>
          <w:position w:val="0"/>
          <w:sz w:val="18"/>
          <w:szCs w:val="18"/>
        </w:rPr>
        <w:t>SaaS</w:t>
      </w:r>
      <w:r>
        <w:rPr>
          <w:color w:val="000000"/>
          <w:spacing w:val="0"/>
          <w:w w:val="100"/>
          <w:position w:val="0"/>
        </w:rPr>
        <w:t>能力， 帮助行业客户构建更加丰富、灵活、智能的</w:t>
      </w:r>
      <w:r>
        <w:rPr>
          <w:rFonts w:ascii="Times New Roman" w:eastAsia="Times New Roman" w:hAnsi="Times New Roman" w:cs="Times New Roman"/>
          <w:color w:val="000000"/>
          <w:spacing w:val="0"/>
          <w:w w:val="100"/>
          <w:position w:val="0"/>
          <w:sz w:val="18"/>
          <w:szCs w:val="18"/>
        </w:rPr>
        <w:t>5G</w:t>
      </w:r>
      <w:r>
        <w:rPr>
          <w:color w:val="000000"/>
          <w:spacing w:val="0"/>
          <w:w w:val="100"/>
          <w:position w:val="0"/>
        </w:rPr>
        <w:t>消息业务场景，并先后与蓝色光标、湖南日报等签署战略协议，共同助力。</w:t>
      </w:r>
    </w:p>
    <w:p>
      <w:pPr>
        <w:pStyle w:val="Style41"/>
        <w:keepNext w:val="0"/>
        <w:keepLines w:val="0"/>
        <w:widowControl w:val="0"/>
        <w:shd w:val="clear" w:color="auto" w:fill="auto"/>
        <w:bidi w:val="0"/>
        <w:spacing w:before="0" w:after="140" w:line="469" w:lineRule="exact"/>
        <w:ind w:left="0" w:right="0"/>
        <w:jc w:val="both"/>
      </w:pPr>
      <w:r>
        <w:rPr>
          <w:color w:val="000000"/>
          <w:spacing w:val="0"/>
          <w:w w:val="100"/>
          <w:position w:val="0"/>
        </w:rPr>
        <w:t>从与运营商合作方面，公司目前已经获中国移动北京、广东、福建、湖南等中国移动分省公司的</w:t>
      </w:r>
      <w:r>
        <w:rPr>
          <w:rFonts w:ascii="Times New Roman" w:eastAsia="Times New Roman" w:hAnsi="Times New Roman" w:cs="Times New Roman"/>
          <w:color w:val="000000"/>
          <w:spacing w:val="0"/>
          <w:w w:val="100"/>
          <w:position w:val="0"/>
          <w:sz w:val="18"/>
          <w:szCs w:val="18"/>
        </w:rPr>
        <w:t>CSP</w:t>
      </w:r>
      <w:r>
        <w:rPr>
          <w:color w:val="000000"/>
          <w:spacing w:val="0"/>
          <w:w w:val="100"/>
          <w:position w:val="0"/>
        </w:rPr>
        <w:t>入围资格，获得江 苏联通、江苏电信</w:t>
      </w:r>
      <w:r>
        <w:rPr>
          <w:rFonts w:ascii="Times New Roman" w:eastAsia="Times New Roman" w:hAnsi="Times New Roman" w:cs="Times New Roman"/>
          <w:color w:val="000000"/>
          <w:spacing w:val="0"/>
          <w:w w:val="100"/>
          <w:position w:val="0"/>
          <w:sz w:val="18"/>
          <w:szCs w:val="18"/>
        </w:rPr>
        <w:t>CSP</w:t>
      </w:r>
      <w:r>
        <w:rPr>
          <w:color w:val="000000"/>
          <w:spacing w:val="0"/>
          <w:w w:val="100"/>
          <w:position w:val="0"/>
        </w:rPr>
        <w:t>入围资格。</w:t>
      </w:r>
    </w:p>
    <w:p>
      <w:pPr>
        <w:widowControl w:val="0"/>
        <w:jc w:val="center"/>
        <w:rPr>
          <w:sz w:val="2"/>
          <w:szCs w:val="2"/>
        </w:rPr>
      </w:pPr>
      <w:r>
        <w:drawing>
          <wp:inline>
            <wp:extent cx="4974590" cy="3554095"/>
            <wp:docPr id="330" name="Picutre 330"/>
            <a:graphic xmlns:a="http://schemas.openxmlformats.org/drawingml/2006/main">
              <a:graphicData uri="http://schemas.openxmlformats.org/drawingml/2006/picture">
                <pic:pic xmlns:pic="http://schemas.openxmlformats.org/drawingml/2006/picture">
                  <pic:nvPicPr>
                    <pic:cNvPr id="330" name="Picture 330"/>
                    <pic:cNvPicPr/>
                  </pic:nvPicPr>
                  <pic:blipFill>
                    <a:blip r:embed="rId99"/>
                    <a:stretch/>
                  </pic:blipFill>
                  <pic:spPr>
                    <a:xfrm>
                      <a:ext cx="4974590" cy="3554095"/>
                    </a:xfrm>
                    <a:prstGeom prst="rect"/>
                  </pic:spPr>
                </pic:pic>
              </a:graphicData>
            </a:graphic>
          </wp:inline>
        </w:drawing>
      </w:r>
    </w:p>
    <w:p>
      <w:pPr>
        <w:pStyle w:val="Style65"/>
        <w:keepNext w:val="0"/>
        <w:keepLines w:val="0"/>
        <w:widowControl w:val="0"/>
        <w:shd w:val="clear" w:color="auto" w:fill="auto"/>
        <w:bidi w:val="0"/>
        <w:spacing w:before="0" w:after="0" w:line="240" w:lineRule="auto"/>
        <w:ind w:left="1253" w:right="0" w:firstLine="0"/>
        <w:jc w:val="left"/>
        <w:rPr>
          <w:sz w:val="17"/>
          <w:szCs w:val="17"/>
        </w:rPr>
      </w:pPr>
      <w:r>
        <w:rPr>
          <w:rFonts w:ascii="SimSun" w:eastAsia="SimSun" w:hAnsi="SimSun" w:cs="SimSun"/>
          <w:b/>
          <w:bCs/>
          <w:color w:val="000000"/>
          <w:spacing w:val="0"/>
          <w:w w:val="100"/>
          <w:position w:val="0"/>
          <w:sz w:val="17"/>
          <w:szCs w:val="17"/>
        </w:rPr>
        <w:t>（上：公司与湖南日报达成战略合作；下：</w:t>
      </w:r>
      <w:r>
        <w:rPr>
          <w:rFonts w:ascii="Times New Roman" w:eastAsia="Times New Roman" w:hAnsi="Times New Roman" w:cs="Times New Roman"/>
          <w:b/>
          <w:bCs/>
          <w:color w:val="000000"/>
          <w:spacing w:val="0"/>
          <w:w w:val="100"/>
          <w:position w:val="0"/>
          <w:sz w:val="18"/>
          <w:szCs w:val="18"/>
        </w:rPr>
        <w:t>5G</w:t>
      </w:r>
      <w:r>
        <w:rPr>
          <w:rFonts w:ascii="SimSun" w:eastAsia="SimSun" w:hAnsi="SimSun" w:cs="SimSun"/>
          <w:b/>
          <w:bCs/>
          <w:color w:val="000000"/>
          <w:spacing w:val="0"/>
          <w:w w:val="100"/>
          <w:position w:val="0"/>
          <w:sz w:val="17"/>
          <w:szCs w:val="17"/>
        </w:rPr>
        <w:t>消息生态圈启动仪式）</w:t>
      </w:r>
    </w:p>
    <w:p>
      <w:pPr>
        <w:widowControl w:val="0"/>
        <w:spacing w:after="239" w:line="1" w:lineRule="exact"/>
      </w:pPr>
    </w:p>
    <w:p>
      <w:pPr>
        <w:pStyle w:val="Style41"/>
        <w:keepNext w:val="0"/>
        <w:keepLines w:val="0"/>
        <w:widowControl w:val="0"/>
        <w:shd w:val="clear" w:color="auto" w:fill="auto"/>
        <w:bidi w:val="0"/>
        <w:spacing w:before="0" w:after="240" w:line="240" w:lineRule="auto"/>
        <w:ind w:left="0" w:right="0"/>
        <w:jc w:val="both"/>
        <w:sectPr>
          <w:footnotePr>
            <w:pos w:val="pageBottom"/>
            <w:numFmt w:val="decimal"/>
            <w:numRestart w:val="continuous"/>
          </w:footnotePr>
          <w:pgSz w:w="11904" w:h="17375"/>
          <w:pgMar w:top="1857" w:right="1014" w:bottom="1795" w:left="1108" w:header="0" w:footer="3" w:gutter="0"/>
          <w:cols w:space="720"/>
          <w:noEndnote/>
          <w:rtlGutter w:val="0"/>
          <w:docGrid w:linePitch="360"/>
        </w:sectPr>
      </w:pPr>
      <w:bookmarkStart w:id="168" w:name="bookmark168"/>
      <w:r>
        <w:rPr>
          <w:rFonts w:ascii="Times New Roman" w:eastAsia="Times New Roman" w:hAnsi="Times New Roman" w:cs="Times New Roman"/>
          <w:b/>
          <w:bCs/>
          <w:color w:val="000000"/>
          <w:spacing w:val="0"/>
          <w:w w:val="100"/>
          <w:position w:val="0"/>
          <w:sz w:val="18"/>
          <w:szCs w:val="18"/>
        </w:rPr>
        <w:t>C</w:t>
      </w:r>
      <w:bookmarkEnd w:id="168"/>
      <w:r>
        <w:rPr>
          <w:b/>
          <w:bCs/>
          <w:color w:val="000000"/>
          <w:spacing w:val="0"/>
          <w:w w:val="100"/>
          <w:position w:val="0"/>
        </w:rPr>
        <w:t>、</w:t>
      </w:r>
      <w:r>
        <w:rPr>
          <w:color w:val="000000"/>
          <w:spacing w:val="0"/>
          <w:w w:val="100"/>
          <w:position w:val="0"/>
        </w:rPr>
        <w:t>继续秉承</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构筑信息安全保障新长城，开拓信息安全管理新局面</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的宗旨</w:t>
      </w:r>
    </w:p>
    <w:p>
      <w:pPr>
        <w:pStyle w:val="Style2"/>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41"/>
        <w:keepNext w:val="0"/>
        <w:keepLines w:val="0"/>
        <w:widowControl w:val="0"/>
        <w:shd w:val="clear" w:color="auto" w:fill="auto"/>
        <w:bidi w:val="0"/>
        <w:spacing w:before="0" w:after="0" w:line="467" w:lineRule="exact"/>
        <w:ind w:left="0" w:right="0" w:firstLine="820"/>
        <w:jc w:val="both"/>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 报告期内</w:t>
      </w:r>
      <w:r>
        <w:rPr>
          <w:i/>
          <w:iCs/>
          <w:color w:val="000000"/>
          <w:spacing w:val="0"/>
          <w:w w:val="100"/>
          <w:position w:val="0"/>
          <w:sz w:val="18"/>
          <w:szCs w:val="18"/>
        </w:rPr>
        <w:t>,</w:t>
      </w:r>
      <w:r>
        <w:rPr>
          <w:color w:val="000000"/>
          <w:spacing w:val="0"/>
          <w:w w:val="100"/>
          <w:position w:val="0"/>
        </w:rPr>
        <w:t>公司在信息安全领域，继续秉承</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构筑信息安全保障新长城，开拓信息安全管理新局面</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的宗旨，依托</w:t>
      </w:r>
      <w:r>
        <w:rPr>
          <w:rFonts w:ascii="Times New Roman" w:eastAsia="Times New Roman" w:hAnsi="Times New Roman" w:cs="Times New Roman"/>
          <w:color w:val="000000"/>
          <w:spacing w:val="0"/>
          <w:w w:val="100"/>
          <w:position w:val="0"/>
          <w:sz w:val="18"/>
          <w:szCs w:val="18"/>
        </w:rPr>
        <w:t xml:space="preserve">UItraSAFE </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Security Architecture For Enterprise</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4.0</w:t>
      </w:r>
      <w:r>
        <w:rPr>
          <w:color w:val="000000"/>
          <w:spacing w:val="0"/>
          <w:w w:val="100"/>
          <w:position w:val="0"/>
        </w:rPr>
        <w:t>的企业安全框架思想体系，构建企业网络与信息安全综合运营管理体系。报告期内， 完成移动</w:t>
      </w:r>
      <w:r>
        <w:rPr>
          <w:rFonts w:ascii="Times New Roman" w:eastAsia="Times New Roman" w:hAnsi="Times New Roman" w:cs="Times New Roman"/>
          <w:color w:val="000000"/>
          <w:spacing w:val="0"/>
          <w:w w:val="100"/>
          <w:position w:val="0"/>
          <w:sz w:val="18"/>
          <w:szCs w:val="18"/>
        </w:rPr>
        <w:t>P</w:t>
      </w:r>
      <w:r>
        <w:rPr>
          <w:color w:val="000000"/>
          <w:spacing w:val="0"/>
          <w:w w:val="100"/>
          <w:position w:val="0"/>
        </w:rPr>
        <w:t>域安全管控项目上线、实现网络云资源安全管控接入及全国资产安全管理平台集采入围等重大事件，同时承接了 中国移动四川公司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年安全管控平台（大区网络云接入）软件开发项目、中国移动云南公司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年安全改造扩容项目、天 津中心</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年安全管理能力提升项目、</w:t>
      </w:r>
      <w:r>
        <w:rPr>
          <w:rFonts w:ascii="Times New Roman" w:eastAsia="Times New Roman" w:hAnsi="Times New Roman" w:cs="Times New Roman"/>
          <w:color w:val="000000"/>
          <w:spacing w:val="0"/>
          <w:w w:val="100"/>
          <w:position w:val="0"/>
          <w:sz w:val="18"/>
          <w:szCs w:val="18"/>
        </w:rPr>
        <w:t>2020-2021</w:t>
      </w:r>
      <w:r>
        <w:rPr>
          <w:color w:val="000000"/>
          <w:spacing w:val="0"/>
          <w:w w:val="100"/>
          <w:position w:val="0"/>
        </w:rPr>
        <w:t>年移动云网络数据防泄漏系统采购框架合同、及华夏银行科技安全管理服 务平台项目软件开发合同等。</w:t>
      </w:r>
    </w:p>
    <w:p>
      <w:pPr>
        <w:pStyle w:val="Style41"/>
        <w:keepNext w:val="0"/>
        <w:keepLines w:val="0"/>
        <w:widowControl w:val="0"/>
        <w:shd w:val="clear" w:color="auto" w:fill="auto"/>
        <w:tabs>
          <w:tab w:pos="717" w:val="left"/>
        </w:tabs>
        <w:bidi w:val="0"/>
        <w:spacing w:before="0" w:after="0" w:line="467" w:lineRule="exact"/>
        <w:ind w:left="0" w:right="0"/>
        <w:jc w:val="both"/>
      </w:pPr>
      <w:bookmarkStart w:id="169" w:name="bookmark169"/>
      <w:r>
        <w:rPr>
          <w:rFonts w:ascii="Times New Roman" w:eastAsia="Times New Roman" w:hAnsi="Times New Roman" w:cs="Times New Roman"/>
          <w:b/>
          <w:bCs/>
          <w:color w:val="000000"/>
          <w:spacing w:val="0"/>
          <w:w w:val="100"/>
          <w:position w:val="0"/>
          <w:sz w:val="18"/>
          <w:szCs w:val="18"/>
        </w:rPr>
        <w:t>D</w:t>
      </w:r>
      <w:bookmarkEnd w:id="169"/>
      <w:r>
        <w:rPr>
          <w:b/>
          <w:bCs/>
          <w:color w:val="000000"/>
          <w:spacing w:val="0"/>
          <w:w w:val="100"/>
          <w:position w:val="0"/>
        </w:rPr>
        <w:t>、</w:t>
        <w:tab/>
      </w:r>
      <w:r>
        <w:rPr>
          <w:b/>
          <w:bCs/>
          <w:color w:val="000000"/>
          <w:spacing w:val="0"/>
          <w:w w:val="100"/>
          <w:position w:val="0"/>
        </w:rPr>
        <w:t>继续把握云计算发展趋势</w:t>
      </w:r>
    </w:p>
    <w:p>
      <w:pPr>
        <w:pStyle w:val="Style41"/>
        <w:keepNext w:val="0"/>
        <w:keepLines w:val="0"/>
        <w:widowControl w:val="0"/>
        <w:shd w:val="clear" w:color="auto" w:fill="auto"/>
        <w:bidi w:val="0"/>
        <w:spacing w:before="0" w:after="0" w:line="467" w:lineRule="exact"/>
        <w:ind w:left="0" w:right="0"/>
        <w:jc w:val="both"/>
      </w:pPr>
      <w:r>
        <w:rPr>
          <w:color w:val="000000"/>
          <w:spacing w:val="0"/>
          <w:w w:val="100"/>
          <w:position w:val="0"/>
        </w:rPr>
        <w:t>云计算特别是公有云已被公认为</w:t>
      </w:r>
      <w:r>
        <w:rPr>
          <w:rFonts w:ascii="Times New Roman" w:eastAsia="Times New Roman" w:hAnsi="Times New Roman" w:cs="Times New Roman"/>
          <w:color w:val="000000"/>
          <w:spacing w:val="0"/>
          <w:w w:val="100"/>
          <w:position w:val="0"/>
          <w:sz w:val="18"/>
          <w:szCs w:val="18"/>
        </w:rPr>
        <w:t>ICT</w:t>
      </w:r>
      <w:r>
        <w:rPr>
          <w:color w:val="000000"/>
          <w:spacing w:val="0"/>
          <w:w w:val="100"/>
          <w:position w:val="0"/>
        </w:rPr>
        <w:t>的未来方向，客户上云是未来企业数字化转型的必要趋势，具有广阔的发展前景。</w:t>
      </w:r>
    </w:p>
    <w:p>
      <w:pPr>
        <w:pStyle w:val="Style41"/>
        <w:keepNext w:val="0"/>
        <w:keepLines w:val="0"/>
        <w:widowControl w:val="0"/>
        <w:shd w:val="clear" w:color="auto" w:fill="auto"/>
        <w:bidi w:val="0"/>
        <w:spacing w:before="0" w:after="0" w:line="467" w:lineRule="exact"/>
        <w:ind w:left="0" w:right="0" w:firstLine="0"/>
        <w:jc w:val="left"/>
      </w:pPr>
      <w:r>
        <w:rPr>
          <w:color w:val="000000"/>
          <w:spacing w:val="0"/>
          <w:w w:val="100"/>
          <w:position w:val="0"/>
        </w:rPr>
        <w:t>公司云业务事业部，整合公司业务的资源、技术和需求，专注云计算方向中增值产品和服务细分市场，在技术、人才、市场、 上下游合作等方面积极准备，在构建自身云业务能力同时，加大加速对集团所有业务单元的云上业务及人员能力提升。目前 已经在游戏、跨境电商、汽车及传统企业等行业客户，提供了上云规划、</w:t>
      </w:r>
      <w:r>
        <w:rPr>
          <w:rFonts w:ascii="Times New Roman" w:eastAsia="Times New Roman" w:hAnsi="Times New Roman" w:cs="Times New Roman"/>
          <w:color w:val="000000"/>
          <w:spacing w:val="0"/>
          <w:w w:val="100"/>
          <w:position w:val="0"/>
          <w:sz w:val="18"/>
          <w:szCs w:val="18"/>
        </w:rPr>
        <w:t>IT</w:t>
      </w:r>
      <w:r>
        <w:rPr>
          <w:color w:val="000000"/>
          <w:spacing w:val="0"/>
          <w:w w:val="100"/>
          <w:position w:val="0"/>
        </w:rPr>
        <w:t xml:space="preserve">架构优化、公有云自动化运维体现建设、云迁移、 </w:t>
      </w:r>
      <w:r>
        <w:rPr>
          <w:rFonts w:ascii="Times New Roman" w:eastAsia="Times New Roman" w:hAnsi="Times New Roman" w:cs="Times New Roman"/>
          <w:color w:val="000000"/>
          <w:spacing w:val="0"/>
          <w:w w:val="100"/>
          <w:position w:val="0"/>
          <w:sz w:val="18"/>
          <w:szCs w:val="18"/>
        </w:rPr>
        <w:t>CDN</w:t>
      </w:r>
      <w:r>
        <w:rPr>
          <w:color w:val="000000"/>
          <w:spacing w:val="0"/>
          <w:w w:val="100"/>
          <w:position w:val="0"/>
        </w:rPr>
        <w:t>优化及安全、</w:t>
      </w:r>
      <w:r>
        <w:rPr>
          <w:rFonts w:ascii="Times New Roman" w:eastAsia="Times New Roman" w:hAnsi="Times New Roman" w:cs="Times New Roman"/>
          <w:color w:val="000000"/>
          <w:spacing w:val="0"/>
          <w:w w:val="100"/>
          <w:position w:val="0"/>
          <w:sz w:val="18"/>
          <w:szCs w:val="18"/>
        </w:rPr>
        <w:t>EKS</w:t>
      </w:r>
      <w:r>
        <w:rPr>
          <w:color w:val="000000"/>
          <w:spacing w:val="0"/>
          <w:w w:val="100"/>
          <w:position w:val="0"/>
        </w:rPr>
        <w:t>部署、成本优化、</w:t>
      </w:r>
      <w:r>
        <w:rPr>
          <w:rFonts w:ascii="Times New Roman" w:eastAsia="Times New Roman" w:hAnsi="Times New Roman" w:cs="Times New Roman"/>
          <w:color w:val="000000"/>
          <w:spacing w:val="0"/>
          <w:w w:val="100"/>
          <w:position w:val="0"/>
          <w:sz w:val="18"/>
          <w:szCs w:val="18"/>
        </w:rPr>
        <w:t>MSP</w:t>
      </w:r>
      <w:r>
        <w:rPr>
          <w:color w:val="000000"/>
          <w:spacing w:val="0"/>
          <w:w w:val="100"/>
          <w:position w:val="0"/>
        </w:rPr>
        <w:t>等多个场景下的服务及</w:t>
      </w:r>
      <w:r>
        <w:rPr>
          <w:rFonts w:ascii="Times New Roman" w:eastAsia="Times New Roman" w:hAnsi="Times New Roman" w:cs="Times New Roman"/>
          <w:color w:val="000000"/>
          <w:spacing w:val="0"/>
          <w:w w:val="100"/>
          <w:position w:val="0"/>
          <w:sz w:val="18"/>
          <w:szCs w:val="18"/>
        </w:rPr>
        <w:t>SAAS</w:t>
      </w:r>
      <w:r>
        <w:rPr>
          <w:color w:val="000000"/>
          <w:spacing w:val="0"/>
          <w:w w:val="100"/>
          <w:position w:val="0"/>
        </w:rPr>
        <w:t>化软件产品；同时作为</w:t>
      </w:r>
      <w:r>
        <w:rPr>
          <w:rFonts w:ascii="Times New Roman" w:eastAsia="Times New Roman" w:hAnsi="Times New Roman" w:cs="Times New Roman"/>
          <w:color w:val="000000"/>
          <w:spacing w:val="0"/>
          <w:w w:val="100"/>
          <w:position w:val="0"/>
          <w:sz w:val="18"/>
          <w:szCs w:val="18"/>
        </w:rPr>
        <w:t>AWS Advanced Partner</w:t>
      </w:r>
      <w:r>
        <w:rPr>
          <w:color w:val="000000"/>
          <w:spacing w:val="0"/>
          <w:w w:val="100"/>
          <w:position w:val="0"/>
        </w:rPr>
        <w:t xml:space="preserve">， </w:t>
      </w:r>
      <w:r>
        <w:rPr>
          <w:color w:val="000000"/>
          <w:spacing w:val="0"/>
          <w:w w:val="100"/>
          <w:position w:val="0"/>
        </w:rPr>
        <w:t>截止目前，公司已经具备的</w:t>
      </w:r>
      <w:r>
        <w:rPr>
          <w:rFonts w:ascii="Times New Roman" w:eastAsia="Times New Roman" w:hAnsi="Times New Roman" w:cs="Times New Roman"/>
          <w:color w:val="000000"/>
          <w:spacing w:val="0"/>
          <w:w w:val="100"/>
          <w:position w:val="0"/>
          <w:sz w:val="18"/>
          <w:szCs w:val="18"/>
        </w:rPr>
        <w:t xml:space="preserve">Competency </w:t>
      </w:r>
      <w:r>
        <w:rPr>
          <w:color w:val="000000"/>
          <w:spacing w:val="0"/>
          <w:w w:val="100"/>
          <w:position w:val="0"/>
        </w:rPr>
        <w:t>有</w:t>
      </w:r>
      <w:r>
        <w:rPr>
          <w:rFonts w:ascii="Times New Roman" w:eastAsia="Times New Roman" w:hAnsi="Times New Roman" w:cs="Times New Roman"/>
          <w:color w:val="000000"/>
          <w:spacing w:val="0"/>
          <w:w w:val="100"/>
          <w:position w:val="0"/>
          <w:sz w:val="18"/>
          <w:szCs w:val="18"/>
        </w:rPr>
        <w:t>Migration Competency, DevOps Competency&amp; CMP Competency ,</w:t>
      </w:r>
      <w:r>
        <w:rPr>
          <w:color w:val="000000"/>
          <w:spacing w:val="0"/>
          <w:w w:val="100"/>
          <w:position w:val="0"/>
        </w:rPr>
        <w:t xml:space="preserve">业务资质包括 </w:t>
      </w:r>
      <w:r>
        <w:rPr>
          <w:rFonts w:ascii="Times New Roman" w:eastAsia="Times New Roman" w:hAnsi="Times New Roman" w:cs="Times New Roman"/>
          <w:color w:val="000000"/>
          <w:spacing w:val="0"/>
          <w:w w:val="100"/>
          <w:position w:val="0"/>
          <w:sz w:val="18"/>
          <w:szCs w:val="18"/>
        </w:rPr>
        <w:t xml:space="preserve">China SPP </w:t>
      </w:r>
      <w:r>
        <w:rPr>
          <w:rFonts w:ascii="Times New Roman" w:eastAsia="Times New Roman" w:hAnsi="Times New Roman" w:cs="Times New Roman"/>
          <w:color w:val="000000"/>
          <w:spacing w:val="0"/>
          <w:w w:val="100"/>
          <w:position w:val="0"/>
          <w:sz w:val="18"/>
          <w:szCs w:val="18"/>
        </w:rPr>
        <w:t xml:space="preserve">&amp; </w:t>
      </w:r>
      <w:r>
        <w:rPr>
          <w:rFonts w:ascii="Times New Roman" w:eastAsia="Times New Roman" w:hAnsi="Times New Roman" w:cs="Times New Roman"/>
          <w:color w:val="000000"/>
          <w:spacing w:val="0"/>
          <w:w w:val="100"/>
          <w:position w:val="0"/>
          <w:sz w:val="18"/>
          <w:szCs w:val="18"/>
        </w:rPr>
        <w:t>Global SPP</w:t>
      </w:r>
      <w:r>
        <w:rPr>
          <w:color w:val="000000"/>
          <w:spacing w:val="0"/>
          <w:w w:val="100"/>
          <w:position w:val="0"/>
        </w:rPr>
        <w:t>。</w:t>
      </w:r>
    </w:p>
    <w:p>
      <w:pPr>
        <w:pStyle w:val="Style41"/>
        <w:keepNext w:val="0"/>
        <w:keepLines w:val="0"/>
        <w:widowControl w:val="0"/>
        <w:shd w:val="clear" w:color="auto" w:fill="auto"/>
        <w:tabs>
          <w:tab w:pos="717" w:val="left"/>
        </w:tabs>
        <w:bidi w:val="0"/>
        <w:spacing w:before="0" w:after="0" w:line="467" w:lineRule="exact"/>
        <w:ind w:left="0" w:right="0"/>
        <w:jc w:val="both"/>
      </w:pPr>
      <w:bookmarkStart w:id="170" w:name="bookmark170"/>
      <w:r>
        <w:rPr>
          <w:rFonts w:ascii="Times New Roman" w:eastAsia="Times New Roman" w:hAnsi="Times New Roman" w:cs="Times New Roman"/>
          <w:b/>
          <w:bCs/>
          <w:color w:val="000000"/>
          <w:spacing w:val="0"/>
          <w:w w:val="100"/>
          <w:position w:val="0"/>
          <w:sz w:val="18"/>
          <w:szCs w:val="18"/>
        </w:rPr>
        <w:t>E</w:t>
      </w:r>
      <w:bookmarkEnd w:id="170"/>
      <w:r>
        <w:rPr>
          <w:b/>
          <w:bCs/>
          <w:color w:val="000000"/>
          <w:spacing w:val="0"/>
          <w:w w:val="100"/>
          <w:position w:val="0"/>
        </w:rPr>
        <w:t>、</w:t>
        <w:tab/>
      </w:r>
      <w:r>
        <w:rPr>
          <w:b/>
          <w:bCs/>
          <w:color w:val="000000"/>
          <w:spacing w:val="0"/>
          <w:w w:val="100"/>
          <w:position w:val="0"/>
        </w:rPr>
        <w:t>面向市场共享</w:t>
      </w:r>
      <w:r>
        <w:rPr>
          <w:rFonts w:ascii="Times New Roman" w:eastAsia="Times New Roman" w:hAnsi="Times New Roman" w:cs="Times New Roman"/>
          <w:b/>
          <w:bCs/>
          <w:color w:val="000000"/>
          <w:spacing w:val="0"/>
          <w:w w:val="100"/>
          <w:position w:val="0"/>
          <w:sz w:val="18"/>
          <w:szCs w:val="18"/>
        </w:rPr>
        <w:t>IT</w:t>
      </w:r>
      <w:r>
        <w:rPr>
          <w:b/>
          <w:bCs/>
          <w:color w:val="000000"/>
          <w:spacing w:val="0"/>
          <w:w w:val="100"/>
          <w:position w:val="0"/>
        </w:rPr>
        <w:t>运维管理服务经验</w:t>
      </w:r>
    </w:p>
    <w:p>
      <w:pPr>
        <w:pStyle w:val="Style41"/>
        <w:keepNext w:val="0"/>
        <w:keepLines w:val="0"/>
        <w:widowControl w:val="0"/>
        <w:shd w:val="clear" w:color="auto" w:fill="auto"/>
        <w:bidi w:val="0"/>
        <w:spacing w:before="0" w:after="760" w:line="467" w:lineRule="exact"/>
        <w:ind w:left="0" w:right="0"/>
        <w:jc w:val="both"/>
      </w:pPr>
      <w:r>
        <mc:AlternateContent>
          <mc:Choice Requires="wps">
            <w:drawing>
              <wp:anchor distT="0" distB="0" distL="114300" distR="114300" simplePos="0" relativeHeight="125829470" behindDoc="0" locked="0" layoutInCell="1" allowOverlap="1">
                <wp:simplePos x="0" y="0"/>
                <wp:positionH relativeFrom="page">
                  <wp:posOffset>4742815</wp:posOffset>
                </wp:positionH>
                <wp:positionV relativeFrom="paragraph">
                  <wp:posOffset>1358900</wp:posOffset>
                </wp:positionV>
                <wp:extent cx="502920" cy="115570"/>
                <wp:wrapSquare wrapText="left"/>
                <wp:docPr id="331" name="Shape 331"/>
                <a:graphic xmlns:a="http://schemas.openxmlformats.org/drawingml/2006/main">
                  <a:graphicData uri="http://schemas.microsoft.com/office/word/2010/wordprocessingShape">
                    <wps:wsp>
                      <wps:cNvSpPr txBox="1"/>
                      <wps:spPr>
                        <a:xfrm>
                          <a:ext cx="502920" cy="11557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color w:val="2A2522"/>
                                <w:spacing w:val="0"/>
                                <w:w w:val="100"/>
                                <w:position w:val="0"/>
                                <w:sz w:val="12"/>
                                <w:szCs w:val="12"/>
                              </w:rPr>
                              <w:t>版权声明</w:t>
                            </w:r>
                          </w:p>
                        </w:txbxContent>
                      </wps:txbx>
                      <wps:bodyPr wrap="none" lIns="0" tIns="0" rIns="0" bIns="0">
                        <a:noAutoFit/>
                      </wps:bodyPr>
                    </wps:wsp>
                  </a:graphicData>
                </a:graphic>
              </wp:anchor>
            </w:drawing>
          </mc:Choice>
          <mc:Fallback>
            <w:pict>
              <v:shape id="_x0000_s1357" type="#_x0000_t202" style="position:absolute;margin-left:373.44999999999999pt;margin-top:107.pt;width:39.600000000000001pt;height:9.0999999999999996pt;z-index:-125829283;mso-wrap-distance-left:9.pt;mso-wrap-distance-right:9.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2"/>
                          <w:szCs w:val="12"/>
                        </w:rPr>
                      </w:pPr>
                      <w:r>
                        <w:rPr>
                          <w:color w:val="2A2522"/>
                          <w:spacing w:val="0"/>
                          <w:w w:val="100"/>
                          <w:position w:val="0"/>
                          <w:sz w:val="12"/>
                          <w:szCs w:val="12"/>
                        </w:rPr>
                        <w:t>版权声明</w:t>
                      </w:r>
                    </w:p>
                  </w:txbxContent>
                </v:textbox>
                <w10:wrap type="square" side="left" anchorx="page"/>
              </v:shape>
            </w:pict>
          </mc:Fallback>
        </mc:AlternateContent>
      </w:r>
      <w:r>
        <w:rPr>
          <w:color w:val="000000"/>
          <w:spacing w:val="0"/>
          <w:w w:val="100"/>
          <w:position w:val="0"/>
        </w:rPr>
        <w:t>公司内通信领域技术专家代表参与编撰由云计算开源产业联盟发布的《企业</w:t>
      </w:r>
      <w:r>
        <w:rPr>
          <w:rFonts w:ascii="Times New Roman" w:eastAsia="Times New Roman" w:hAnsi="Times New Roman" w:cs="Times New Roman"/>
          <w:color w:val="000000"/>
          <w:spacing w:val="0"/>
          <w:w w:val="100"/>
          <w:position w:val="0"/>
          <w:sz w:val="18"/>
          <w:szCs w:val="18"/>
        </w:rPr>
        <w:t>IT</w:t>
      </w:r>
      <w:r>
        <w:rPr>
          <w:color w:val="000000"/>
          <w:spacing w:val="0"/>
          <w:w w:val="100"/>
          <w:position w:val="0"/>
        </w:rPr>
        <w:t>运维发展白皮书（</w:t>
      </w:r>
      <w:r>
        <w:rPr>
          <w:rFonts w:ascii="Times New Roman" w:eastAsia="Times New Roman" w:hAnsi="Times New Roman" w:cs="Times New Roman"/>
          <w:color w:val="000000"/>
          <w:spacing w:val="0"/>
          <w:w w:val="100"/>
          <w:position w:val="0"/>
          <w:sz w:val="18"/>
          <w:szCs w:val="18"/>
        </w:rPr>
        <w:t>2019</w:t>
      </w:r>
      <w:r>
        <w:rPr>
          <w:color w:val="000000"/>
          <w:spacing w:val="0"/>
          <w:w w:val="100"/>
          <w:position w:val="0"/>
        </w:rPr>
        <w:t>年）》，白皮书中收 录了公司面向大型企业持续提供</w:t>
      </w:r>
      <w:r>
        <w:rPr>
          <w:rFonts w:ascii="Times New Roman" w:eastAsia="Times New Roman" w:hAnsi="Times New Roman" w:cs="Times New Roman"/>
          <w:color w:val="000000"/>
          <w:spacing w:val="0"/>
          <w:w w:val="100"/>
          <w:position w:val="0"/>
          <w:sz w:val="18"/>
          <w:szCs w:val="18"/>
        </w:rPr>
        <w:t>IT</w:t>
      </w:r>
      <w:r>
        <w:rPr>
          <w:color w:val="000000"/>
          <w:spacing w:val="0"/>
          <w:w w:val="100"/>
          <w:position w:val="0"/>
        </w:rPr>
        <w:t>运维管理服务的经验，阐述了公司的运维理念，分享了行业最佳实践，同时展示了公司</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全 栈智能化运营平台</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解决方案。</w:t>
      </w:r>
    </w:p>
    <w:p>
      <w:pPr>
        <w:pStyle w:val="Style156"/>
        <w:keepNext w:val="0"/>
        <w:keepLines w:val="0"/>
        <w:widowControl w:val="0"/>
        <w:shd w:val="clear" w:color="auto" w:fill="auto"/>
        <w:bidi w:val="0"/>
        <w:spacing w:before="0" w:after="0" w:line="240" w:lineRule="auto"/>
        <w:ind w:left="2560" w:right="0" w:firstLine="0"/>
        <w:jc w:val="left"/>
      </w:pPr>
      <w:r>
        <w:rPr>
          <w:rFonts w:ascii="SimHei" w:eastAsia="SimHei" w:hAnsi="SimHei" w:cs="SimHei"/>
          <w:b w:val="0"/>
          <w:bCs w:val="0"/>
          <w:color w:val="8D8D8D"/>
          <w:spacing w:val="0"/>
          <w:w w:val="100"/>
          <w:position w:val="0"/>
        </w:rPr>
        <w:t>云什算</w:t>
      </w:r>
      <w:r>
        <w:rPr>
          <w:rFonts w:ascii="SimHei" w:eastAsia="SimHei" w:hAnsi="SimHei" w:cs="SimHei"/>
          <w:b w:val="0"/>
          <w:bCs w:val="0"/>
          <w:color w:val="797777"/>
          <w:spacing w:val="0"/>
          <w:w w:val="100"/>
          <w:position w:val="0"/>
        </w:rPr>
        <w:t>开</w:t>
      </w:r>
      <w:r>
        <w:rPr>
          <w:rFonts w:ascii="SimHei" w:eastAsia="SimHei" w:hAnsi="SimHei" w:cs="SimHei"/>
          <w:b w:val="0"/>
          <w:bCs w:val="0"/>
          <w:color w:val="8D8D8D"/>
          <w:spacing w:val="0"/>
          <w:w w:val="100"/>
          <w:position w:val="0"/>
        </w:rPr>
        <w:t>源</w:t>
      </w:r>
      <w:r>
        <w:rPr>
          <w:rFonts w:ascii="SimHei" w:eastAsia="SimHei" w:hAnsi="SimHei" w:cs="SimHei"/>
          <w:b w:val="0"/>
          <w:bCs w:val="0"/>
          <w:color w:val="797777"/>
          <w:spacing w:val="0"/>
          <w:w w:val="100"/>
          <w:position w:val="0"/>
        </w:rPr>
        <w:t>产</w:t>
      </w:r>
      <w:r>
        <w:rPr>
          <w:rFonts w:ascii="SimHei" w:eastAsia="SimHei" w:hAnsi="SimHei" w:cs="SimHei"/>
          <w:b w:val="0"/>
          <w:bCs w:val="0"/>
          <w:color w:val="8D8D8D"/>
          <w:spacing w:val="0"/>
          <w:w w:val="100"/>
          <w:position w:val="0"/>
        </w:rPr>
        <w:t>帅</w:t>
      </w:r>
      <w:r>
        <w:rPr>
          <w:color w:val="797777"/>
          <w:spacing w:val="0"/>
          <w:w w:val="100"/>
          <w:position w:val="0"/>
        </w:rPr>
        <w:t>8XS8</w:t>
      </w:r>
    </w:p>
    <w:p>
      <w:pPr>
        <w:widowControl w:val="0"/>
        <w:spacing w:line="1" w:lineRule="exact"/>
        <w:sectPr>
          <w:headerReference w:type="default" r:id="rId101"/>
          <w:footerReference w:type="default" r:id="rId102"/>
          <w:headerReference w:type="even" r:id="rId103"/>
          <w:footerReference w:type="even" r:id="rId104"/>
          <w:footnotePr>
            <w:pos w:val="pageBottom"/>
            <w:numFmt w:val="decimal"/>
            <w:numRestart w:val="continuous"/>
          </w:footnotePr>
          <w:pgSz w:w="11904" w:h="17375"/>
          <w:pgMar w:top="1070" w:right="1018" w:bottom="1425" w:left="1104" w:header="642" w:footer="3" w:gutter="0"/>
          <w:cols w:space="720"/>
          <w:noEndnote/>
          <w:rtlGutter w:val="0"/>
          <w:docGrid w:linePitch="360"/>
        </w:sectPr>
      </w:pPr>
      <w:r>
        <mc:AlternateContent>
          <mc:Choice Requires="wps">
            <w:drawing>
              <wp:anchor distT="674370" distB="1963420" distL="0" distR="0" simplePos="0" relativeHeight="125829472" behindDoc="0" locked="0" layoutInCell="1" allowOverlap="1">
                <wp:simplePos x="0" y="0"/>
                <wp:positionH relativeFrom="page">
                  <wp:posOffset>2139950</wp:posOffset>
                </wp:positionH>
                <wp:positionV relativeFrom="paragraph">
                  <wp:posOffset>674370</wp:posOffset>
                </wp:positionV>
                <wp:extent cx="1393190" cy="167640"/>
                <wp:wrapTopAndBottom/>
                <wp:docPr id="337" name="Shape 337"/>
                <a:graphic xmlns:a="http://schemas.openxmlformats.org/drawingml/2006/main">
                  <a:graphicData uri="http://schemas.microsoft.com/office/word/2010/wordprocessingShape">
                    <wps:wsp>
                      <wps:cNvSpPr txBox="1"/>
                      <wps:spPr>
                        <a:xfrm>
                          <a:ext cx="1393190" cy="16764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20"/>
                                <w:szCs w:val="20"/>
                              </w:rPr>
                              <w:t>企业</w:t>
                            </w:r>
                            <w:r>
                              <w:rPr>
                                <w:rFonts w:ascii="Times New Roman" w:eastAsia="Times New Roman" w:hAnsi="Times New Roman" w:cs="Times New Roman"/>
                                <w:b/>
                                <w:bCs/>
                                <w:color w:val="000000"/>
                                <w:spacing w:val="0"/>
                                <w:w w:val="100"/>
                                <w:position w:val="0"/>
                                <w:sz w:val="20"/>
                                <w:szCs w:val="20"/>
                              </w:rPr>
                              <w:t>IT</w:t>
                            </w:r>
                            <w:r>
                              <w:rPr>
                                <w:b/>
                                <w:bCs/>
                                <w:color w:val="000000"/>
                                <w:spacing w:val="0"/>
                                <w:w w:val="100"/>
                                <w:position w:val="0"/>
                                <w:sz w:val="20"/>
                                <w:szCs w:val="20"/>
                              </w:rPr>
                              <w:t>运维发展白皮书</w:t>
                            </w:r>
                          </w:p>
                        </w:txbxContent>
                      </wps:txbx>
                      <wps:bodyPr wrap="none" lIns="0" tIns="0" rIns="0" bIns="0">
                        <a:noAutoFit/>
                      </wps:bodyPr>
                    </wps:wsp>
                  </a:graphicData>
                </a:graphic>
              </wp:anchor>
            </w:drawing>
          </mc:Choice>
          <mc:Fallback>
            <w:pict>
              <v:shape id="_x0000_s1363" type="#_x0000_t202" style="position:absolute;margin-left:168.5pt;margin-top:53.100000000000001pt;width:109.7pt;height:13.200000000000001pt;z-index:-125829281;mso-wrap-distance-left:0;mso-wrap-distance-top:53.100000000000001pt;mso-wrap-distance-right:0;mso-wrap-distance-bottom:154.59999999999999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20"/>
                          <w:szCs w:val="20"/>
                        </w:rPr>
                        <w:t>企业</w:t>
                      </w:r>
                      <w:r>
                        <w:rPr>
                          <w:rFonts w:ascii="Times New Roman" w:eastAsia="Times New Roman" w:hAnsi="Times New Roman" w:cs="Times New Roman"/>
                          <w:b/>
                          <w:bCs/>
                          <w:color w:val="000000"/>
                          <w:spacing w:val="0"/>
                          <w:w w:val="100"/>
                          <w:position w:val="0"/>
                          <w:sz w:val="20"/>
                          <w:szCs w:val="20"/>
                        </w:rPr>
                        <w:t>IT</w:t>
                      </w:r>
                      <w:r>
                        <w:rPr>
                          <w:b/>
                          <w:bCs/>
                          <w:color w:val="000000"/>
                          <w:spacing w:val="0"/>
                          <w:w w:val="100"/>
                          <w:position w:val="0"/>
                          <w:sz w:val="20"/>
                          <w:szCs w:val="20"/>
                        </w:rPr>
                        <w:t>运维发展白皮书</w:t>
                      </w:r>
                    </w:p>
                  </w:txbxContent>
                </v:textbox>
                <w10:wrap type="topAndBottom" anchorx="page"/>
              </v:shape>
            </w:pict>
          </mc:Fallback>
        </mc:AlternateContent>
      </w:r>
      <w:r>
        <mc:AlternateContent>
          <mc:Choice Requires="wps">
            <w:drawing>
              <wp:anchor distT="885190" distB="1789430" distL="0" distR="0" simplePos="0" relativeHeight="125829474" behindDoc="0" locked="0" layoutInCell="1" allowOverlap="1">
                <wp:simplePos x="0" y="0"/>
                <wp:positionH relativeFrom="page">
                  <wp:posOffset>2627630</wp:posOffset>
                </wp:positionH>
                <wp:positionV relativeFrom="paragraph">
                  <wp:posOffset>885190</wp:posOffset>
                </wp:positionV>
                <wp:extent cx="420370" cy="130810"/>
                <wp:wrapTopAndBottom/>
                <wp:docPr id="339" name="Shape 339"/>
                <a:graphic xmlns:a="http://schemas.openxmlformats.org/drawingml/2006/main">
                  <a:graphicData uri="http://schemas.microsoft.com/office/word/2010/wordprocessingShape">
                    <wps:wsp>
                      <wps:cNvSpPr txBox="1"/>
                      <wps:spPr>
                        <a:xfrm>
                          <a:ext cx="420370" cy="13081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1C1A1D"/>
                                <w:spacing w:val="0"/>
                                <w:w w:val="100"/>
                                <w:position w:val="0"/>
                                <w:sz w:val="16"/>
                                <w:szCs w:val="16"/>
                              </w:rPr>
                              <w:t xml:space="preserve">（2019 </w:t>
                            </w:r>
                            <w:r>
                              <w:rPr>
                                <w:color w:val="1C1A1D"/>
                                <w:spacing w:val="0"/>
                                <w:w w:val="100"/>
                                <w:position w:val="0"/>
                                <w:sz w:val="15"/>
                                <w:szCs w:val="15"/>
                              </w:rPr>
                              <w:t>年）</w:t>
                            </w:r>
                          </w:p>
                        </w:txbxContent>
                      </wps:txbx>
                      <wps:bodyPr wrap="none" lIns="0" tIns="0" rIns="0" bIns="0">
                        <a:noAutoFit/>
                      </wps:bodyPr>
                    </wps:wsp>
                  </a:graphicData>
                </a:graphic>
              </wp:anchor>
            </w:drawing>
          </mc:Choice>
          <mc:Fallback>
            <w:pict>
              <v:shape id="_x0000_s1365" type="#_x0000_t202" style="position:absolute;margin-left:206.90000000000001pt;margin-top:69.700000000000003pt;width:33.100000000000001pt;height:10.300000000000001pt;z-index:-125829279;mso-wrap-distance-left:0;mso-wrap-distance-top:69.700000000000003pt;mso-wrap-distance-right:0;mso-wrap-distance-bottom:140.90000000000001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1C1A1D"/>
                          <w:spacing w:val="0"/>
                          <w:w w:val="100"/>
                          <w:position w:val="0"/>
                          <w:sz w:val="16"/>
                          <w:szCs w:val="16"/>
                        </w:rPr>
                        <w:t xml:space="preserve">（2019 </w:t>
                      </w:r>
                      <w:r>
                        <w:rPr>
                          <w:color w:val="1C1A1D"/>
                          <w:spacing w:val="0"/>
                          <w:w w:val="100"/>
                          <w:position w:val="0"/>
                          <w:sz w:val="15"/>
                          <w:szCs w:val="15"/>
                        </w:rPr>
                        <w:t>年）</w:t>
                      </w:r>
                    </w:p>
                  </w:txbxContent>
                </v:textbox>
                <w10:wrap type="topAndBottom" anchorx="page"/>
              </v:shape>
            </w:pict>
          </mc:Fallback>
        </mc:AlternateContent>
      </w:r>
      <w:r>
        <mc:AlternateContent>
          <mc:Choice Requires="wps">
            <w:drawing>
              <wp:anchor distT="1586230" distB="975360" distL="0" distR="0" simplePos="0" relativeHeight="125829476" behindDoc="0" locked="0" layoutInCell="1" allowOverlap="1">
                <wp:simplePos x="0" y="0"/>
                <wp:positionH relativeFrom="page">
                  <wp:posOffset>2490470</wp:posOffset>
                </wp:positionH>
                <wp:positionV relativeFrom="paragraph">
                  <wp:posOffset>1586230</wp:posOffset>
                </wp:positionV>
                <wp:extent cx="740410" cy="243840"/>
                <wp:wrapTopAndBottom/>
                <wp:docPr id="341" name="Shape 341"/>
                <a:graphic xmlns:a="http://schemas.openxmlformats.org/drawingml/2006/main">
                  <a:graphicData uri="http://schemas.microsoft.com/office/word/2010/wordprocessingShape">
                    <wps:wsp>
                      <wps:cNvSpPr txBox="1"/>
                      <wps:spPr>
                        <a:xfrm>
                          <a:ext cx="740410" cy="243840"/>
                        </a:xfrm>
                        <a:prstGeom prst="rect"/>
                        <a:noFill/>
                      </wps:spPr>
                      <wps:txbx>
                        <w:txbxContent>
                          <w:p>
                            <w:pPr>
                              <w:pStyle w:val="Style2"/>
                              <w:keepNext w:val="0"/>
                              <w:keepLines w:val="0"/>
                              <w:widowControl w:val="0"/>
                              <w:shd w:val="clear" w:color="auto" w:fill="auto"/>
                              <w:bidi w:val="0"/>
                              <w:spacing w:before="0" w:after="60" w:line="240" w:lineRule="auto"/>
                              <w:ind w:left="0" w:right="0" w:firstLine="0"/>
                              <w:jc w:val="center"/>
                              <w:rPr>
                                <w:sz w:val="11"/>
                                <w:szCs w:val="11"/>
                              </w:rPr>
                            </w:pPr>
                            <w:r>
                              <w:rPr>
                                <w:rFonts w:ascii="SimHei" w:eastAsia="SimHei" w:hAnsi="SimHei" w:cs="SimHei"/>
                                <w:color w:val="464544"/>
                                <w:spacing w:val="0"/>
                                <w:w w:val="100"/>
                                <w:position w:val="0"/>
                                <w:sz w:val="11"/>
                                <w:szCs w:val="11"/>
                              </w:rPr>
                              <w:t>云计算开源产业联盟</w:t>
                            </w:r>
                          </w:p>
                          <w:p>
                            <w:pPr>
                              <w:pStyle w:val="Style2"/>
                              <w:keepNext w:val="0"/>
                              <w:keepLines w:val="0"/>
                              <w:widowControl w:val="0"/>
                              <w:shd w:val="clear" w:color="auto" w:fill="auto"/>
                              <w:bidi w:val="0"/>
                              <w:spacing w:before="0" w:after="0" w:line="240" w:lineRule="auto"/>
                              <w:ind w:left="0" w:right="0" w:firstLine="0"/>
                              <w:jc w:val="center"/>
                              <w:rPr>
                                <w:sz w:val="11"/>
                                <w:szCs w:val="11"/>
                              </w:rPr>
                            </w:pPr>
                            <w:r>
                              <w:rPr>
                                <w:rFonts w:ascii="Times New Roman" w:eastAsia="Times New Roman" w:hAnsi="Times New Roman" w:cs="Times New Roman"/>
                                <w:color w:val="464544"/>
                                <w:spacing w:val="0"/>
                                <w:w w:val="100"/>
                                <w:position w:val="0"/>
                                <w:sz w:val="12"/>
                                <w:szCs w:val="12"/>
                              </w:rPr>
                              <w:t>2019</w:t>
                            </w:r>
                            <w:r>
                              <w:rPr>
                                <w:rFonts w:ascii="SimHei" w:eastAsia="SimHei" w:hAnsi="SimHei" w:cs="SimHei"/>
                                <w:color w:val="464544"/>
                                <w:spacing w:val="0"/>
                                <w:w w:val="100"/>
                                <w:position w:val="0"/>
                                <w:sz w:val="11"/>
                                <w:szCs w:val="11"/>
                              </w:rPr>
                              <w:t>年</w:t>
                            </w:r>
                            <w:r>
                              <w:rPr>
                                <w:rFonts w:ascii="Times New Roman" w:eastAsia="Times New Roman" w:hAnsi="Times New Roman" w:cs="Times New Roman"/>
                                <w:color w:val="464544"/>
                                <w:spacing w:val="0"/>
                                <w:w w:val="100"/>
                                <w:position w:val="0"/>
                                <w:sz w:val="12"/>
                                <w:szCs w:val="12"/>
                              </w:rPr>
                              <w:t>12</w:t>
                            </w:r>
                            <w:r>
                              <w:rPr>
                                <w:rFonts w:ascii="SimHei" w:eastAsia="SimHei" w:hAnsi="SimHei" w:cs="SimHei"/>
                                <w:color w:val="464544"/>
                                <w:spacing w:val="0"/>
                                <w:w w:val="100"/>
                                <w:position w:val="0"/>
                                <w:sz w:val="11"/>
                                <w:szCs w:val="11"/>
                              </w:rPr>
                              <w:t>月</w:t>
                            </w:r>
                          </w:p>
                        </w:txbxContent>
                      </wps:txbx>
                      <wps:bodyPr lIns="0" tIns="0" rIns="0" bIns="0">
                        <a:noAutoFit/>
                      </wps:bodyPr>
                    </wps:wsp>
                  </a:graphicData>
                </a:graphic>
              </wp:anchor>
            </w:drawing>
          </mc:Choice>
          <mc:Fallback>
            <w:pict>
              <v:shape id="_x0000_s1367" type="#_x0000_t202" style="position:absolute;margin-left:196.09999999999999pt;margin-top:124.90000000000001pt;width:58.300000000000004pt;height:19.199999999999999pt;z-index:-125829277;mso-wrap-distance-left:0;mso-wrap-distance-top:124.90000000000001pt;mso-wrap-distance-right:0;mso-wrap-distance-bottom:76.799999999999997pt;mso-position-horizontal-relative:page" filled="f" stroked="f">
                <v:textbox inset="0,0,0,0">
                  <w:txbxContent>
                    <w:p>
                      <w:pPr>
                        <w:pStyle w:val="Style2"/>
                        <w:keepNext w:val="0"/>
                        <w:keepLines w:val="0"/>
                        <w:widowControl w:val="0"/>
                        <w:shd w:val="clear" w:color="auto" w:fill="auto"/>
                        <w:bidi w:val="0"/>
                        <w:spacing w:before="0" w:after="60" w:line="240" w:lineRule="auto"/>
                        <w:ind w:left="0" w:right="0" w:firstLine="0"/>
                        <w:jc w:val="center"/>
                        <w:rPr>
                          <w:sz w:val="11"/>
                          <w:szCs w:val="11"/>
                        </w:rPr>
                      </w:pPr>
                      <w:r>
                        <w:rPr>
                          <w:rFonts w:ascii="SimHei" w:eastAsia="SimHei" w:hAnsi="SimHei" w:cs="SimHei"/>
                          <w:color w:val="464544"/>
                          <w:spacing w:val="0"/>
                          <w:w w:val="100"/>
                          <w:position w:val="0"/>
                          <w:sz w:val="11"/>
                          <w:szCs w:val="11"/>
                        </w:rPr>
                        <w:t>云计算开源产业联盟</w:t>
                      </w:r>
                    </w:p>
                    <w:p>
                      <w:pPr>
                        <w:pStyle w:val="Style2"/>
                        <w:keepNext w:val="0"/>
                        <w:keepLines w:val="0"/>
                        <w:widowControl w:val="0"/>
                        <w:shd w:val="clear" w:color="auto" w:fill="auto"/>
                        <w:bidi w:val="0"/>
                        <w:spacing w:before="0" w:after="0" w:line="240" w:lineRule="auto"/>
                        <w:ind w:left="0" w:right="0" w:firstLine="0"/>
                        <w:jc w:val="center"/>
                        <w:rPr>
                          <w:sz w:val="11"/>
                          <w:szCs w:val="11"/>
                        </w:rPr>
                      </w:pPr>
                      <w:r>
                        <w:rPr>
                          <w:rFonts w:ascii="Times New Roman" w:eastAsia="Times New Roman" w:hAnsi="Times New Roman" w:cs="Times New Roman"/>
                          <w:color w:val="464544"/>
                          <w:spacing w:val="0"/>
                          <w:w w:val="100"/>
                          <w:position w:val="0"/>
                          <w:sz w:val="12"/>
                          <w:szCs w:val="12"/>
                        </w:rPr>
                        <w:t>2019</w:t>
                      </w:r>
                      <w:r>
                        <w:rPr>
                          <w:rFonts w:ascii="SimHei" w:eastAsia="SimHei" w:hAnsi="SimHei" w:cs="SimHei"/>
                          <w:color w:val="464544"/>
                          <w:spacing w:val="0"/>
                          <w:w w:val="100"/>
                          <w:position w:val="0"/>
                          <w:sz w:val="11"/>
                          <w:szCs w:val="11"/>
                        </w:rPr>
                        <w:t>年</w:t>
                      </w:r>
                      <w:r>
                        <w:rPr>
                          <w:rFonts w:ascii="Times New Roman" w:eastAsia="Times New Roman" w:hAnsi="Times New Roman" w:cs="Times New Roman"/>
                          <w:color w:val="464544"/>
                          <w:spacing w:val="0"/>
                          <w:w w:val="100"/>
                          <w:position w:val="0"/>
                          <w:sz w:val="12"/>
                          <w:szCs w:val="12"/>
                        </w:rPr>
                        <w:t>12</w:t>
                      </w:r>
                      <w:r>
                        <w:rPr>
                          <w:rFonts w:ascii="SimHei" w:eastAsia="SimHei" w:hAnsi="SimHei" w:cs="SimHei"/>
                          <w:color w:val="464544"/>
                          <w:spacing w:val="0"/>
                          <w:w w:val="100"/>
                          <w:position w:val="0"/>
                          <w:sz w:val="11"/>
                          <w:szCs w:val="11"/>
                        </w:rPr>
                        <w:t>月</w:t>
                      </w:r>
                    </w:p>
                  </w:txbxContent>
                </v:textbox>
                <w10:wrap type="topAndBottom" anchorx="page"/>
              </v:shape>
            </w:pict>
          </mc:Fallback>
        </mc:AlternateContent>
      </w:r>
      <w:r>
        <mc:AlternateContent>
          <mc:Choice Requires="wps">
            <w:drawing>
              <wp:anchor distT="254000" distB="0" distL="0" distR="0" simplePos="0" relativeHeight="125829478" behindDoc="0" locked="0" layoutInCell="1" allowOverlap="1">
                <wp:simplePos x="0" y="0"/>
                <wp:positionH relativeFrom="page">
                  <wp:posOffset>3078480</wp:posOffset>
                </wp:positionH>
                <wp:positionV relativeFrom="paragraph">
                  <wp:posOffset>254000</wp:posOffset>
                </wp:positionV>
                <wp:extent cx="2807335" cy="2551430"/>
                <wp:wrapTopAndBottom/>
                <wp:docPr id="343" name="Shape 343"/>
                <a:graphic xmlns:a="http://schemas.openxmlformats.org/drawingml/2006/main">
                  <a:graphicData uri="http://schemas.microsoft.com/office/word/2010/wordprocessingShape">
                    <wps:wsp>
                      <wps:cNvSpPr txBox="1"/>
                      <wps:spPr>
                        <a:xfrm>
                          <a:ext cx="2807335" cy="2551430"/>
                        </a:xfrm>
                        <a:prstGeom prst="rect"/>
                        <a:noFill/>
                      </wps:spPr>
                      <wps:txbx>
                        <w:txbxContent>
                          <w:p>
                            <w:pPr>
                              <w:pStyle w:val="Style2"/>
                              <w:keepNext w:val="0"/>
                              <w:keepLines w:val="0"/>
                              <w:widowControl w:val="0"/>
                              <w:shd w:val="clear" w:color="auto" w:fill="auto"/>
                              <w:bidi w:val="0"/>
                              <w:spacing w:before="0" w:after="40" w:line="155" w:lineRule="exact"/>
                              <w:ind w:left="1800" w:right="0" w:firstLine="0"/>
                              <w:jc w:val="left"/>
                              <w:rPr>
                                <w:sz w:val="8"/>
                                <w:szCs w:val="8"/>
                              </w:rPr>
                            </w:pPr>
                            <w:r>
                              <w:rPr>
                                <w:rFonts w:ascii="SimHei" w:eastAsia="SimHei" w:hAnsi="SimHei" w:cs="SimHei"/>
                                <w:color w:val="2A2522"/>
                                <w:spacing w:val="0"/>
                                <w:w w:val="100"/>
                                <w:position w:val="0"/>
                                <w:sz w:val="8"/>
                                <w:szCs w:val="8"/>
                              </w:rPr>
                              <w:t>*</w:t>
                            </w:r>
                            <w:r>
                              <w:rPr>
                                <w:rFonts w:ascii="SimHei" w:eastAsia="SimHei" w:hAnsi="SimHei" w:cs="SimHei"/>
                                <w:color w:val="2A2522"/>
                                <w:spacing w:val="0"/>
                                <w:w w:val="100"/>
                                <w:position w:val="0"/>
                                <w:sz w:val="8"/>
                                <w:szCs w:val="8"/>
                              </w:rPr>
                              <w:t>白虎书版权于云计算开■产业</w:t>
                            </w:r>
                          </w:p>
                          <w:p>
                            <w:pPr>
                              <w:pStyle w:val="Style2"/>
                              <w:keepNext w:val="0"/>
                              <w:keepLines w:val="0"/>
                              <w:widowControl w:val="0"/>
                              <w:shd w:val="clear" w:color="auto" w:fill="auto"/>
                              <w:bidi w:val="0"/>
                              <w:spacing w:before="0" w:after="40" w:line="155" w:lineRule="exact"/>
                              <w:ind w:left="1920" w:right="0" w:firstLine="0"/>
                              <w:jc w:val="both"/>
                              <w:rPr>
                                <w:sz w:val="8"/>
                                <w:szCs w:val="8"/>
                              </w:rPr>
                            </w:pPr>
                            <w:r>
                              <w:rPr>
                                <w:rFonts w:ascii="Arial" w:eastAsia="Arial" w:hAnsi="Arial" w:cs="Arial"/>
                                <w:color w:val="2A2522"/>
                                <w:spacing w:val="0"/>
                                <w:w w:val="100"/>
                                <w:position w:val="0"/>
                                <w:sz w:val="8"/>
                                <w:szCs w:val="8"/>
                              </w:rPr>
                              <w:t>««««</w:t>
                            </w:r>
                            <w:r>
                              <w:rPr>
                                <w:rFonts w:ascii="SimHei" w:eastAsia="SimHei" w:hAnsi="SimHei" w:cs="SimHei"/>
                                <w:color w:val="2A2522"/>
                                <w:spacing w:val="0"/>
                                <w:w w:val="100"/>
                                <w:position w:val="0"/>
                                <w:sz w:val="8"/>
                                <w:szCs w:val="8"/>
                              </w:rPr>
                              <w:t>!用共官方式使用木白皮书文宇成*!</w:t>
                            </w:r>
                            <w:r>
                              <w:rPr>
                                <w:rFonts w:ascii="Arial" w:eastAsia="Arial" w:hAnsi="Arial" w:cs="Arial"/>
                                <w:b/>
                                <w:bCs/>
                                <w:color w:val="2A2522"/>
                                <w:spacing w:val="0"/>
                                <w:w w:val="100"/>
                                <w:position w:val="0"/>
                                <w:sz w:val="8"/>
                                <w:szCs w:val="8"/>
                              </w:rPr>
                              <w:t>R</w:t>
                            </w:r>
                            <w:r>
                              <w:rPr>
                                <w:rFonts w:ascii="SimHei" w:eastAsia="SimHei" w:hAnsi="SimHei" w:cs="SimHei"/>
                                <w:color w:val="2A2522"/>
                                <w:spacing w:val="0"/>
                                <w:w w:val="100"/>
                                <w:position w:val="0"/>
                                <w:sz w:val="8"/>
                                <w:szCs w:val="8"/>
                              </w:rPr>
                              <w:t>点的.</w:t>
                            </w:r>
                          </w:p>
                          <w:p>
                            <w:pPr>
                              <w:pStyle w:val="Style2"/>
                              <w:keepNext w:val="0"/>
                              <w:keepLines w:val="0"/>
                              <w:widowControl w:val="0"/>
                              <w:shd w:val="clear" w:color="auto" w:fill="auto"/>
                              <w:tabs>
                                <w:tab w:pos="2334" w:val="left"/>
                              </w:tabs>
                              <w:bidi w:val="0"/>
                              <w:spacing w:before="0" w:after="40" w:line="155" w:lineRule="exact"/>
                              <w:ind w:left="1600" w:right="0" w:firstLine="0"/>
                              <w:jc w:val="left"/>
                              <w:rPr>
                                <w:sz w:val="8"/>
                                <w:szCs w:val="8"/>
                              </w:rPr>
                            </w:pPr>
                            <w:r>
                              <w:rPr>
                                <w:rFonts w:ascii="Arial" w:eastAsia="Arial" w:hAnsi="Arial" w:cs="Arial"/>
                                <w:b/>
                                <w:bCs/>
                                <w:color w:val="2A2522"/>
                                <w:spacing w:val="0"/>
                                <w:w w:val="100"/>
                                <w:position w:val="0"/>
                                <w:sz w:val="8"/>
                                <w:szCs w:val="8"/>
                              </w:rPr>
                              <w:t>SSW</w:t>
                              <w:tab/>
                              <w:t>Wit</w:t>
                            </w:r>
                            <w:r>
                              <w:rPr>
                                <w:rFonts w:ascii="SimHei" w:eastAsia="SimHei" w:hAnsi="SimHei" w:cs="SimHei"/>
                                <w:color w:val="2A2522"/>
                                <w:spacing w:val="0"/>
                                <w:w w:val="100"/>
                                <w:position w:val="0"/>
                                <w:sz w:val="8"/>
                                <w:szCs w:val="8"/>
                              </w:rPr>
                              <w:t>■算开</w:t>
                            </w:r>
                            <w:r>
                              <w:rPr>
                                <w:rFonts w:ascii="SimHei" w:eastAsia="SimHei" w:hAnsi="SimHei" w:cs="SimHei"/>
                                <w:color w:val="2A2522"/>
                                <w:spacing w:val="0"/>
                                <w:w w:val="100"/>
                                <w:position w:val="0"/>
                                <w:sz w:val="8"/>
                                <w:szCs w:val="8"/>
                              </w:rPr>
                              <w:t>M</w:t>
                            </w:r>
                            <w:r>
                              <w:rPr>
                                <w:rFonts w:ascii="SimHei" w:eastAsia="SimHei" w:hAnsi="SimHei" w:cs="SimHei"/>
                                <w:color w:val="2A2522"/>
                                <w:spacing w:val="0"/>
                                <w:w w:val="100"/>
                                <w:position w:val="0"/>
                                <w:sz w:val="8"/>
                                <w:szCs w:val="8"/>
                              </w:rPr>
                              <w:t>产业联尊反上述声明着，</w:t>
                            </w:r>
                          </w:p>
                          <w:p>
                            <w:pPr>
                              <w:pStyle w:val="Style2"/>
                              <w:keepNext w:val="0"/>
                              <w:keepLines w:val="0"/>
                              <w:widowControl w:val="0"/>
                              <w:shd w:val="clear" w:color="auto" w:fill="auto"/>
                              <w:bidi w:val="0"/>
                              <w:spacing w:before="0" w:after="220" w:line="155" w:lineRule="exact"/>
                              <w:ind w:left="0" w:right="0" w:firstLine="0"/>
                              <w:jc w:val="center"/>
                              <w:rPr>
                                <w:sz w:val="8"/>
                                <w:szCs w:val="8"/>
                              </w:rPr>
                            </w:pPr>
                            <w:r>
                              <w:rPr>
                                <w:rFonts w:ascii="SimHei" w:eastAsia="SimHei" w:hAnsi="SimHei" w:cs="SimHei"/>
                                <w:color w:val="2A2522"/>
                                <w:spacing w:val="0"/>
                                <w:w w:val="100"/>
                                <w:position w:val="0"/>
                                <w:sz w:val="8"/>
                                <w:szCs w:val="8"/>
                              </w:rPr>
                              <w:t>美法** 任.</w:t>
                            </w:r>
                          </w:p>
                          <w:p>
                            <w:pPr>
                              <w:pStyle w:val="Style41"/>
                              <w:keepNext w:val="0"/>
                              <w:keepLines w:val="0"/>
                              <w:widowControl w:val="0"/>
                              <w:shd w:val="clear" w:color="auto" w:fill="auto"/>
                              <w:bidi w:val="0"/>
                              <w:spacing w:before="0" w:after="220" w:line="240" w:lineRule="auto"/>
                              <w:ind w:left="1600" w:right="0" w:firstLine="0"/>
                              <w:jc w:val="left"/>
                            </w:pPr>
                            <w:r>
                              <w:rPr>
                                <w:b/>
                                <w:bCs/>
                                <w:color w:val="2A2522"/>
                                <w:spacing w:val="0"/>
                                <w:w w:val="100"/>
                                <w:position w:val="0"/>
                              </w:rPr>
                              <w:t>■«««</w:t>
                            </w:r>
                          </w:p>
                          <w:p>
                            <w:pPr>
                              <w:pStyle w:val="Style2"/>
                              <w:keepNext w:val="0"/>
                              <w:keepLines w:val="0"/>
                              <w:widowControl w:val="0"/>
                              <w:shd w:val="clear" w:color="auto" w:fill="auto"/>
                              <w:bidi w:val="0"/>
                              <w:spacing w:before="0" w:after="0" w:line="155" w:lineRule="exact"/>
                              <w:ind w:left="1600" w:right="0" w:firstLine="360"/>
                              <w:jc w:val="left"/>
                              <w:rPr>
                                <w:sz w:val="8"/>
                                <w:szCs w:val="8"/>
                              </w:rPr>
                            </w:pPr>
                            <w:r>
                              <w:rPr>
                                <w:rFonts w:ascii="Arial" w:eastAsia="Arial" w:hAnsi="Arial" w:cs="Arial"/>
                                <w:b/>
                                <w:bCs/>
                                <w:color w:val="8D8D8D"/>
                                <w:spacing w:val="0"/>
                                <w:w w:val="100"/>
                                <w:position w:val="0"/>
                                <w:sz w:val="8"/>
                                <w:szCs w:val="8"/>
                              </w:rPr>
                              <w:t>na</w:t>
                            </w:r>
                            <w:r>
                              <w:rPr>
                                <w:rFonts w:ascii="SimHei" w:eastAsia="SimHei" w:hAnsi="SimHei" w:cs="SimHei"/>
                                <w:color w:val="8D8D8D"/>
                                <w:spacing w:val="0"/>
                                <w:w w:val="100"/>
                                <w:position w:val="0"/>
                                <w:sz w:val="8"/>
                                <w:szCs w:val="8"/>
                              </w:rPr>
                              <w:t xml:space="preserve">术，化企 </w:t>
                            </w:r>
                            <w:r>
                              <w:rPr>
                                <w:rFonts w:ascii="SimHei" w:eastAsia="SimHei" w:hAnsi="SimHei" w:cs="SimHei"/>
                                <w:color w:val="8D8D8D"/>
                                <w:spacing w:val="0"/>
                                <w:w w:val="100"/>
                                <w:position w:val="0"/>
                                <w:sz w:val="8"/>
                                <w:szCs w:val="8"/>
                              </w:rPr>
                              <w:t>&gt;</w:t>
                            </w:r>
                            <w:r>
                              <w:rPr>
                                <w:rFonts w:ascii="SimHei" w:eastAsia="SimHei" w:hAnsi="SimHei" w:cs="SimHei"/>
                                <w:color w:val="8D8D8D"/>
                                <w:spacing w:val="0"/>
                                <w:w w:val="100"/>
                                <w:position w:val="0"/>
                                <w:sz w:val="8"/>
                                <w:szCs w:val="8"/>
                              </w:rPr>
                              <w:t>。</w:t>
                            </w:r>
                            <w:r>
                              <w:rPr>
                                <w:rFonts w:ascii="Arial" w:eastAsia="Arial" w:hAnsi="Arial" w:cs="Arial"/>
                                <w:b/>
                                <w:bCs/>
                                <w:color w:val="8D8D8D"/>
                                <w:spacing w:val="0"/>
                                <w:w w:val="100"/>
                                <w:position w:val="0"/>
                                <w:sz w:val="8"/>
                                <w:szCs w:val="8"/>
                              </w:rPr>
                              <w:t>PH</w:t>
                            </w:r>
                            <w:r>
                              <w:rPr>
                                <w:rFonts w:ascii="SimHei" w:eastAsia="SimHei" w:hAnsi="SimHei" w:cs="SimHei"/>
                                <w:color w:val="8D8D8D"/>
                                <w:spacing w:val="0"/>
                                <w:w w:val="100"/>
                                <w:position w:val="0"/>
                                <w:sz w:val="8"/>
                                <w:szCs w:val="8"/>
                              </w:rPr>
                              <w:t>公</w:t>
                            </w:r>
                            <w:r>
                              <w:rPr>
                                <w:rFonts w:ascii="Arial" w:eastAsia="Arial" w:hAnsi="Arial" w:cs="Arial"/>
                                <w:b/>
                                <w:bCs/>
                                <w:color w:val="8D8D8D"/>
                                <w:spacing w:val="0"/>
                                <w:w w:val="100"/>
                                <w:position w:val="0"/>
                                <w:sz w:val="8"/>
                                <w:szCs w:val="8"/>
                              </w:rPr>
                              <w:t xml:space="preserve">"I. RBBBRWtt*• </w:t>
                            </w:r>
                            <w:r>
                              <w:rPr>
                                <w:rFonts w:ascii="Arial" w:eastAsia="Arial" w:hAnsi="Arial" w:cs="Arial"/>
                                <w:b/>
                                <w:bCs/>
                                <w:color w:val="A4A4A4"/>
                                <w:spacing w:val="0"/>
                                <w:w w:val="100"/>
                                <w:position w:val="0"/>
                                <w:sz w:val="8"/>
                                <w:szCs w:val="8"/>
                              </w:rPr>
                              <w:t>iRtHHtt</w:t>
                            </w:r>
                            <w:r>
                              <w:rPr>
                                <w:b/>
                                <w:bCs/>
                                <w:color w:val="A4A4A4"/>
                                <w:spacing w:val="0"/>
                                <w:w w:val="100"/>
                                <w:position w:val="0"/>
                                <w:sz w:val="9"/>
                                <w:szCs w:val="9"/>
                              </w:rPr>
                              <w:t>（</w:t>
                            </w:r>
                            <w:r>
                              <w:rPr>
                                <w:rFonts w:ascii="Arial" w:eastAsia="Arial" w:hAnsi="Arial" w:cs="Arial"/>
                                <w:b/>
                                <w:bCs/>
                                <w:color w:val="A4A4A4"/>
                                <w:spacing w:val="0"/>
                                <w:w w:val="100"/>
                                <w:position w:val="0"/>
                                <w:sz w:val="8"/>
                                <w:szCs w:val="8"/>
                              </w:rPr>
                              <w:t xml:space="preserve">i«M&gt; </w:t>
                            </w:r>
                            <w:r>
                              <w:rPr>
                                <w:rFonts w:ascii="SimHei" w:eastAsia="SimHei" w:hAnsi="SimHei" w:cs="SimHei"/>
                                <w:color w:val="A4A4A4"/>
                                <w:spacing w:val="0"/>
                                <w:w w:val="100"/>
                                <w:position w:val="0"/>
                                <w:sz w:val="8"/>
                                <w:szCs w:val="8"/>
                              </w:rPr>
                              <w:t>"眼公可.华</w:t>
                            </w:r>
                            <w:r>
                              <w:rPr>
                                <w:rFonts w:ascii="SimHei" w:eastAsia="SimHei" w:hAnsi="SimHei" w:cs="SimHei"/>
                                <w:color w:val="8D8D8D"/>
                                <w:spacing w:val="0"/>
                                <w:w w:val="100"/>
                                <w:position w:val="0"/>
                                <w:sz w:val="8"/>
                                <w:szCs w:val="8"/>
                              </w:rPr>
                              <w:t>为娘木</w:t>
                            </w:r>
                            <w:r>
                              <w:rPr>
                                <w:rFonts w:ascii="Arial" w:eastAsia="Arial" w:hAnsi="Arial" w:cs="Arial"/>
                                <w:b/>
                                <w:bCs/>
                                <w:color w:val="A4A4A4"/>
                                <w:spacing w:val="0"/>
                                <w:w w:val="100"/>
                                <w:position w:val="0"/>
                                <w:sz w:val="8"/>
                                <w:szCs w:val="8"/>
                              </w:rPr>
                              <w:t>OIU</w:t>
                            </w:r>
                            <w:r>
                              <w:rPr>
                                <w:rFonts w:ascii="SimHei" w:eastAsia="SimHei" w:hAnsi="SimHei" w:cs="SimHei"/>
                                <w:color w:val="A4A4A4"/>
                                <w:spacing w:val="0"/>
                                <w:w w:val="100"/>
                                <w:position w:val="0"/>
                                <w:sz w:val="8"/>
                                <w:szCs w:val="8"/>
                              </w:rPr>
                              <w:t>公</w:t>
                            </w:r>
                            <w:r>
                              <w:rPr>
                                <w:rFonts w:ascii="Arial" w:eastAsia="Arial" w:hAnsi="Arial" w:cs="Arial"/>
                                <w:b/>
                                <w:bCs/>
                                <w:color w:val="A4A4A4"/>
                                <w:spacing w:val="0"/>
                                <w:w w:val="100"/>
                                <w:position w:val="0"/>
                                <w:sz w:val="8"/>
                                <w:szCs w:val="8"/>
                              </w:rPr>
                              <w:t>ril.</w:t>
                            </w:r>
                            <w:r>
                              <w:rPr>
                                <w:rFonts w:ascii="SimHei" w:eastAsia="SimHei" w:hAnsi="SimHei" w:cs="SimHei"/>
                                <w:color w:val="8D8D8D"/>
                                <w:spacing w:val="0"/>
                                <w:w w:val="100"/>
                                <w:position w:val="0"/>
                                <w:sz w:val="8"/>
                                <w:szCs w:val="8"/>
                              </w:rPr>
                              <w:t>中</w:t>
                            </w:r>
                            <w:r>
                              <w:rPr>
                                <w:rFonts w:ascii="Arial" w:eastAsia="Arial" w:hAnsi="Arial" w:cs="Arial"/>
                                <w:b/>
                                <w:bCs/>
                                <w:color w:val="A4A4A4"/>
                                <w:spacing w:val="0"/>
                                <w:w w:val="100"/>
                                <w:position w:val="0"/>
                                <w:sz w:val="8"/>
                                <w:szCs w:val="8"/>
                              </w:rPr>
                              <w:t>Wl*</w:t>
                            </w:r>
                            <w:r>
                              <w:rPr>
                                <w:rFonts w:ascii="SimHei" w:eastAsia="SimHei" w:hAnsi="SimHei" w:cs="SimHei"/>
                                <w:color w:val="A4A4A4"/>
                                <w:spacing w:val="0"/>
                                <w:w w:val="100"/>
                                <w:position w:val="0"/>
                                <w:sz w:val="8"/>
                                <w:szCs w:val="8"/>
                              </w:rPr>
                              <w:t>昉</w:t>
                            </w:r>
                            <w:r>
                              <w:rPr>
                                <w:rFonts w:ascii="Arial" w:eastAsia="Arial" w:hAnsi="Arial" w:cs="Arial"/>
                                <w:color w:val="A4A4A4"/>
                                <w:spacing w:val="0"/>
                                <w:w w:val="100"/>
                                <w:position w:val="0"/>
                                <w:sz w:val="8"/>
                                <w:szCs w:val="8"/>
                              </w:rPr>
                              <w:t>•</w:t>
                            </w:r>
                            <w:r>
                              <w:rPr>
                                <w:rFonts w:ascii="SimHei" w:eastAsia="SimHei" w:hAnsi="SimHei" w:cs="SimHei"/>
                                <w:color w:val="A4A4A4"/>
                                <w:spacing w:val="0"/>
                                <w:w w:val="100"/>
                                <w:position w:val="0"/>
                                <w:sz w:val="8"/>
                                <w:szCs w:val="8"/>
                              </w:rPr>
                              <w:t>佑眼困北京"败 公公司软件耕兄院.北以金</w:t>
                            </w:r>
                            <w:r>
                              <w:rPr>
                                <w:rFonts w:ascii="Arial" w:eastAsia="Arial" w:hAnsi="Arial" w:cs="Arial"/>
                                <w:smallCaps/>
                                <w:color w:val="A4A4A4"/>
                                <w:spacing w:val="0"/>
                                <w:w w:val="100"/>
                                <w:position w:val="0"/>
                                <w:sz w:val="9"/>
                                <w:szCs w:val="9"/>
                              </w:rPr>
                              <w:t>Um</w:t>
                            </w:r>
                            <w:r>
                              <w:rPr>
                                <w:rFonts w:ascii="SimHei" w:eastAsia="SimHei" w:hAnsi="SimHei" w:cs="SimHei"/>
                                <w:color w:val="A4A4A4"/>
                                <w:spacing w:val="0"/>
                                <w:w w:val="100"/>
                                <w:position w:val="0"/>
                                <w:sz w:val="8"/>
                                <w:szCs w:val="8"/>
                              </w:rPr>
                              <w:t>料</w:t>
                            </w:r>
                            <w:r>
                              <w:rPr>
                                <w:rFonts w:ascii="SimHei" w:eastAsia="SimHei" w:hAnsi="SimHei" w:cs="SimHei"/>
                                <w:color w:val="8D8D8D"/>
                                <w:spacing w:val="0"/>
                                <w:w w:val="100"/>
                                <w:position w:val="0"/>
                                <w:sz w:val="8"/>
                                <w:szCs w:val="8"/>
                              </w:rPr>
                              <w:t>木</w:t>
                            </w:r>
                            <w:r>
                              <w:rPr>
                                <w:rFonts w:ascii="SimHei" w:eastAsia="SimHei" w:hAnsi="SimHei" w:cs="SimHei"/>
                                <w:color w:val="A4A4A4"/>
                                <w:spacing w:val="0"/>
                                <w:w w:val="100"/>
                                <w:position w:val="0"/>
                                <w:sz w:val="8"/>
                                <w:szCs w:val="8"/>
                              </w:rPr>
                              <w:t>"限公司. 葬字第</w:t>
                            </w:r>
                            <w:r>
                              <w:rPr>
                                <w:rFonts w:ascii="Arial" w:eastAsia="Arial" w:hAnsi="Arial" w:cs="Arial"/>
                                <w:color w:val="A4A4A4"/>
                                <w:spacing w:val="0"/>
                                <w:w w:val="100"/>
                                <w:position w:val="0"/>
                                <w:sz w:val="8"/>
                                <w:szCs w:val="8"/>
                              </w:rPr>
                              <w:t>®</w:t>
                            </w:r>
                            <w:r>
                              <w:rPr>
                                <w:rFonts w:ascii="SimHei" w:eastAsia="SimHei" w:hAnsi="SimHei" w:cs="SimHei"/>
                                <w:color w:val="A4A4A4"/>
                                <w:spacing w:val="0"/>
                                <w:w w:val="100"/>
                                <w:position w:val="0"/>
                                <w:sz w:val="8"/>
                                <w:szCs w:val="8"/>
                              </w:rPr>
                              <w:t>金公可.，兀佑息技木</w:t>
                            </w:r>
                            <w:r>
                              <w:rPr>
                                <w:rFonts w:ascii="Arial" w:eastAsia="Arial" w:hAnsi="Arial" w:cs="Arial"/>
                                <w:b/>
                                <w:bCs/>
                                <w:color w:val="A4A4A4"/>
                                <w:spacing w:val="0"/>
                                <w:w w:val="100"/>
                                <w:position w:val="0"/>
                                <w:sz w:val="8"/>
                                <w:szCs w:val="8"/>
                              </w:rPr>
                              <w:t>IR</w:t>
                            </w:r>
                            <w:r>
                              <w:rPr>
                                <w:rFonts w:ascii="SimHei" w:eastAsia="SimHei" w:hAnsi="SimHei" w:cs="SimHei"/>
                                <w:color w:val="A4A4A4"/>
                                <w:spacing w:val="0"/>
                                <w:w w:val="100"/>
                                <w:position w:val="0"/>
                                <w:sz w:val="8"/>
                                <w:szCs w:val="8"/>
                              </w:rPr>
                              <w:t>份公可.北京中</w:t>
                            </w:r>
                          </w:p>
                          <w:p>
                            <w:pPr>
                              <w:pStyle w:val="Style2"/>
                              <w:keepNext w:val="0"/>
                              <w:keepLines w:val="0"/>
                              <w:widowControl w:val="0"/>
                              <w:shd w:val="clear" w:color="auto" w:fill="auto"/>
                              <w:tabs>
                                <w:tab w:pos="3490" w:val="left"/>
                              </w:tabs>
                              <w:bidi w:val="0"/>
                              <w:spacing w:before="0" w:after="0" w:line="155" w:lineRule="exact"/>
                              <w:ind w:left="1560" w:right="0" w:firstLine="0"/>
                              <w:jc w:val="right"/>
                              <w:rPr>
                                <w:sz w:val="8"/>
                                <w:szCs w:val="8"/>
                              </w:rPr>
                            </w:pPr>
                            <w:r>
                              <w:rPr>
                                <w:rFonts w:ascii="SimHei" w:eastAsia="SimHei" w:hAnsi="SimHei" w:cs="SimHei"/>
                                <w:color w:val="A4A4A4"/>
                                <w:spacing w:val="0"/>
                                <w:w w:val="100"/>
                                <w:position w:val="0"/>
                                <w:sz w:val="8"/>
                                <w:szCs w:val="8"/>
                              </w:rPr>
                              <w:t>公可.&lt;</w:t>
                            </w:r>
                            <w:r>
                              <w:rPr>
                                <w:rFonts w:ascii="SimHei" w:eastAsia="SimHei" w:hAnsi="SimHei" w:cs="SimHei"/>
                                <w:color w:val="8D8D8D"/>
                                <w:spacing w:val="0"/>
                                <w:w w:val="100"/>
                                <w:position w:val="0"/>
                                <w:sz w:val="8"/>
                                <w:szCs w:val="8"/>
                              </w:rPr>
                              <w:t>中</w:t>
                            </w:r>
                            <w:r>
                              <w:rPr>
                                <w:rFonts w:ascii="SimHei" w:eastAsia="SimHei" w:hAnsi="SimHei" w:cs="SimHei"/>
                                <w:color w:val="A4A4A4"/>
                                <w:spacing w:val="0"/>
                                <w:w w:val="100"/>
                                <w:position w:val="0"/>
                                <w:sz w:val="8"/>
                                <w:szCs w:val="8"/>
                              </w:rPr>
                              <w:t xml:space="preserve">■&gt; </w:t>
                            </w:r>
                            <w:r>
                              <w:rPr>
                                <w:rFonts w:ascii="SimHei" w:eastAsia="SimHei" w:hAnsi="SimHei" w:cs="SimHei"/>
                                <w:color w:val="A4A4A4"/>
                                <w:spacing w:val="0"/>
                                <w:w w:val="100"/>
                                <w:position w:val="0"/>
                                <w:sz w:val="8"/>
                                <w:szCs w:val="8"/>
                              </w:rPr>
                              <w:t>“限公</w:t>
                            </w:r>
                            <w:r>
                              <w:rPr>
                                <w:rFonts w:ascii="Arial" w:eastAsia="Arial" w:hAnsi="Arial" w:cs="Arial"/>
                                <w:b/>
                                <w:bCs/>
                                <w:color w:val="A4A4A4"/>
                                <w:spacing w:val="0"/>
                                <w:w w:val="100"/>
                                <w:position w:val="0"/>
                                <w:sz w:val="8"/>
                                <w:szCs w:val="8"/>
                              </w:rPr>
                              <w:t>&lt;4.</w:t>
                            </w:r>
                            <w:r>
                              <w:rPr>
                                <w:rFonts w:ascii="SimHei" w:eastAsia="SimHei" w:hAnsi="SimHei" w:cs="SimHei"/>
                                <w:color w:val="A4A4A4"/>
                                <w:spacing w:val="0"/>
                                <w:w w:val="100"/>
                                <w:position w:val="0"/>
                                <w:sz w:val="8"/>
                                <w:szCs w:val="8"/>
                              </w:rPr>
                              <w:t>北京神州―</w:t>
                            </w:r>
                            <w:r>
                              <w:rPr>
                                <w:rFonts w:ascii="SimHei" w:eastAsia="SimHei" w:hAnsi="SimHei" w:cs="SimHei"/>
                                <w:color w:val="A4A4A4"/>
                                <w:spacing w:val="0"/>
                                <w:w w:val="100"/>
                                <w:position w:val="0"/>
                                <w:sz w:val="8"/>
                                <w:szCs w:val="8"/>
                              </w:rPr>
                              <w:t>—</w:t>
                            </w:r>
                            <w:r>
                              <w:rPr>
                                <w:rFonts w:ascii="SimHei" w:eastAsia="SimHei" w:hAnsi="SimHei" w:cs="SimHei"/>
                                <w:color w:val="A4A4A4"/>
                                <w:spacing w:val="0"/>
                                <w:w w:val="100"/>
                                <w:position w:val="0"/>
                                <w:sz w:val="8"/>
                                <w:szCs w:val="8"/>
                              </w:rPr>
                              <w:t>公</w:t>
                            </w:r>
                            <w:r>
                              <w:rPr>
                                <w:rFonts w:ascii="SimHei" w:eastAsia="SimHei" w:hAnsi="SimHei" w:cs="SimHei"/>
                                <w:color w:val="8D8D8D"/>
                                <w:spacing w:val="0"/>
                                <w:w w:val="100"/>
                                <w:position w:val="0"/>
                                <w:sz w:val="8"/>
                                <w:szCs w:val="8"/>
                              </w:rPr>
                              <w:t xml:space="preserve">中 </w:t>
                            </w:r>
                            <w:r>
                              <w:rPr>
                                <w:rFonts w:ascii="Arial" w:eastAsia="Arial" w:hAnsi="Arial" w:cs="Arial"/>
                                <w:b/>
                                <w:bCs/>
                                <w:color w:val="A4A4A4"/>
                                <w:spacing w:val="0"/>
                                <w:w w:val="100"/>
                                <w:position w:val="0"/>
                                <w:sz w:val="8"/>
                                <w:szCs w:val="8"/>
                              </w:rPr>
                              <w:t>UHHh</w:t>
                            </w:r>
                            <w:r>
                              <w:rPr>
                                <w:rFonts w:ascii="SimHei" w:eastAsia="SimHei" w:hAnsi="SimHei" w:cs="SimHei"/>
                                <w:color w:val="8D8D8D"/>
                                <w:spacing w:val="0"/>
                                <w:w w:val="100"/>
                                <w:position w:val="0"/>
                                <w:sz w:val="8"/>
                                <w:szCs w:val="8"/>
                              </w:rPr>
                              <w:t>故璀中心</w:t>
                            </w:r>
                            <w:r>
                              <w:rPr>
                                <w:rFonts w:ascii="SimHei" w:eastAsia="SimHei" w:hAnsi="SimHei" w:cs="SimHei"/>
                                <w:color w:val="A4A4A4"/>
                                <w:spacing w:val="0"/>
                                <w:w w:val="100"/>
                                <w:position w:val="0"/>
                                <w:sz w:val="8"/>
                                <w:szCs w:val="8"/>
                              </w:rPr>
                              <w:t>.中心苏佛 &gt; 牧件枝</w:t>
                            </w:r>
                            <w:r>
                              <w:rPr>
                                <w:rFonts w:ascii="SimHei" w:eastAsia="SimHei" w:hAnsi="SimHei" w:cs="SimHei"/>
                                <w:color w:val="8D8D8D"/>
                                <w:spacing w:val="0"/>
                                <w:w w:val="100"/>
                                <w:position w:val="0"/>
                                <w:sz w:val="8"/>
                                <w:szCs w:val="8"/>
                              </w:rPr>
                              <w:t>末</w:t>
                            </w:r>
                            <w:r>
                              <w:rPr>
                                <w:rFonts w:ascii="Arial" w:eastAsia="Arial" w:hAnsi="Arial" w:cs="Arial"/>
                                <w:b/>
                                <w:bCs/>
                                <w:color w:val="A4A4A4"/>
                                <w:spacing w:val="0"/>
                                <w:w w:val="100"/>
                                <w:position w:val="0"/>
                                <w:sz w:val="8"/>
                                <w:szCs w:val="8"/>
                              </w:rPr>
                              <w:t>f（M</w:t>
                            </w:r>
                            <w:r>
                              <w:rPr>
                                <w:rFonts w:ascii="SimHei" w:eastAsia="SimHei" w:hAnsi="SimHei" w:cs="SimHei"/>
                                <w:color w:val="A4A4A4"/>
                                <w:spacing w:val="0"/>
                                <w:w w:val="100"/>
                                <w:position w:val="0"/>
                                <w:sz w:val="8"/>
                                <w:szCs w:val="8"/>
                              </w:rPr>
                              <w:t>公</w:t>
                            </w:r>
                            <w:r>
                              <w:rPr>
                                <w:rFonts w:ascii="Arial" w:eastAsia="Arial" w:hAnsi="Arial" w:cs="Arial"/>
                                <w:b/>
                                <w:bCs/>
                                <w:color w:val="A4A4A4"/>
                                <w:spacing w:val="0"/>
                                <w:w w:val="100"/>
                                <w:position w:val="0"/>
                                <w:sz w:val="8"/>
                                <w:szCs w:val="8"/>
                              </w:rPr>
                              <w:t>"1.</w:t>
                              <w:tab/>
                            </w:r>
                            <w:r>
                              <w:rPr>
                                <w:rFonts w:ascii="SimHei" w:eastAsia="SimHei" w:hAnsi="SimHei" w:cs="SimHei"/>
                                <w:color w:val="A4A4A4"/>
                                <w:spacing w:val="0"/>
                                <w:w w:val="100"/>
                                <w:position w:val="0"/>
                                <w:sz w:val="8"/>
                                <w:szCs w:val="8"/>
                              </w:rPr>
                              <w:t>大生命</w:t>
                            </w:r>
                            <w:r>
                              <w:rPr>
                                <w:rFonts w:ascii="Arial" w:eastAsia="Arial" w:hAnsi="Arial" w:cs="Arial"/>
                                <w:b/>
                                <w:bCs/>
                                <w:color w:val="8D8D8D"/>
                                <w:spacing w:val="0"/>
                                <w:w w:val="100"/>
                                <w:position w:val="0"/>
                                <w:sz w:val="8"/>
                                <w:szCs w:val="8"/>
                              </w:rPr>
                              <w:t>W</w:t>
                            </w:r>
                            <w:r>
                              <w:rPr>
                                <w:rFonts w:ascii="SimHei" w:eastAsia="SimHei" w:hAnsi="SimHei" w:cs="SimHei"/>
                                <w:color w:val="A4A4A4"/>
                                <w:spacing w:val="0"/>
                                <w:w w:val="100"/>
                                <w:position w:val="0"/>
                                <w:sz w:val="8"/>
                                <w:szCs w:val="8"/>
                              </w:rPr>
                              <w:t>学</w:t>
                            </w:r>
                          </w:p>
                          <w:p>
                            <w:pPr>
                              <w:pStyle w:val="Style2"/>
                              <w:keepNext w:val="0"/>
                              <w:keepLines w:val="0"/>
                              <w:widowControl w:val="0"/>
                              <w:shd w:val="clear" w:color="auto" w:fill="auto"/>
                              <w:bidi w:val="0"/>
                              <w:spacing w:before="0" w:after="40" w:line="155" w:lineRule="exact"/>
                              <w:ind w:left="1560" w:right="0" w:firstLine="0"/>
                              <w:jc w:val="right"/>
                              <w:rPr>
                                <w:sz w:val="8"/>
                                <w:szCs w:val="8"/>
                              </w:rPr>
                            </w:pPr>
                            <w:r>
                              <w:rPr>
                                <w:rFonts w:ascii="SimHei" w:eastAsia="SimHei" w:hAnsi="SimHei" w:cs="SimHei"/>
                                <w:color w:val="A4A4A4"/>
                                <w:spacing w:val="0"/>
                                <w:w w:val="100"/>
                                <w:position w:val="0"/>
                                <w:sz w:val="8"/>
                                <w:szCs w:val="8"/>
                              </w:rPr>
                              <w:t>北</w:t>
                            </w:r>
                            <w:r>
                              <w:rPr>
                                <w:i/>
                                <w:iCs/>
                                <w:color w:val="A4A4A4"/>
                                <w:spacing w:val="0"/>
                                <w:w w:val="100"/>
                                <w:position w:val="0"/>
                                <w:sz w:val="18"/>
                                <w:szCs w:val="18"/>
                              </w:rPr>
                              <w:t>公御.</w:t>
                            </w:r>
                            <w:r>
                              <w:rPr>
                                <w:rFonts w:ascii="SimHei" w:eastAsia="SimHei" w:hAnsi="SimHei" w:cs="SimHei"/>
                                <w:color w:val="A4A4A4"/>
                                <w:spacing w:val="0"/>
                                <w:w w:val="100"/>
                                <w:position w:val="0"/>
                                <w:sz w:val="8"/>
                                <w:szCs w:val="8"/>
                              </w:rPr>
                              <w:t>公刈.华占散糖有限公可</w:t>
                            </w:r>
                          </w:p>
                          <w:p>
                            <w:pPr>
                              <w:pStyle w:val="Style156"/>
                              <w:keepNext w:val="0"/>
                              <w:keepLines w:val="0"/>
                              <w:widowControl w:val="0"/>
                              <w:shd w:val="clear" w:color="auto" w:fill="auto"/>
                              <w:bidi w:val="0"/>
                              <w:spacing w:before="0" w:after="0" w:line="158" w:lineRule="exact"/>
                              <w:ind w:left="0" w:right="0" w:firstLine="0"/>
                              <w:jc w:val="center"/>
                            </w:pPr>
                            <w:r>
                              <w:rPr>
                                <w:color w:val="A4A4A4"/>
                                <w:spacing w:val="0"/>
                                <w:w w:val="100"/>
                                <w:position w:val="0"/>
                              </w:rPr>
                              <w:t>tiff. 1-an.</w:t>
                            </w:r>
                            <w:r>
                              <w:rPr>
                                <w:rFonts w:ascii="SimHei" w:eastAsia="SimHei" w:hAnsi="SimHei" w:cs="SimHei"/>
                                <w:b w:val="0"/>
                                <w:bCs w:val="0"/>
                                <w:color w:val="A4A4A4"/>
                                <w:spacing w:val="0"/>
                                <w:w w:val="100"/>
                                <w:position w:val="0"/>
                              </w:rPr>
                              <w:t>别</w:t>
                            </w:r>
                            <w:r>
                              <w:rPr>
                                <w:color w:val="A4A4A4"/>
                                <w:spacing w:val="0"/>
                                <w:w w:val="100"/>
                                <w:position w:val="0"/>
                              </w:rPr>
                              <w:t>om. l&gt;r. «8T.</w:t>
                            </w:r>
                            <w:r>
                              <w:rPr>
                                <w:rFonts w:ascii="SimHei" w:eastAsia="SimHei" w:hAnsi="SimHei" w:cs="SimHei"/>
                                <w:b w:val="0"/>
                                <w:bCs w:val="0"/>
                                <w:color w:val="A4A4A4"/>
                                <w:spacing w:val="0"/>
                                <w:w w:val="100"/>
                                <w:position w:val="0"/>
                              </w:rPr>
                              <w:t>。伦</w:t>
                            </w:r>
                            <w:r>
                              <w:rPr>
                                <w:color w:val="A4A4A4"/>
                                <w:spacing w:val="0"/>
                                <w:w w:val="100"/>
                                <w:position w:val="0"/>
                              </w:rPr>
                              <w:t>K. tUHfl. W.</w:t>
                              <w:br/>
                            </w:r>
                            <w:r>
                              <w:rPr>
                                <w:rFonts w:ascii="SimHei" w:eastAsia="SimHei" w:hAnsi="SimHei" w:cs="SimHei"/>
                                <w:b w:val="0"/>
                                <w:bCs w:val="0"/>
                                <w:color w:val="A4A4A4"/>
                                <w:spacing w:val="0"/>
                                <w:w w:val="100"/>
                                <w:position w:val="0"/>
                              </w:rPr>
                              <w:t>涂*.叶岭.</w:t>
                            </w:r>
                            <w:r>
                              <w:rPr>
                                <w:color w:val="A4A4A4"/>
                                <w:spacing w:val="0"/>
                                <w:w w:val="100"/>
                                <w:position w:val="0"/>
                              </w:rPr>
                              <w:t>WWW.</w:t>
                            </w:r>
                            <w:r>
                              <w:rPr>
                                <w:rFonts w:ascii="SimHei" w:eastAsia="SimHei" w:hAnsi="SimHei" w:cs="SimHei"/>
                                <w:b w:val="0"/>
                                <w:bCs w:val="0"/>
                                <w:color w:val="8D8D8D"/>
                                <w:spacing w:val="0"/>
                                <w:w w:val="100"/>
                                <w:position w:val="0"/>
                              </w:rPr>
                              <w:t>朱</w:t>
                            </w:r>
                            <w:r>
                              <w:rPr>
                                <w:color w:val="A4A4A4"/>
                                <w:spacing w:val="0"/>
                                <w:w w:val="100"/>
                                <w:position w:val="0"/>
                              </w:rPr>
                              <w:t xml:space="preserve">WW. </w:t>
                            </w:r>
                            <w:r>
                              <w:rPr>
                                <w:rFonts w:ascii="SimHei" w:eastAsia="SimHei" w:hAnsi="SimHei" w:cs="SimHei"/>
                                <w:b w:val="0"/>
                                <w:bCs w:val="0"/>
                                <w:color w:val="A4A4A4"/>
                                <w:spacing w:val="0"/>
                                <w:w w:val="100"/>
                                <w:position w:val="0"/>
                              </w:rPr>
                              <w:t xml:space="preserve">*兆!《. </w:t>
                            </w:r>
                            <w:r>
                              <w:rPr>
                                <w:color w:val="8D8D8D"/>
                                <w:spacing w:val="0"/>
                                <w:w w:val="100"/>
                                <w:position w:val="0"/>
                              </w:rPr>
                              <w:t>H</w:t>
                            </w:r>
                            <w:r>
                              <w:rPr>
                                <w:rFonts w:ascii="SimHei" w:eastAsia="SimHei" w:hAnsi="SimHei" w:cs="SimHei"/>
                                <w:b w:val="0"/>
                                <w:bCs w:val="0"/>
                                <w:color w:val="A4A4A4"/>
                                <w:spacing w:val="0"/>
                                <w:w w:val="100"/>
                                <w:position w:val="0"/>
                              </w:rPr>
                              <w:t>礼.耕</w:t>
                            </w:r>
                            <w:r>
                              <w:rPr>
                                <w:color w:val="A4A4A4"/>
                                <w:spacing w:val="0"/>
                                <w:w w:val="100"/>
                                <w:position w:val="0"/>
                              </w:rPr>
                              <w:t>f*l</w:t>
                              <w:br/>
                            </w:r>
                            <w:r>
                              <w:rPr>
                                <w:rFonts w:ascii="SimHei" w:eastAsia="SimHei" w:hAnsi="SimHei" w:cs="SimHei"/>
                                <w:b w:val="0"/>
                                <w:bCs w:val="0"/>
                                <w:color w:val="A4A4A4"/>
                                <w:spacing w:val="0"/>
                                <w:w w:val="100"/>
                                <w:position w:val="0"/>
                              </w:rPr>
                              <w:t>.龙.</w:t>
                            </w:r>
                            <w:r>
                              <w:rPr>
                                <w:color w:val="A4A4A4"/>
                                <w:spacing w:val="0"/>
                                <w:w w:val="100"/>
                                <w:position w:val="0"/>
                              </w:rPr>
                              <w:t>in</w:t>
                            </w:r>
                            <w:r>
                              <w:rPr>
                                <w:rFonts w:ascii="SimHei" w:eastAsia="SimHei" w:hAnsi="SimHei" w:cs="SimHei"/>
                                <w:b w:val="0"/>
                                <w:bCs w:val="0"/>
                                <w:color w:val="A4A4A4"/>
                                <w:spacing w:val="0"/>
                                <w:w w:val="100"/>
                                <w:position w:val="0"/>
                              </w:rPr>
                              <w:t>黄花、手卜.</w:t>
                            </w:r>
                            <w:r>
                              <w:rPr>
                                <w:color w:val="A4A4A4"/>
                                <w:spacing w:val="0"/>
                                <w:w w:val="100"/>
                                <w:position w:val="0"/>
                              </w:rPr>
                              <w:t>m. iiai. rttw.</w:t>
                            </w:r>
                          </w:p>
                          <w:p>
                            <w:pPr>
                              <w:pStyle w:val="Style156"/>
                              <w:keepNext w:val="0"/>
                              <w:keepLines w:val="0"/>
                              <w:widowControl w:val="0"/>
                              <w:shd w:val="clear" w:color="auto" w:fill="auto"/>
                              <w:tabs>
                                <w:tab w:pos="2363" w:val="left"/>
                              </w:tabs>
                              <w:bidi w:val="0"/>
                              <w:spacing w:before="0" w:after="480" w:line="158" w:lineRule="exact"/>
                              <w:ind w:left="1600" w:right="0" w:firstLine="0"/>
                              <w:jc w:val="left"/>
                            </w:pPr>
                            <w:r>
                              <w:rPr>
                                <w:rFonts w:ascii="SimHei" w:eastAsia="SimHei" w:hAnsi="SimHei" w:cs="SimHei"/>
                                <w:b w:val="0"/>
                                <w:bCs w:val="0"/>
                                <w:color w:val="A4A4A4"/>
                                <w:spacing w:val="0"/>
                                <w:w w:val="100"/>
                                <w:position w:val="0"/>
                              </w:rPr>
                              <w:t>林南平、</w:t>
                            </w:r>
                            <w:r>
                              <w:rPr>
                                <w:color w:val="A4A4A4"/>
                                <w:spacing w:val="0"/>
                                <w:w w:val="100"/>
                                <w:position w:val="0"/>
                              </w:rPr>
                              <w:t xml:space="preserve">»ih. F.«n. i&gt;im. </w:t>
                            </w:r>
                            <w:r>
                              <w:rPr>
                                <w:rFonts w:ascii="SimHei" w:eastAsia="SimHei" w:hAnsi="SimHei" w:cs="SimHei"/>
                                <w:b w:val="0"/>
                                <w:bCs w:val="0"/>
                                <w:color w:val="A4A4A4"/>
                                <w:spacing w:val="0"/>
                                <w:w w:val="100"/>
                                <w:position w:val="0"/>
                              </w:rPr>
                              <w:t>王亮.</w:t>
                            </w:r>
                            <w:r>
                              <w:rPr>
                                <w:b w:val="0"/>
                                <w:bCs w:val="0"/>
                                <w:color w:val="A4A4A4"/>
                                <w:spacing w:val="0"/>
                                <w:w w:val="100"/>
                                <w:position w:val="0"/>
                              </w:rPr>
                              <w:t>・</w:t>
                            </w:r>
                            <w:r>
                              <w:rPr>
                                <w:rFonts w:ascii="SimHei" w:eastAsia="SimHei" w:hAnsi="SimHei" w:cs="SimHei"/>
                                <w:b w:val="0"/>
                                <w:bCs w:val="0"/>
                                <w:color w:val="A4A4A4"/>
                                <w:spacing w:val="0"/>
                                <w:w w:val="100"/>
                                <w:position w:val="0"/>
                              </w:rPr>
                              <w:t>正~、</w:t>
                            </w:r>
                            <w:r>
                              <w:rPr>
                                <w:color w:val="A4A4A4"/>
                                <w:spacing w:val="0"/>
                                <w:w w:val="100"/>
                                <w:position w:val="0"/>
                              </w:rPr>
                              <w:t>«ut«.</w:t>
                            </w:r>
                            <w:r>
                              <w:rPr>
                                <w:rFonts w:ascii="SimHei" w:eastAsia="SimHei" w:hAnsi="SimHei" w:cs="SimHei"/>
                                <w:b w:val="0"/>
                                <w:bCs w:val="0"/>
                                <w:color w:val="A4A4A4"/>
                                <w:spacing w:val="0"/>
                                <w:w w:val="100"/>
                                <w:position w:val="0"/>
                              </w:rPr>
                              <w:t>蚓吼 棒正朱.王</w:t>
                            </w:r>
                            <w:r>
                              <w:rPr>
                                <w:color w:val="A4A4A4"/>
                                <w:spacing w:val="0"/>
                                <w:w w:val="100"/>
                                <w:position w:val="0"/>
                              </w:rPr>
                              <w:t>w.</w:t>
                              <w:tab/>
                              <w:t>f*.</w:t>
                            </w:r>
                            <w:r>
                              <w:rPr>
                                <w:rFonts w:ascii="SimHei" w:eastAsia="SimHei" w:hAnsi="SimHei" w:cs="SimHei"/>
                                <w:b w:val="0"/>
                                <w:bCs w:val="0"/>
                                <w:color w:val="A4A4A4"/>
                                <w:spacing w:val="0"/>
                                <w:w w:val="100"/>
                                <w:position w:val="0"/>
                              </w:rPr>
                              <w:t>陆堪.％祷</w:t>
                            </w:r>
                          </w:p>
                          <w:p>
                            <w:pPr>
                              <w:pStyle w:val="Style41"/>
                              <w:keepNext w:val="0"/>
                              <w:keepLines w:val="0"/>
                              <w:widowControl w:val="0"/>
                              <w:shd w:val="clear" w:color="auto" w:fill="auto"/>
                              <w:bidi w:val="0"/>
                              <w:spacing w:before="0" w:after="120" w:line="240" w:lineRule="auto"/>
                              <w:ind w:left="0" w:right="0" w:firstLine="0"/>
                              <w:jc w:val="left"/>
                            </w:pPr>
                            <w:r>
                              <w:rPr>
                                <w:b/>
                                <w:bCs/>
                                <w:color w:val="000000"/>
                                <w:spacing w:val="0"/>
                                <w:w w:val="100"/>
                                <w:position w:val="0"/>
                              </w:rPr>
                              <w:t>（企业</w:t>
                            </w:r>
                            <w:r>
                              <w:rPr>
                                <w:rFonts w:ascii="Times New Roman" w:eastAsia="Times New Roman" w:hAnsi="Times New Roman" w:cs="Times New Roman"/>
                                <w:b/>
                                <w:bCs/>
                                <w:color w:val="000000"/>
                                <w:spacing w:val="0"/>
                                <w:w w:val="100"/>
                                <w:position w:val="0"/>
                                <w:sz w:val="18"/>
                                <w:szCs w:val="18"/>
                              </w:rPr>
                              <w:t>IT</w:t>
                            </w:r>
                            <w:r>
                              <w:rPr>
                                <w:b/>
                                <w:bCs/>
                                <w:color w:val="000000"/>
                                <w:spacing w:val="0"/>
                                <w:w w:val="100"/>
                                <w:position w:val="0"/>
                              </w:rPr>
                              <w:t>运维发展白皮书示意图）</w:t>
                            </w:r>
                          </w:p>
                        </w:txbxContent>
                      </wps:txbx>
                      <wps:bodyPr lIns="0" tIns="0" rIns="0" bIns="0">
                        <a:noAutoFit/>
                      </wps:bodyPr>
                    </wps:wsp>
                  </a:graphicData>
                </a:graphic>
              </wp:anchor>
            </w:drawing>
          </mc:Choice>
          <mc:Fallback>
            <w:pict>
              <v:shape id="_x0000_s1369" type="#_x0000_t202" style="position:absolute;margin-left:242.40000000000001pt;margin-top:20.pt;width:221.05000000000001pt;height:200.90000000000001pt;z-index:-125829275;mso-wrap-distance-left:0;mso-wrap-distance-top:20.pt;mso-wrap-distance-right:0;mso-position-horizontal-relative:page" filled="f" stroked="f">
                <v:textbox inset="0,0,0,0">
                  <w:txbxContent>
                    <w:p>
                      <w:pPr>
                        <w:pStyle w:val="Style2"/>
                        <w:keepNext w:val="0"/>
                        <w:keepLines w:val="0"/>
                        <w:widowControl w:val="0"/>
                        <w:shd w:val="clear" w:color="auto" w:fill="auto"/>
                        <w:bidi w:val="0"/>
                        <w:spacing w:before="0" w:after="40" w:line="155" w:lineRule="exact"/>
                        <w:ind w:left="1800" w:right="0" w:firstLine="0"/>
                        <w:jc w:val="left"/>
                        <w:rPr>
                          <w:sz w:val="8"/>
                          <w:szCs w:val="8"/>
                        </w:rPr>
                      </w:pPr>
                      <w:r>
                        <w:rPr>
                          <w:rFonts w:ascii="SimHei" w:eastAsia="SimHei" w:hAnsi="SimHei" w:cs="SimHei"/>
                          <w:color w:val="2A2522"/>
                          <w:spacing w:val="0"/>
                          <w:w w:val="100"/>
                          <w:position w:val="0"/>
                          <w:sz w:val="8"/>
                          <w:szCs w:val="8"/>
                        </w:rPr>
                        <w:t>*</w:t>
                      </w:r>
                      <w:r>
                        <w:rPr>
                          <w:rFonts w:ascii="SimHei" w:eastAsia="SimHei" w:hAnsi="SimHei" w:cs="SimHei"/>
                          <w:color w:val="2A2522"/>
                          <w:spacing w:val="0"/>
                          <w:w w:val="100"/>
                          <w:position w:val="0"/>
                          <w:sz w:val="8"/>
                          <w:szCs w:val="8"/>
                        </w:rPr>
                        <w:t>白虎书版权于云计算开■产业</w:t>
                      </w:r>
                    </w:p>
                    <w:p>
                      <w:pPr>
                        <w:pStyle w:val="Style2"/>
                        <w:keepNext w:val="0"/>
                        <w:keepLines w:val="0"/>
                        <w:widowControl w:val="0"/>
                        <w:shd w:val="clear" w:color="auto" w:fill="auto"/>
                        <w:bidi w:val="0"/>
                        <w:spacing w:before="0" w:after="40" w:line="155" w:lineRule="exact"/>
                        <w:ind w:left="1920" w:right="0" w:firstLine="0"/>
                        <w:jc w:val="both"/>
                        <w:rPr>
                          <w:sz w:val="8"/>
                          <w:szCs w:val="8"/>
                        </w:rPr>
                      </w:pPr>
                      <w:r>
                        <w:rPr>
                          <w:rFonts w:ascii="Arial" w:eastAsia="Arial" w:hAnsi="Arial" w:cs="Arial"/>
                          <w:color w:val="2A2522"/>
                          <w:spacing w:val="0"/>
                          <w:w w:val="100"/>
                          <w:position w:val="0"/>
                          <w:sz w:val="8"/>
                          <w:szCs w:val="8"/>
                        </w:rPr>
                        <w:t>««««</w:t>
                      </w:r>
                      <w:r>
                        <w:rPr>
                          <w:rFonts w:ascii="SimHei" w:eastAsia="SimHei" w:hAnsi="SimHei" w:cs="SimHei"/>
                          <w:color w:val="2A2522"/>
                          <w:spacing w:val="0"/>
                          <w:w w:val="100"/>
                          <w:position w:val="0"/>
                          <w:sz w:val="8"/>
                          <w:szCs w:val="8"/>
                        </w:rPr>
                        <w:t>!用共官方式使用木白皮书文宇成*!</w:t>
                      </w:r>
                      <w:r>
                        <w:rPr>
                          <w:rFonts w:ascii="Arial" w:eastAsia="Arial" w:hAnsi="Arial" w:cs="Arial"/>
                          <w:b/>
                          <w:bCs/>
                          <w:color w:val="2A2522"/>
                          <w:spacing w:val="0"/>
                          <w:w w:val="100"/>
                          <w:position w:val="0"/>
                          <w:sz w:val="8"/>
                          <w:szCs w:val="8"/>
                        </w:rPr>
                        <w:t>R</w:t>
                      </w:r>
                      <w:r>
                        <w:rPr>
                          <w:rFonts w:ascii="SimHei" w:eastAsia="SimHei" w:hAnsi="SimHei" w:cs="SimHei"/>
                          <w:color w:val="2A2522"/>
                          <w:spacing w:val="0"/>
                          <w:w w:val="100"/>
                          <w:position w:val="0"/>
                          <w:sz w:val="8"/>
                          <w:szCs w:val="8"/>
                        </w:rPr>
                        <w:t>点的.</w:t>
                      </w:r>
                    </w:p>
                    <w:p>
                      <w:pPr>
                        <w:pStyle w:val="Style2"/>
                        <w:keepNext w:val="0"/>
                        <w:keepLines w:val="0"/>
                        <w:widowControl w:val="0"/>
                        <w:shd w:val="clear" w:color="auto" w:fill="auto"/>
                        <w:tabs>
                          <w:tab w:pos="2334" w:val="left"/>
                        </w:tabs>
                        <w:bidi w:val="0"/>
                        <w:spacing w:before="0" w:after="40" w:line="155" w:lineRule="exact"/>
                        <w:ind w:left="1600" w:right="0" w:firstLine="0"/>
                        <w:jc w:val="left"/>
                        <w:rPr>
                          <w:sz w:val="8"/>
                          <w:szCs w:val="8"/>
                        </w:rPr>
                      </w:pPr>
                      <w:r>
                        <w:rPr>
                          <w:rFonts w:ascii="Arial" w:eastAsia="Arial" w:hAnsi="Arial" w:cs="Arial"/>
                          <w:b/>
                          <w:bCs/>
                          <w:color w:val="2A2522"/>
                          <w:spacing w:val="0"/>
                          <w:w w:val="100"/>
                          <w:position w:val="0"/>
                          <w:sz w:val="8"/>
                          <w:szCs w:val="8"/>
                        </w:rPr>
                        <w:t>SSW</w:t>
                        <w:tab/>
                        <w:t>Wit</w:t>
                      </w:r>
                      <w:r>
                        <w:rPr>
                          <w:rFonts w:ascii="SimHei" w:eastAsia="SimHei" w:hAnsi="SimHei" w:cs="SimHei"/>
                          <w:color w:val="2A2522"/>
                          <w:spacing w:val="0"/>
                          <w:w w:val="100"/>
                          <w:position w:val="0"/>
                          <w:sz w:val="8"/>
                          <w:szCs w:val="8"/>
                        </w:rPr>
                        <w:t>■算开</w:t>
                      </w:r>
                      <w:r>
                        <w:rPr>
                          <w:rFonts w:ascii="SimHei" w:eastAsia="SimHei" w:hAnsi="SimHei" w:cs="SimHei"/>
                          <w:color w:val="2A2522"/>
                          <w:spacing w:val="0"/>
                          <w:w w:val="100"/>
                          <w:position w:val="0"/>
                          <w:sz w:val="8"/>
                          <w:szCs w:val="8"/>
                        </w:rPr>
                        <w:t>M</w:t>
                      </w:r>
                      <w:r>
                        <w:rPr>
                          <w:rFonts w:ascii="SimHei" w:eastAsia="SimHei" w:hAnsi="SimHei" w:cs="SimHei"/>
                          <w:color w:val="2A2522"/>
                          <w:spacing w:val="0"/>
                          <w:w w:val="100"/>
                          <w:position w:val="0"/>
                          <w:sz w:val="8"/>
                          <w:szCs w:val="8"/>
                        </w:rPr>
                        <w:t>产业联尊反上述声明着，</w:t>
                      </w:r>
                    </w:p>
                    <w:p>
                      <w:pPr>
                        <w:pStyle w:val="Style2"/>
                        <w:keepNext w:val="0"/>
                        <w:keepLines w:val="0"/>
                        <w:widowControl w:val="0"/>
                        <w:shd w:val="clear" w:color="auto" w:fill="auto"/>
                        <w:bidi w:val="0"/>
                        <w:spacing w:before="0" w:after="220" w:line="155" w:lineRule="exact"/>
                        <w:ind w:left="0" w:right="0" w:firstLine="0"/>
                        <w:jc w:val="center"/>
                        <w:rPr>
                          <w:sz w:val="8"/>
                          <w:szCs w:val="8"/>
                        </w:rPr>
                      </w:pPr>
                      <w:r>
                        <w:rPr>
                          <w:rFonts w:ascii="SimHei" w:eastAsia="SimHei" w:hAnsi="SimHei" w:cs="SimHei"/>
                          <w:color w:val="2A2522"/>
                          <w:spacing w:val="0"/>
                          <w:w w:val="100"/>
                          <w:position w:val="0"/>
                          <w:sz w:val="8"/>
                          <w:szCs w:val="8"/>
                        </w:rPr>
                        <w:t>美法** 任.</w:t>
                      </w:r>
                    </w:p>
                    <w:p>
                      <w:pPr>
                        <w:pStyle w:val="Style41"/>
                        <w:keepNext w:val="0"/>
                        <w:keepLines w:val="0"/>
                        <w:widowControl w:val="0"/>
                        <w:shd w:val="clear" w:color="auto" w:fill="auto"/>
                        <w:bidi w:val="0"/>
                        <w:spacing w:before="0" w:after="220" w:line="240" w:lineRule="auto"/>
                        <w:ind w:left="1600" w:right="0" w:firstLine="0"/>
                        <w:jc w:val="left"/>
                      </w:pPr>
                      <w:r>
                        <w:rPr>
                          <w:b/>
                          <w:bCs/>
                          <w:color w:val="2A2522"/>
                          <w:spacing w:val="0"/>
                          <w:w w:val="100"/>
                          <w:position w:val="0"/>
                        </w:rPr>
                        <w:t>■«««</w:t>
                      </w:r>
                    </w:p>
                    <w:p>
                      <w:pPr>
                        <w:pStyle w:val="Style2"/>
                        <w:keepNext w:val="0"/>
                        <w:keepLines w:val="0"/>
                        <w:widowControl w:val="0"/>
                        <w:shd w:val="clear" w:color="auto" w:fill="auto"/>
                        <w:bidi w:val="0"/>
                        <w:spacing w:before="0" w:after="0" w:line="155" w:lineRule="exact"/>
                        <w:ind w:left="1600" w:right="0" w:firstLine="360"/>
                        <w:jc w:val="left"/>
                        <w:rPr>
                          <w:sz w:val="8"/>
                          <w:szCs w:val="8"/>
                        </w:rPr>
                      </w:pPr>
                      <w:r>
                        <w:rPr>
                          <w:rFonts w:ascii="Arial" w:eastAsia="Arial" w:hAnsi="Arial" w:cs="Arial"/>
                          <w:b/>
                          <w:bCs/>
                          <w:color w:val="8D8D8D"/>
                          <w:spacing w:val="0"/>
                          <w:w w:val="100"/>
                          <w:position w:val="0"/>
                          <w:sz w:val="8"/>
                          <w:szCs w:val="8"/>
                        </w:rPr>
                        <w:t>na</w:t>
                      </w:r>
                      <w:r>
                        <w:rPr>
                          <w:rFonts w:ascii="SimHei" w:eastAsia="SimHei" w:hAnsi="SimHei" w:cs="SimHei"/>
                          <w:color w:val="8D8D8D"/>
                          <w:spacing w:val="0"/>
                          <w:w w:val="100"/>
                          <w:position w:val="0"/>
                          <w:sz w:val="8"/>
                          <w:szCs w:val="8"/>
                        </w:rPr>
                        <w:t xml:space="preserve">术，化企 </w:t>
                      </w:r>
                      <w:r>
                        <w:rPr>
                          <w:rFonts w:ascii="SimHei" w:eastAsia="SimHei" w:hAnsi="SimHei" w:cs="SimHei"/>
                          <w:color w:val="8D8D8D"/>
                          <w:spacing w:val="0"/>
                          <w:w w:val="100"/>
                          <w:position w:val="0"/>
                          <w:sz w:val="8"/>
                          <w:szCs w:val="8"/>
                        </w:rPr>
                        <w:t>&gt;</w:t>
                      </w:r>
                      <w:r>
                        <w:rPr>
                          <w:rFonts w:ascii="SimHei" w:eastAsia="SimHei" w:hAnsi="SimHei" w:cs="SimHei"/>
                          <w:color w:val="8D8D8D"/>
                          <w:spacing w:val="0"/>
                          <w:w w:val="100"/>
                          <w:position w:val="0"/>
                          <w:sz w:val="8"/>
                          <w:szCs w:val="8"/>
                        </w:rPr>
                        <w:t>。</w:t>
                      </w:r>
                      <w:r>
                        <w:rPr>
                          <w:rFonts w:ascii="Arial" w:eastAsia="Arial" w:hAnsi="Arial" w:cs="Arial"/>
                          <w:b/>
                          <w:bCs/>
                          <w:color w:val="8D8D8D"/>
                          <w:spacing w:val="0"/>
                          <w:w w:val="100"/>
                          <w:position w:val="0"/>
                          <w:sz w:val="8"/>
                          <w:szCs w:val="8"/>
                        </w:rPr>
                        <w:t>PH</w:t>
                      </w:r>
                      <w:r>
                        <w:rPr>
                          <w:rFonts w:ascii="SimHei" w:eastAsia="SimHei" w:hAnsi="SimHei" w:cs="SimHei"/>
                          <w:color w:val="8D8D8D"/>
                          <w:spacing w:val="0"/>
                          <w:w w:val="100"/>
                          <w:position w:val="0"/>
                          <w:sz w:val="8"/>
                          <w:szCs w:val="8"/>
                        </w:rPr>
                        <w:t>公</w:t>
                      </w:r>
                      <w:r>
                        <w:rPr>
                          <w:rFonts w:ascii="Arial" w:eastAsia="Arial" w:hAnsi="Arial" w:cs="Arial"/>
                          <w:b/>
                          <w:bCs/>
                          <w:color w:val="8D8D8D"/>
                          <w:spacing w:val="0"/>
                          <w:w w:val="100"/>
                          <w:position w:val="0"/>
                          <w:sz w:val="8"/>
                          <w:szCs w:val="8"/>
                        </w:rPr>
                        <w:t xml:space="preserve">"I. RBBBRWtt*• </w:t>
                      </w:r>
                      <w:r>
                        <w:rPr>
                          <w:rFonts w:ascii="Arial" w:eastAsia="Arial" w:hAnsi="Arial" w:cs="Arial"/>
                          <w:b/>
                          <w:bCs/>
                          <w:color w:val="A4A4A4"/>
                          <w:spacing w:val="0"/>
                          <w:w w:val="100"/>
                          <w:position w:val="0"/>
                          <w:sz w:val="8"/>
                          <w:szCs w:val="8"/>
                        </w:rPr>
                        <w:t>iRtHHtt</w:t>
                      </w:r>
                      <w:r>
                        <w:rPr>
                          <w:b/>
                          <w:bCs/>
                          <w:color w:val="A4A4A4"/>
                          <w:spacing w:val="0"/>
                          <w:w w:val="100"/>
                          <w:position w:val="0"/>
                          <w:sz w:val="9"/>
                          <w:szCs w:val="9"/>
                        </w:rPr>
                        <w:t>（</w:t>
                      </w:r>
                      <w:r>
                        <w:rPr>
                          <w:rFonts w:ascii="Arial" w:eastAsia="Arial" w:hAnsi="Arial" w:cs="Arial"/>
                          <w:b/>
                          <w:bCs/>
                          <w:color w:val="A4A4A4"/>
                          <w:spacing w:val="0"/>
                          <w:w w:val="100"/>
                          <w:position w:val="0"/>
                          <w:sz w:val="8"/>
                          <w:szCs w:val="8"/>
                        </w:rPr>
                        <w:t xml:space="preserve">i«M&gt; </w:t>
                      </w:r>
                      <w:r>
                        <w:rPr>
                          <w:rFonts w:ascii="SimHei" w:eastAsia="SimHei" w:hAnsi="SimHei" w:cs="SimHei"/>
                          <w:color w:val="A4A4A4"/>
                          <w:spacing w:val="0"/>
                          <w:w w:val="100"/>
                          <w:position w:val="0"/>
                          <w:sz w:val="8"/>
                          <w:szCs w:val="8"/>
                        </w:rPr>
                        <w:t>"眼公可.华</w:t>
                      </w:r>
                      <w:r>
                        <w:rPr>
                          <w:rFonts w:ascii="SimHei" w:eastAsia="SimHei" w:hAnsi="SimHei" w:cs="SimHei"/>
                          <w:color w:val="8D8D8D"/>
                          <w:spacing w:val="0"/>
                          <w:w w:val="100"/>
                          <w:position w:val="0"/>
                          <w:sz w:val="8"/>
                          <w:szCs w:val="8"/>
                        </w:rPr>
                        <w:t>为娘木</w:t>
                      </w:r>
                      <w:r>
                        <w:rPr>
                          <w:rFonts w:ascii="Arial" w:eastAsia="Arial" w:hAnsi="Arial" w:cs="Arial"/>
                          <w:b/>
                          <w:bCs/>
                          <w:color w:val="A4A4A4"/>
                          <w:spacing w:val="0"/>
                          <w:w w:val="100"/>
                          <w:position w:val="0"/>
                          <w:sz w:val="8"/>
                          <w:szCs w:val="8"/>
                        </w:rPr>
                        <w:t>OIU</w:t>
                      </w:r>
                      <w:r>
                        <w:rPr>
                          <w:rFonts w:ascii="SimHei" w:eastAsia="SimHei" w:hAnsi="SimHei" w:cs="SimHei"/>
                          <w:color w:val="A4A4A4"/>
                          <w:spacing w:val="0"/>
                          <w:w w:val="100"/>
                          <w:position w:val="0"/>
                          <w:sz w:val="8"/>
                          <w:szCs w:val="8"/>
                        </w:rPr>
                        <w:t>公</w:t>
                      </w:r>
                      <w:r>
                        <w:rPr>
                          <w:rFonts w:ascii="Arial" w:eastAsia="Arial" w:hAnsi="Arial" w:cs="Arial"/>
                          <w:b/>
                          <w:bCs/>
                          <w:color w:val="A4A4A4"/>
                          <w:spacing w:val="0"/>
                          <w:w w:val="100"/>
                          <w:position w:val="0"/>
                          <w:sz w:val="8"/>
                          <w:szCs w:val="8"/>
                        </w:rPr>
                        <w:t>ril.</w:t>
                      </w:r>
                      <w:r>
                        <w:rPr>
                          <w:rFonts w:ascii="SimHei" w:eastAsia="SimHei" w:hAnsi="SimHei" w:cs="SimHei"/>
                          <w:color w:val="8D8D8D"/>
                          <w:spacing w:val="0"/>
                          <w:w w:val="100"/>
                          <w:position w:val="0"/>
                          <w:sz w:val="8"/>
                          <w:szCs w:val="8"/>
                        </w:rPr>
                        <w:t>中</w:t>
                      </w:r>
                      <w:r>
                        <w:rPr>
                          <w:rFonts w:ascii="Arial" w:eastAsia="Arial" w:hAnsi="Arial" w:cs="Arial"/>
                          <w:b/>
                          <w:bCs/>
                          <w:color w:val="A4A4A4"/>
                          <w:spacing w:val="0"/>
                          <w:w w:val="100"/>
                          <w:position w:val="0"/>
                          <w:sz w:val="8"/>
                          <w:szCs w:val="8"/>
                        </w:rPr>
                        <w:t>Wl*</w:t>
                      </w:r>
                      <w:r>
                        <w:rPr>
                          <w:rFonts w:ascii="SimHei" w:eastAsia="SimHei" w:hAnsi="SimHei" w:cs="SimHei"/>
                          <w:color w:val="A4A4A4"/>
                          <w:spacing w:val="0"/>
                          <w:w w:val="100"/>
                          <w:position w:val="0"/>
                          <w:sz w:val="8"/>
                          <w:szCs w:val="8"/>
                        </w:rPr>
                        <w:t>昉</w:t>
                      </w:r>
                      <w:r>
                        <w:rPr>
                          <w:rFonts w:ascii="Arial" w:eastAsia="Arial" w:hAnsi="Arial" w:cs="Arial"/>
                          <w:color w:val="A4A4A4"/>
                          <w:spacing w:val="0"/>
                          <w:w w:val="100"/>
                          <w:position w:val="0"/>
                          <w:sz w:val="8"/>
                          <w:szCs w:val="8"/>
                        </w:rPr>
                        <w:t>•</w:t>
                      </w:r>
                      <w:r>
                        <w:rPr>
                          <w:rFonts w:ascii="SimHei" w:eastAsia="SimHei" w:hAnsi="SimHei" w:cs="SimHei"/>
                          <w:color w:val="A4A4A4"/>
                          <w:spacing w:val="0"/>
                          <w:w w:val="100"/>
                          <w:position w:val="0"/>
                          <w:sz w:val="8"/>
                          <w:szCs w:val="8"/>
                        </w:rPr>
                        <w:t>佑眼困北京"败 公公司软件耕兄院.北以金</w:t>
                      </w:r>
                      <w:r>
                        <w:rPr>
                          <w:rFonts w:ascii="Arial" w:eastAsia="Arial" w:hAnsi="Arial" w:cs="Arial"/>
                          <w:smallCaps/>
                          <w:color w:val="A4A4A4"/>
                          <w:spacing w:val="0"/>
                          <w:w w:val="100"/>
                          <w:position w:val="0"/>
                          <w:sz w:val="9"/>
                          <w:szCs w:val="9"/>
                        </w:rPr>
                        <w:t>Um</w:t>
                      </w:r>
                      <w:r>
                        <w:rPr>
                          <w:rFonts w:ascii="SimHei" w:eastAsia="SimHei" w:hAnsi="SimHei" w:cs="SimHei"/>
                          <w:color w:val="A4A4A4"/>
                          <w:spacing w:val="0"/>
                          <w:w w:val="100"/>
                          <w:position w:val="0"/>
                          <w:sz w:val="8"/>
                          <w:szCs w:val="8"/>
                        </w:rPr>
                        <w:t>料</w:t>
                      </w:r>
                      <w:r>
                        <w:rPr>
                          <w:rFonts w:ascii="SimHei" w:eastAsia="SimHei" w:hAnsi="SimHei" w:cs="SimHei"/>
                          <w:color w:val="8D8D8D"/>
                          <w:spacing w:val="0"/>
                          <w:w w:val="100"/>
                          <w:position w:val="0"/>
                          <w:sz w:val="8"/>
                          <w:szCs w:val="8"/>
                        </w:rPr>
                        <w:t>木</w:t>
                      </w:r>
                      <w:r>
                        <w:rPr>
                          <w:rFonts w:ascii="SimHei" w:eastAsia="SimHei" w:hAnsi="SimHei" w:cs="SimHei"/>
                          <w:color w:val="A4A4A4"/>
                          <w:spacing w:val="0"/>
                          <w:w w:val="100"/>
                          <w:position w:val="0"/>
                          <w:sz w:val="8"/>
                          <w:szCs w:val="8"/>
                        </w:rPr>
                        <w:t>"限公司. 葬字第</w:t>
                      </w:r>
                      <w:r>
                        <w:rPr>
                          <w:rFonts w:ascii="Arial" w:eastAsia="Arial" w:hAnsi="Arial" w:cs="Arial"/>
                          <w:color w:val="A4A4A4"/>
                          <w:spacing w:val="0"/>
                          <w:w w:val="100"/>
                          <w:position w:val="0"/>
                          <w:sz w:val="8"/>
                          <w:szCs w:val="8"/>
                        </w:rPr>
                        <w:t>®</w:t>
                      </w:r>
                      <w:r>
                        <w:rPr>
                          <w:rFonts w:ascii="SimHei" w:eastAsia="SimHei" w:hAnsi="SimHei" w:cs="SimHei"/>
                          <w:color w:val="A4A4A4"/>
                          <w:spacing w:val="0"/>
                          <w:w w:val="100"/>
                          <w:position w:val="0"/>
                          <w:sz w:val="8"/>
                          <w:szCs w:val="8"/>
                        </w:rPr>
                        <w:t>金公可.，兀佑息技木</w:t>
                      </w:r>
                      <w:r>
                        <w:rPr>
                          <w:rFonts w:ascii="Arial" w:eastAsia="Arial" w:hAnsi="Arial" w:cs="Arial"/>
                          <w:b/>
                          <w:bCs/>
                          <w:color w:val="A4A4A4"/>
                          <w:spacing w:val="0"/>
                          <w:w w:val="100"/>
                          <w:position w:val="0"/>
                          <w:sz w:val="8"/>
                          <w:szCs w:val="8"/>
                        </w:rPr>
                        <w:t>IR</w:t>
                      </w:r>
                      <w:r>
                        <w:rPr>
                          <w:rFonts w:ascii="SimHei" w:eastAsia="SimHei" w:hAnsi="SimHei" w:cs="SimHei"/>
                          <w:color w:val="A4A4A4"/>
                          <w:spacing w:val="0"/>
                          <w:w w:val="100"/>
                          <w:position w:val="0"/>
                          <w:sz w:val="8"/>
                          <w:szCs w:val="8"/>
                        </w:rPr>
                        <w:t>份公可.北京中</w:t>
                      </w:r>
                    </w:p>
                    <w:p>
                      <w:pPr>
                        <w:pStyle w:val="Style2"/>
                        <w:keepNext w:val="0"/>
                        <w:keepLines w:val="0"/>
                        <w:widowControl w:val="0"/>
                        <w:shd w:val="clear" w:color="auto" w:fill="auto"/>
                        <w:tabs>
                          <w:tab w:pos="3490" w:val="left"/>
                        </w:tabs>
                        <w:bidi w:val="0"/>
                        <w:spacing w:before="0" w:after="0" w:line="155" w:lineRule="exact"/>
                        <w:ind w:left="1560" w:right="0" w:firstLine="0"/>
                        <w:jc w:val="right"/>
                        <w:rPr>
                          <w:sz w:val="8"/>
                          <w:szCs w:val="8"/>
                        </w:rPr>
                      </w:pPr>
                      <w:r>
                        <w:rPr>
                          <w:rFonts w:ascii="SimHei" w:eastAsia="SimHei" w:hAnsi="SimHei" w:cs="SimHei"/>
                          <w:color w:val="A4A4A4"/>
                          <w:spacing w:val="0"/>
                          <w:w w:val="100"/>
                          <w:position w:val="0"/>
                          <w:sz w:val="8"/>
                          <w:szCs w:val="8"/>
                        </w:rPr>
                        <w:t>公可.&lt;</w:t>
                      </w:r>
                      <w:r>
                        <w:rPr>
                          <w:rFonts w:ascii="SimHei" w:eastAsia="SimHei" w:hAnsi="SimHei" w:cs="SimHei"/>
                          <w:color w:val="8D8D8D"/>
                          <w:spacing w:val="0"/>
                          <w:w w:val="100"/>
                          <w:position w:val="0"/>
                          <w:sz w:val="8"/>
                          <w:szCs w:val="8"/>
                        </w:rPr>
                        <w:t>中</w:t>
                      </w:r>
                      <w:r>
                        <w:rPr>
                          <w:rFonts w:ascii="SimHei" w:eastAsia="SimHei" w:hAnsi="SimHei" w:cs="SimHei"/>
                          <w:color w:val="A4A4A4"/>
                          <w:spacing w:val="0"/>
                          <w:w w:val="100"/>
                          <w:position w:val="0"/>
                          <w:sz w:val="8"/>
                          <w:szCs w:val="8"/>
                        </w:rPr>
                        <w:t xml:space="preserve">■&gt; </w:t>
                      </w:r>
                      <w:r>
                        <w:rPr>
                          <w:rFonts w:ascii="SimHei" w:eastAsia="SimHei" w:hAnsi="SimHei" w:cs="SimHei"/>
                          <w:color w:val="A4A4A4"/>
                          <w:spacing w:val="0"/>
                          <w:w w:val="100"/>
                          <w:position w:val="0"/>
                          <w:sz w:val="8"/>
                          <w:szCs w:val="8"/>
                        </w:rPr>
                        <w:t>“限公</w:t>
                      </w:r>
                      <w:r>
                        <w:rPr>
                          <w:rFonts w:ascii="Arial" w:eastAsia="Arial" w:hAnsi="Arial" w:cs="Arial"/>
                          <w:b/>
                          <w:bCs/>
                          <w:color w:val="A4A4A4"/>
                          <w:spacing w:val="0"/>
                          <w:w w:val="100"/>
                          <w:position w:val="0"/>
                          <w:sz w:val="8"/>
                          <w:szCs w:val="8"/>
                        </w:rPr>
                        <w:t>&lt;4.</w:t>
                      </w:r>
                      <w:r>
                        <w:rPr>
                          <w:rFonts w:ascii="SimHei" w:eastAsia="SimHei" w:hAnsi="SimHei" w:cs="SimHei"/>
                          <w:color w:val="A4A4A4"/>
                          <w:spacing w:val="0"/>
                          <w:w w:val="100"/>
                          <w:position w:val="0"/>
                          <w:sz w:val="8"/>
                          <w:szCs w:val="8"/>
                        </w:rPr>
                        <w:t>北京神州―</w:t>
                      </w:r>
                      <w:r>
                        <w:rPr>
                          <w:rFonts w:ascii="SimHei" w:eastAsia="SimHei" w:hAnsi="SimHei" w:cs="SimHei"/>
                          <w:color w:val="A4A4A4"/>
                          <w:spacing w:val="0"/>
                          <w:w w:val="100"/>
                          <w:position w:val="0"/>
                          <w:sz w:val="8"/>
                          <w:szCs w:val="8"/>
                        </w:rPr>
                        <w:t>—</w:t>
                      </w:r>
                      <w:r>
                        <w:rPr>
                          <w:rFonts w:ascii="SimHei" w:eastAsia="SimHei" w:hAnsi="SimHei" w:cs="SimHei"/>
                          <w:color w:val="A4A4A4"/>
                          <w:spacing w:val="0"/>
                          <w:w w:val="100"/>
                          <w:position w:val="0"/>
                          <w:sz w:val="8"/>
                          <w:szCs w:val="8"/>
                        </w:rPr>
                        <w:t>公</w:t>
                      </w:r>
                      <w:r>
                        <w:rPr>
                          <w:rFonts w:ascii="SimHei" w:eastAsia="SimHei" w:hAnsi="SimHei" w:cs="SimHei"/>
                          <w:color w:val="8D8D8D"/>
                          <w:spacing w:val="0"/>
                          <w:w w:val="100"/>
                          <w:position w:val="0"/>
                          <w:sz w:val="8"/>
                          <w:szCs w:val="8"/>
                        </w:rPr>
                        <w:t xml:space="preserve">中 </w:t>
                      </w:r>
                      <w:r>
                        <w:rPr>
                          <w:rFonts w:ascii="Arial" w:eastAsia="Arial" w:hAnsi="Arial" w:cs="Arial"/>
                          <w:b/>
                          <w:bCs/>
                          <w:color w:val="A4A4A4"/>
                          <w:spacing w:val="0"/>
                          <w:w w:val="100"/>
                          <w:position w:val="0"/>
                          <w:sz w:val="8"/>
                          <w:szCs w:val="8"/>
                        </w:rPr>
                        <w:t>UHHh</w:t>
                      </w:r>
                      <w:r>
                        <w:rPr>
                          <w:rFonts w:ascii="SimHei" w:eastAsia="SimHei" w:hAnsi="SimHei" w:cs="SimHei"/>
                          <w:color w:val="8D8D8D"/>
                          <w:spacing w:val="0"/>
                          <w:w w:val="100"/>
                          <w:position w:val="0"/>
                          <w:sz w:val="8"/>
                          <w:szCs w:val="8"/>
                        </w:rPr>
                        <w:t>故璀中心</w:t>
                      </w:r>
                      <w:r>
                        <w:rPr>
                          <w:rFonts w:ascii="SimHei" w:eastAsia="SimHei" w:hAnsi="SimHei" w:cs="SimHei"/>
                          <w:color w:val="A4A4A4"/>
                          <w:spacing w:val="0"/>
                          <w:w w:val="100"/>
                          <w:position w:val="0"/>
                          <w:sz w:val="8"/>
                          <w:szCs w:val="8"/>
                        </w:rPr>
                        <w:t>.中心苏佛 &gt; 牧件枝</w:t>
                      </w:r>
                      <w:r>
                        <w:rPr>
                          <w:rFonts w:ascii="SimHei" w:eastAsia="SimHei" w:hAnsi="SimHei" w:cs="SimHei"/>
                          <w:color w:val="8D8D8D"/>
                          <w:spacing w:val="0"/>
                          <w:w w:val="100"/>
                          <w:position w:val="0"/>
                          <w:sz w:val="8"/>
                          <w:szCs w:val="8"/>
                        </w:rPr>
                        <w:t>末</w:t>
                      </w:r>
                      <w:r>
                        <w:rPr>
                          <w:rFonts w:ascii="Arial" w:eastAsia="Arial" w:hAnsi="Arial" w:cs="Arial"/>
                          <w:b/>
                          <w:bCs/>
                          <w:color w:val="A4A4A4"/>
                          <w:spacing w:val="0"/>
                          <w:w w:val="100"/>
                          <w:position w:val="0"/>
                          <w:sz w:val="8"/>
                          <w:szCs w:val="8"/>
                        </w:rPr>
                        <w:t>f（M</w:t>
                      </w:r>
                      <w:r>
                        <w:rPr>
                          <w:rFonts w:ascii="SimHei" w:eastAsia="SimHei" w:hAnsi="SimHei" w:cs="SimHei"/>
                          <w:color w:val="A4A4A4"/>
                          <w:spacing w:val="0"/>
                          <w:w w:val="100"/>
                          <w:position w:val="0"/>
                          <w:sz w:val="8"/>
                          <w:szCs w:val="8"/>
                        </w:rPr>
                        <w:t>公</w:t>
                      </w:r>
                      <w:r>
                        <w:rPr>
                          <w:rFonts w:ascii="Arial" w:eastAsia="Arial" w:hAnsi="Arial" w:cs="Arial"/>
                          <w:b/>
                          <w:bCs/>
                          <w:color w:val="A4A4A4"/>
                          <w:spacing w:val="0"/>
                          <w:w w:val="100"/>
                          <w:position w:val="0"/>
                          <w:sz w:val="8"/>
                          <w:szCs w:val="8"/>
                        </w:rPr>
                        <w:t>"1.</w:t>
                        <w:tab/>
                      </w:r>
                      <w:r>
                        <w:rPr>
                          <w:rFonts w:ascii="SimHei" w:eastAsia="SimHei" w:hAnsi="SimHei" w:cs="SimHei"/>
                          <w:color w:val="A4A4A4"/>
                          <w:spacing w:val="0"/>
                          <w:w w:val="100"/>
                          <w:position w:val="0"/>
                          <w:sz w:val="8"/>
                          <w:szCs w:val="8"/>
                        </w:rPr>
                        <w:t>大生命</w:t>
                      </w:r>
                      <w:r>
                        <w:rPr>
                          <w:rFonts w:ascii="Arial" w:eastAsia="Arial" w:hAnsi="Arial" w:cs="Arial"/>
                          <w:b/>
                          <w:bCs/>
                          <w:color w:val="8D8D8D"/>
                          <w:spacing w:val="0"/>
                          <w:w w:val="100"/>
                          <w:position w:val="0"/>
                          <w:sz w:val="8"/>
                          <w:szCs w:val="8"/>
                        </w:rPr>
                        <w:t>W</w:t>
                      </w:r>
                      <w:r>
                        <w:rPr>
                          <w:rFonts w:ascii="SimHei" w:eastAsia="SimHei" w:hAnsi="SimHei" w:cs="SimHei"/>
                          <w:color w:val="A4A4A4"/>
                          <w:spacing w:val="0"/>
                          <w:w w:val="100"/>
                          <w:position w:val="0"/>
                          <w:sz w:val="8"/>
                          <w:szCs w:val="8"/>
                        </w:rPr>
                        <w:t>学</w:t>
                      </w:r>
                    </w:p>
                    <w:p>
                      <w:pPr>
                        <w:pStyle w:val="Style2"/>
                        <w:keepNext w:val="0"/>
                        <w:keepLines w:val="0"/>
                        <w:widowControl w:val="0"/>
                        <w:shd w:val="clear" w:color="auto" w:fill="auto"/>
                        <w:bidi w:val="0"/>
                        <w:spacing w:before="0" w:after="40" w:line="155" w:lineRule="exact"/>
                        <w:ind w:left="1560" w:right="0" w:firstLine="0"/>
                        <w:jc w:val="right"/>
                        <w:rPr>
                          <w:sz w:val="8"/>
                          <w:szCs w:val="8"/>
                        </w:rPr>
                      </w:pPr>
                      <w:r>
                        <w:rPr>
                          <w:rFonts w:ascii="SimHei" w:eastAsia="SimHei" w:hAnsi="SimHei" w:cs="SimHei"/>
                          <w:color w:val="A4A4A4"/>
                          <w:spacing w:val="0"/>
                          <w:w w:val="100"/>
                          <w:position w:val="0"/>
                          <w:sz w:val="8"/>
                          <w:szCs w:val="8"/>
                        </w:rPr>
                        <w:t>北</w:t>
                      </w:r>
                      <w:r>
                        <w:rPr>
                          <w:i/>
                          <w:iCs/>
                          <w:color w:val="A4A4A4"/>
                          <w:spacing w:val="0"/>
                          <w:w w:val="100"/>
                          <w:position w:val="0"/>
                          <w:sz w:val="18"/>
                          <w:szCs w:val="18"/>
                        </w:rPr>
                        <w:t>公御.</w:t>
                      </w:r>
                      <w:r>
                        <w:rPr>
                          <w:rFonts w:ascii="SimHei" w:eastAsia="SimHei" w:hAnsi="SimHei" w:cs="SimHei"/>
                          <w:color w:val="A4A4A4"/>
                          <w:spacing w:val="0"/>
                          <w:w w:val="100"/>
                          <w:position w:val="0"/>
                          <w:sz w:val="8"/>
                          <w:szCs w:val="8"/>
                        </w:rPr>
                        <w:t>公刈.华占散糖有限公可</w:t>
                      </w:r>
                    </w:p>
                    <w:p>
                      <w:pPr>
                        <w:pStyle w:val="Style156"/>
                        <w:keepNext w:val="0"/>
                        <w:keepLines w:val="0"/>
                        <w:widowControl w:val="0"/>
                        <w:shd w:val="clear" w:color="auto" w:fill="auto"/>
                        <w:bidi w:val="0"/>
                        <w:spacing w:before="0" w:after="0" w:line="158" w:lineRule="exact"/>
                        <w:ind w:left="0" w:right="0" w:firstLine="0"/>
                        <w:jc w:val="center"/>
                      </w:pPr>
                      <w:r>
                        <w:rPr>
                          <w:color w:val="A4A4A4"/>
                          <w:spacing w:val="0"/>
                          <w:w w:val="100"/>
                          <w:position w:val="0"/>
                        </w:rPr>
                        <w:t>tiff. 1-an.</w:t>
                      </w:r>
                      <w:r>
                        <w:rPr>
                          <w:rFonts w:ascii="SimHei" w:eastAsia="SimHei" w:hAnsi="SimHei" w:cs="SimHei"/>
                          <w:b w:val="0"/>
                          <w:bCs w:val="0"/>
                          <w:color w:val="A4A4A4"/>
                          <w:spacing w:val="0"/>
                          <w:w w:val="100"/>
                          <w:position w:val="0"/>
                        </w:rPr>
                        <w:t>别</w:t>
                      </w:r>
                      <w:r>
                        <w:rPr>
                          <w:color w:val="A4A4A4"/>
                          <w:spacing w:val="0"/>
                          <w:w w:val="100"/>
                          <w:position w:val="0"/>
                        </w:rPr>
                        <w:t>om. l&gt;r. «8T.</w:t>
                      </w:r>
                      <w:r>
                        <w:rPr>
                          <w:rFonts w:ascii="SimHei" w:eastAsia="SimHei" w:hAnsi="SimHei" w:cs="SimHei"/>
                          <w:b w:val="0"/>
                          <w:bCs w:val="0"/>
                          <w:color w:val="A4A4A4"/>
                          <w:spacing w:val="0"/>
                          <w:w w:val="100"/>
                          <w:position w:val="0"/>
                        </w:rPr>
                        <w:t>。伦</w:t>
                      </w:r>
                      <w:r>
                        <w:rPr>
                          <w:color w:val="A4A4A4"/>
                          <w:spacing w:val="0"/>
                          <w:w w:val="100"/>
                          <w:position w:val="0"/>
                        </w:rPr>
                        <w:t>K. tUHfl. W.</w:t>
                        <w:br/>
                      </w:r>
                      <w:r>
                        <w:rPr>
                          <w:rFonts w:ascii="SimHei" w:eastAsia="SimHei" w:hAnsi="SimHei" w:cs="SimHei"/>
                          <w:b w:val="0"/>
                          <w:bCs w:val="0"/>
                          <w:color w:val="A4A4A4"/>
                          <w:spacing w:val="0"/>
                          <w:w w:val="100"/>
                          <w:position w:val="0"/>
                        </w:rPr>
                        <w:t>涂*.叶岭.</w:t>
                      </w:r>
                      <w:r>
                        <w:rPr>
                          <w:color w:val="A4A4A4"/>
                          <w:spacing w:val="0"/>
                          <w:w w:val="100"/>
                          <w:position w:val="0"/>
                        </w:rPr>
                        <w:t>WWW.</w:t>
                      </w:r>
                      <w:r>
                        <w:rPr>
                          <w:rFonts w:ascii="SimHei" w:eastAsia="SimHei" w:hAnsi="SimHei" w:cs="SimHei"/>
                          <w:b w:val="0"/>
                          <w:bCs w:val="0"/>
                          <w:color w:val="8D8D8D"/>
                          <w:spacing w:val="0"/>
                          <w:w w:val="100"/>
                          <w:position w:val="0"/>
                        </w:rPr>
                        <w:t>朱</w:t>
                      </w:r>
                      <w:r>
                        <w:rPr>
                          <w:color w:val="A4A4A4"/>
                          <w:spacing w:val="0"/>
                          <w:w w:val="100"/>
                          <w:position w:val="0"/>
                        </w:rPr>
                        <w:t xml:space="preserve">WW. </w:t>
                      </w:r>
                      <w:r>
                        <w:rPr>
                          <w:rFonts w:ascii="SimHei" w:eastAsia="SimHei" w:hAnsi="SimHei" w:cs="SimHei"/>
                          <w:b w:val="0"/>
                          <w:bCs w:val="0"/>
                          <w:color w:val="A4A4A4"/>
                          <w:spacing w:val="0"/>
                          <w:w w:val="100"/>
                          <w:position w:val="0"/>
                        </w:rPr>
                        <w:t xml:space="preserve">*兆!《. </w:t>
                      </w:r>
                      <w:r>
                        <w:rPr>
                          <w:color w:val="8D8D8D"/>
                          <w:spacing w:val="0"/>
                          <w:w w:val="100"/>
                          <w:position w:val="0"/>
                        </w:rPr>
                        <w:t>H</w:t>
                      </w:r>
                      <w:r>
                        <w:rPr>
                          <w:rFonts w:ascii="SimHei" w:eastAsia="SimHei" w:hAnsi="SimHei" w:cs="SimHei"/>
                          <w:b w:val="0"/>
                          <w:bCs w:val="0"/>
                          <w:color w:val="A4A4A4"/>
                          <w:spacing w:val="0"/>
                          <w:w w:val="100"/>
                          <w:position w:val="0"/>
                        </w:rPr>
                        <w:t>礼.耕</w:t>
                      </w:r>
                      <w:r>
                        <w:rPr>
                          <w:color w:val="A4A4A4"/>
                          <w:spacing w:val="0"/>
                          <w:w w:val="100"/>
                          <w:position w:val="0"/>
                        </w:rPr>
                        <w:t>f*l</w:t>
                        <w:br/>
                      </w:r>
                      <w:r>
                        <w:rPr>
                          <w:rFonts w:ascii="SimHei" w:eastAsia="SimHei" w:hAnsi="SimHei" w:cs="SimHei"/>
                          <w:b w:val="0"/>
                          <w:bCs w:val="0"/>
                          <w:color w:val="A4A4A4"/>
                          <w:spacing w:val="0"/>
                          <w:w w:val="100"/>
                          <w:position w:val="0"/>
                        </w:rPr>
                        <w:t>.龙.</w:t>
                      </w:r>
                      <w:r>
                        <w:rPr>
                          <w:color w:val="A4A4A4"/>
                          <w:spacing w:val="0"/>
                          <w:w w:val="100"/>
                          <w:position w:val="0"/>
                        </w:rPr>
                        <w:t>in</w:t>
                      </w:r>
                      <w:r>
                        <w:rPr>
                          <w:rFonts w:ascii="SimHei" w:eastAsia="SimHei" w:hAnsi="SimHei" w:cs="SimHei"/>
                          <w:b w:val="0"/>
                          <w:bCs w:val="0"/>
                          <w:color w:val="A4A4A4"/>
                          <w:spacing w:val="0"/>
                          <w:w w:val="100"/>
                          <w:position w:val="0"/>
                        </w:rPr>
                        <w:t>黄花、手卜.</w:t>
                      </w:r>
                      <w:r>
                        <w:rPr>
                          <w:color w:val="A4A4A4"/>
                          <w:spacing w:val="0"/>
                          <w:w w:val="100"/>
                          <w:position w:val="0"/>
                        </w:rPr>
                        <w:t>m. iiai. rttw.</w:t>
                      </w:r>
                    </w:p>
                    <w:p>
                      <w:pPr>
                        <w:pStyle w:val="Style156"/>
                        <w:keepNext w:val="0"/>
                        <w:keepLines w:val="0"/>
                        <w:widowControl w:val="0"/>
                        <w:shd w:val="clear" w:color="auto" w:fill="auto"/>
                        <w:tabs>
                          <w:tab w:pos="2363" w:val="left"/>
                        </w:tabs>
                        <w:bidi w:val="0"/>
                        <w:spacing w:before="0" w:after="480" w:line="158" w:lineRule="exact"/>
                        <w:ind w:left="1600" w:right="0" w:firstLine="0"/>
                        <w:jc w:val="left"/>
                      </w:pPr>
                      <w:r>
                        <w:rPr>
                          <w:rFonts w:ascii="SimHei" w:eastAsia="SimHei" w:hAnsi="SimHei" w:cs="SimHei"/>
                          <w:b w:val="0"/>
                          <w:bCs w:val="0"/>
                          <w:color w:val="A4A4A4"/>
                          <w:spacing w:val="0"/>
                          <w:w w:val="100"/>
                          <w:position w:val="0"/>
                        </w:rPr>
                        <w:t>林南平、</w:t>
                      </w:r>
                      <w:r>
                        <w:rPr>
                          <w:color w:val="A4A4A4"/>
                          <w:spacing w:val="0"/>
                          <w:w w:val="100"/>
                          <w:position w:val="0"/>
                        </w:rPr>
                        <w:t xml:space="preserve">»ih. F.«n. i&gt;im. </w:t>
                      </w:r>
                      <w:r>
                        <w:rPr>
                          <w:rFonts w:ascii="SimHei" w:eastAsia="SimHei" w:hAnsi="SimHei" w:cs="SimHei"/>
                          <w:b w:val="0"/>
                          <w:bCs w:val="0"/>
                          <w:color w:val="A4A4A4"/>
                          <w:spacing w:val="0"/>
                          <w:w w:val="100"/>
                          <w:position w:val="0"/>
                        </w:rPr>
                        <w:t>王亮.</w:t>
                      </w:r>
                      <w:r>
                        <w:rPr>
                          <w:b w:val="0"/>
                          <w:bCs w:val="0"/>
                          <w:color w:val="A4A4A4"/>
                          <w:spacing w:val="0"/>
                          <w:w w:val="100"/>
                          <w:position w:val="0"/>
                        </w:rPr>
                        <w:t>・</w:t>
                      </w:r>
                      <w:r>
                        <w:rPr>
                          <w:rFonts w:ascii="SimHei" w:eastAsia="SimHei" w:hAnsi="SimHei" w:cs="SimHei"/>
                          <w:b w:val="0"/>
                          <w:bCs w:val="0"/>
                          <w:color w:val="A4A4A4"/>
                          <w:spacing w:val="0"/>
                          <w:w w:val="100"/>
                          <w:position w:val="0"/>
                        </w:rPr>
                        <w:t>正~、</w:t>
                      </w:r>
                      <w:r>
                        <w:rPr>
                          <w:color w:val="A4A4A4"/>
                          <w:spacing w:val="0"/>
                          <w:w w:val="100"/>
                          <w:position w:val="0"/>
                        </w:rPr>
                        <w:t>«ut«.</w:t>
                      </w:r>
                      <w:r>
                        <w:rPr>
                          <w:rFonts w:ascii="SimHei" w:eastAsia="SimHei" w:hAnsi="SimHei" w:cs="SimHei"/>
                          <w:b w:val="0"/>
                          <w:bCs w:val="0"/>
                          <w:color w:val="A4A4A4"/>
                          <w:spacing w:val="0"/>
                          <w:w w:val="100"/>
                          <w:position w:val="0"/>
                        </w:rPr>
                        <w:t>蚓吼 棒正朱.王</w:t>
                      </w:r>
                      <w:r>
                        <w:rPr>
                          <w:color w:val="A4A4A4"/>
                          <w:spacing w:val="0"/>
                          <w:w w:val="100"/>
                          <w:position w:val="0"/>
                        </w:rPr>
                        <w:t>w.</w:t>
                        <w:tab/>
                        <w:t>f*.</w:t>
                      </w:r>
                      <w:r>
                        <w:rPr>
                          <w:rFonts w:ascii="SimHei" w:eastAsia="SimHei" w:hAnsi="SimHei" w:cs="SimHei"/>
                          <w:b w:val="0"/>
                          <w:bCs w:val="0"/>
                          <w:color w:val="A4A4A4"/>
                          <w:spacing w:val="0"/>
                          <w:w w:val="100"/>
                          <w:position w:val="0"/>
                        </w:rPr>
                        <w:t>陆堪.％祷</w:t>
                      </w:r>
                    </w:p>
                    <w:p>
                      <w:pPr>
                        <w:pStyle w:val="Style41"/>
                        <w:keepNext w:val="0"/>
                        <w:keepLines w:val="0"/>
                        <w:widowControl w:val="0"/>
                        <w:shd w:val="clear" w:color="auto" w:fill="auto"/>
                        <w:bidi w:val="0"/>
                        <w:spacing w:before="0" w:after="120" w:line="240" w:lineRule="auto"/>
                        <w:ind w:left="0" w:right="0" w:firstLine="0"/>
                        <w:jc w:val="left"/>
                      </w:pPr>
                      <w:r>
                        <w:rPr>
                          <w:b/>
                          <w:bCs/>
                          <w:color w:val="000000"/>
                          <w:spacing w:val="0"/>
                          <w:w w:val="100"/>
                          <w:position w:val="0"/>
                        </w:rPr>
                        <w:t>（企业</w:t>
                      </w:r>
                      <w:r>
                        <w:rPr>
                          <w:rFonts w:ascii="Times New Roman" w:eastAsia="Times New Roman" w:hAnsi="Times New Roman" w:cs="Times New Roman"/>
                          <w:b/>
                          <w:bCs/>
                          <w:color w:val="000000"/>
                          <w:spacing w:val="0"/>
                          <w:w w:val="100"/>
                          <w:position w:val="0"/>
                          <w:sz w:val="18"/>
                          <w:szCs w:val="18"/>
                        </w:rPr>
                        <w:t>IT</w:t>
                      </w:r>
                      <w:r>
                        <w:rPr>
                          <w:b/>
                          <w:bCs/>
                          <w:color w:val="000000"/>
                          <w:spacing w:val="0"/>
                          <w:w w:val="100"/>
                          <w:position w:val="0"/>
                        </w:rPr>
                        <w:t>运维发展白皮书示意图）</w:t>
                      </w:r>
                    </w:p>
                  </w:txbxContent>
                </v:textbox>
                <w10:wrap type="topAndBottom" anchorx="page"/>
              </v:shape>
            </w:pict>
          </mc:Fallback>
        </mc:AlternateContent>
      </w:r>
    </w:p>
    <w:p>
      <w:pPr>
        <w:pStyle w:val="Style39"/>
        <w:keepNext/>
        <w:keepLines/>
        <w:widowControl w:val="0"/>
        <w:shd w:val="clear" w:color="auto" w:fill="auto"/>
        <w:bidi w:val="0"/>
        <w:spacing w:before="0" w:after="0" w:line="542" w:lineRule="auto"/>
        <w:ind w:left="0" w:right="0" w:firstLine="360"/>
        <w:jc w:val="both"/>
        <w:rPr>
          <w:sz w:val="18"/>
          <w:szCs w:val="18"/>
        </w:rPr>
      </w:pPr>
      <w:bookmarkStart w:id="171" w:name="bookmark171"/>
      <w:bookmarkStart w:id="172" w:name="bookmark172"/>
      <w:bookmarkStart w:id="173" w:name="bookmark173"/>
      <w:bookmarkStart w:id="174" w:name="bookmark174"/>
      <w:r>
        <w:rPr>
          <w:rFonts w:ascii="Times New Roman" w:eastAsia="Times New Roman" w:hAnsi="Times New Roman" w:cs="Times New Roman"/>
          <w:i/>
          <w:iCs/>
          <w:color w:val="000000"/>
          <w:spacing w:val="0"/>
          <w:w w:val="100"/>
          <w:position w:val="0"/>
          <w:sz w:val="18"/>
          <w:szCs w:val="18"/>
          <w:u w:val="single"/>
        </w:rPr>
        <w:t>2</w:t>
      </w:r>
      <w:bookmarkEnd w:id="173"/>
      <w:r>
        <w:rPr>
          <w:i/>
          <w:iCs/>
          <w:color w:val="000000"/>
          <w:spacing w:val="0"/>
          <w:w w:val="100"/>
          <w:position w:val="0"/>
          <w:sz w:val="18"/>
          <w:szCs w:val="18"/>
          <w:u w:val="single"/>
        </w:rPr>
        <w:t>、手机游戏业务</w:t>
      </w:r>
      <w:bookmarkEnd w:id="171"/>
      <w:bookmarkEnd w:id="172"/>
      <w:bookmarkEnd w:id="174"/>
    </w:p>
    <w:p>
      <w:pPr>
        <w:pStyle w:val="Style41"/>
        <w:keepNext w:val="0"/>
        <w:keepLines w:val="0"/>
        <w:widowControl w:val="0"/>
        <w:shd w:val="clear" w:color="auto" w:fill="auto"/>
        <w:tabs>
          <w:tab w:pos="693" w:val="left"/>
        </w:tabs>
        <w:bidi w:val="0"/>
        <w:spacing w:before="0" w:after="0" w:line="468" w:lineRule="exact"/>
        <w:ind w:left="0" w:right="0"/>
        <w:jc w:val="both"/>
      </w:pPr>
      <w:bookmarkStart w:id="175" w:name="bookmark175"/>
      <w:r>
        <w:rPr>
          <w:rFonts w:ascii="Times New Roman" w:eastAsia="Times New Roman" w:hAnsi="Times New Roman" w:cs="Times New Roman"/>
          <w:color w:val="000000"/>
          <w:spacing w:val="0"/>
          <w:w w:val="100"/>
          <w:position w:val="0"/>
          <w:sz w:val="18"/>
          <w:szCs w:val="18"/>
        </w:rPr>
        <w:t>A</w:t>
      </w:r>
      <w:bookmarkEnd w:id="175"/>
      <w:r>
        <w:rPr>
          <w:color w:val="000000"/>
          <w:spacing w:val="0"/>
          <w:w w:val="100"/>
          <w:position w:val="0"/>
        </w:rPr>
        <w:t>、</w:t>
        <w:tab/>
      </w:r>
      <w:r>
        <w:rPr>
          <w:color w:val="000000"/>
          <w:spacing w:val="0"/>
          <w:w w:val="100"/>
          <w:position w:val="0"/>
        </w:rPr>
        <w:t>报告期内，公司继续优化升级现有玩家体验，深耕细作、优化</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War and Order</w:t>
      </w:r>
      <w:r>
        <w:rPr>
          <w:color w:val="000000"/>
          <w:spacing w:val="0"/>
          <w:w w:val="100"/>
          <w:position w:val="0"/>
        </w:rPr>
        <w:t>》</w:t>
      </w:r>
      <w:r>
        <w:rPr>
          <w:color w:val="000000"/>
          <w:spacing w:val="0"/>
          <w:w w:val="100"/>
          <w:position w:val="0"/>
        </w:rPr>
        <w:t>的玩法与用户体验，加强海外市场 营销力度，报告期内，</w:t>
      </w:r>
      <w:r>
        <w:rPr>
          <w:i/>
          <w:iCs/>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War and Order</w:t>
      </w:r>
      <w:r>
        <w:rPr>
          <w:color w:val="000000"/>
          <w:spacing w:val="0"/>
          <w:w w:val="100"/>
          <w:position w:val="0"/>
        </w:rPr>
        <w:t>》再次连续刷新自身月流水新高，</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年总流水较</w:t>
      </w:r>
      <w:r>
        <w:rPr>
          <w:rFonts w:ascii="Times New Roman" w:eastAsia="Times New Roman" w:hAnsi="Times New Roman" w:cs="Times New Roman"/>
          <w:color w:val="000000"/>
          <w:spacing w:val="0"/>
          <w:w w:val="100"/>
          <w:position w:val="0"/>
          <w:sz w:val="18"/>
          <w:szCs w:val="18"/>
        </w:rPr>
        <w:t>2019</w:t>
      </w:r>
      <w:r>
        <w:rPr>
          <w:color w:val="000000"/>
          <w:spacing w:val="0"/>
          <w:w w:val="100"/>
          <w:position w:val="0"/>
        </w:rPr>
        <w:t>年同期增长超</w:t>
      </w:r>
      <w:r>
        <w:rPr>
          <w:rFonts w:ascii="Times New Roman" w:eastAsia="Times New Roman" w:hAnsi="Times New Roman" w:cs="Times New Roman"/>
          <w:color w:val="000000"/>
          <w:spacing w:val="0"/>
          <w:w w:val="100"/>
          <w:position w:val="0"/>
          <w:sz w:val="18"/>
          <w:szCs w:val="18"/>
        </w:rPr>
        <w:t>20%</w:t>
      </w:r>
      <w:r>
        <w:rPr>
          <w:color w:val="000000"/>
          <w:spacing w:val="0"/>
          <w:w w:val="100"/>
          <w:position w:val="0"/>
        </w:rPr>
        <w:t>。</w:t>
      </w:r>
    </w:p>
    <w:p>
      <w:pPr>
        <w:pStyle w:val="Style41"/>
        <w:keepNext w:val="0"/>
        <w:keepLines w:val="0"/>
        <w:widowControl w:val="0"/>
        <w:shd w:val="clear" w:color="auto" w:fill="auto"/>
        <w:tabs>
          <w:tab w:pos="703" w:val="left"/>
        </w:tabs>
        <w:bidi w:val="0"/>
        <w:spacing w:before="0" w:after="0" w:line="468" w:lineRule="exact"/>
        <w:ind w:left="0" w:right="0"/>
        <w:jc w:val="both"/>
      </w:pPr>
      <w:bookmarkStart w:id="176" w:name="bookmark176"/>
      <w:r>
        <w:rPr>
          <w:rFonts w:ascii="Times New Roman" w:eastAsia="Times New Roman" w:hAnsi="Times New Roman" w:cs="Times New Roman"/>
          <w:color w:val="000000"/>
          <w:spacing w:val="0"/>
          <w:w w:val="100"/>
          <w:position w:val="0"/>
          <w:sz w:val="18"/>
          <w:szCs w:val="18"/>
        </w:rPr>
        <w:t>B</w:t>
      </w:r>
      <w:bookmarkEnd w:id="176"/>
      <w:r>
        <w:rPr>
          <w:color w:val="000000"/>
          <w:spacing w:val="0"/>
          <w:w w:val="100"/>
          <w:position w:val="0"/>
        </w:rPr>
        <w:t>、</w:t>
        <w:tab/>
      </w:r>
      <w:r>
        <w:rPr>
          <w:color w:val="000000"/>
          <w:spacing w:val="0"/>
          <w:w w:val="100"/>
          <w:position w:val="0"/>
        </w:rPr>
        <w:t>继</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Warand Order</w:t>
      </w:r>
      <w:r>
        <w:rPr>
          <w:color w:val="000000"/>
          <w:spacing w:val="0"/>
          <w:w w:val="100"/>
          <w:position w:val="0"/>
        </w:rPr>
        <w:t>》</w:t>
      </w:r>
      <w:r>
        <w:rPr>
          <w:color w:val="000000"/>
          <w:spacing w:val="0"/>
          <w:w w:val="100"/>
          <w:position w:val="0"/>
        </w:rPr>
        <w:t>之后，公司重点推出的一款全球化战争策略手游</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Age of Z Origins</w:t>
      </w:r>
      <w:r>
        <w:rPr>
          <w:color w:val="000000"/>
          <w:spacing w:val="0"/>
          <w:w w:val="100"/>
          <w:position w:val="0"/>
        </w:rPr>
        <w:t>》</w:t>
      </w:r>
      <w:r>
        <w:rPr>
          <w:color w:val="000000"/>
          <w:spacing w:val="0"/>
          <w:w w:val="100"/>
          <w:position w:val="0"/>
        </w:rPr>
        <w:t>自上线以来，各项数据稳 步增长中，截止到</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年末，月流水已突破</w:t>
      </w:r>
      <w:r>
        <w:rPr>
          <w:rFonts w:ascii="Times New Roman" w:eastAsia="Times New Roman" w:hAnsi="Times New Roman" w:cs="Times New Roman"/>
          <w:color w:val="000000"/>
          <w:spacing w:val="0"/>
          <w:w w:val="100"/>
          <w:position w:val="0"/>
          <w:sz w:val="18"/>
          <w:szCs w:val="18"/>
        </w:rPr>
        <w:t>2,000</w:t>
      </w:r>
      <w:r>
        <w:rPr>
          <w:color w:val="000000"/>
          <w:spacing w:val="0"/>
          <w:w w:val="100"/>
          <w:position w:val="0"/>
        </w:rPr>
        <w:t>万美元。</w:t>
      </w:r>
    </w:p>
    <w:p>
      <w:pPr>
        <w:pStyle w:val="Style41"/>
        <w:keepNext w:val="0"/>
        <w:keepLines w:val="0"/>
        <w:widowControl w:val="0"/>
        <w:shd w:val="clear" w:color="auto" w:fill="auto"/>
        <w:tabs>
          <w:tab w:pos="708" w:val="left"/>
        </w:tabs>
        <w:bidi w:val="0"/>
        <w:spacing w:before="0" w:after="0" w:line="468" w:lineRule="exact"/>
        <w:ind w:left="0" w:right="0"/>
        <w:jc w:val="both"/>
        <w:sectPr>
          <w:headerReference w:type="default" r:id="rId105"/>
          <w:footerReference w:type="default" r:id="rId106"/>
          <w:headerReference w:type="even" r:id="rId107"/>
          <w:footerReference w:type="even" r:id="rId108"/>
          <w:footnotePr>
            <w:pos w:val="pageBottom"/>
            <w:numFmt w:val="decimal"/>
            <w:numRestart w:val="continuous"/>
          </w:footnotePr>
          <w:pgSz w:w="11904" w:h="17375"/>
          <w:pgMar w:top="1857" w:right="1023" w:bottom="1809" w:left="1109" w:header="0" w:footer="3" w:gutter="0"/>
          <w:cols w:space="720"/>
          <w:noEndnote/>
          <w:rtlGutter w:val="0"/>
          <w:docGrid w:linePitch="360"/>
        </w:sectPr>
      </w:pPr>
      <w:bookmarkStart w:id="177" w:name="bookmark177"/>
      <w:r>
        <w:rPr>
          <w:rFonts w:ascii="Times New Roman" w:eastAsia="Times New Roman" w:hAnsi="Times New Roman" w:cs="Times New Roman"/>
          <w:color w:val="000000"/>
          <w:spacing w:val="0"/>
          <w:w w:val="100"/>
          <w:position w:val="0"/>
          <w:sz w:val="18"/>
          <w:szCs w:val="18"/>
        </w:rPr>
        <w:t>C</w:t>
      </w:r>
      <w:bookmarkEnd w:id="177"/>
      <w:r>
        <w:rPr>
          <w:color w:val="000000"/>
          <w:spacing w:val="0"/>
          <w:w w:val="100"/>
          <w:position w:val="0"/>
        </w:rPr>
        <w:t>、</w:t>
        <w:tab/>
      </w:r>
      <w:r>
        <w:rPr>
          <w:color w:val="000000"/>
          <w:spacing w:val="0"/>
          <w:w w:val="100"/>
          <w:position w:val="0"/>
        </w:rPr>
        <w:t>报告期内，公司继续开发新产品及打磨发行储备产品，在持续推进现有手游产品运营质量的同时，加大游戏产品研 发力度，积极做好游戏产品储备，进一步丰富公司游戏产品线，为公司游戏业务的可持续发展打下良好基础。打造的一款立 足科幻题材的手机游戏《</w:t>
      </w:r>
      <w:r>
        <w:rPr>
          <w:rFonts w:ascii="Times New Roman" w:eastAsia="Times New Roman" w:hAnsi="Times New Roman" w:cs="Times New Roman"/>
          <w:color w:val="000000"/>
          <w:spacing w:val="0"/>
          <w:w w:val="100"/>
          <w:position w:val="0"/>
          <w:sz w:val="18"/>
          <w:szCs w:val="18"/>
        </w:rPr>
        <w:t>infinite galaxy</w:t>
      </w:r>
      <w:r>
        <w:rPr>
          <w:color w:val="000000"/>
          <w:spacing w:val="0"/>
          <w:w w:val="100"/>
          <w:position w:val="0"/>
        </w:rPr>
        <w:t>》</w:t>
      </w:r>
      <w:r>
        <w:rPr>
          <w:color w:val="000000"/>
          <w:spacing w:val="0"/>
          <w:w w:val="100"/>
          <w:position w:val="0"/>
        </w:rPr>
        <w:t>（原代称为</w:t>
      </w:r>
      <w:r>
        <w:rPr>
          <w:rFonts w:ascii="Times New Roman" w:eastAsia="Times New Roman" w:hAnsi="Times New Roman" w:cs="Times New Roman"/>
          <w:color w:val="000000"/>
          <w:spacing w:val="0"/>
          <w:w w:val="100"/>
          <w:position w:val="0"/>
          <w:sz w:val="18"/>
          <w:szCs w:val="18"/>
        </w:rPr>
        <w:t>Odyssey</w:t>
      </w:r>
      <w:r>
        <w:rPr>
          <w:color w:val="000000"/>
          <w:spacing w:val="0"/>
          <w:w w:val="100"/>
          <w:position w:val="0"/>
        </w:rPr>
        <w:t>）,</w:t>
      </w:r>
      <w:r>
        <w:rPr>
          <w:color w:val="000000"/>
          <w:spacing w:val="0"/>
          <w:w w:val="100"/>
          <w:position w:val="0"/>
        </w:rPr>
        <w:t>截至本报告披露日，也已在海外正式上线测试。</w:t>
      </w:r>
    </w:p>
    <w:p>
      <w:pPr>
        <w:widowControl w:val="0"/>
        <w:spacing w:before="6" w:after="6" w:line="240" w:lineRule="exact"/>
        <w:rPr>
          <w:sz w:val="19"/>
          <w:szCs w:val="19"/>
        </w:rPr>
      </w:pPr>
    </w:p>
    <w:p>
      <w:pPr>
        <w:widowControl w:val="0"/>
        <w:spacing w:line="1" w:lineRule="exact"/>
        <w:sectPr>
          <w:footnotePr>
            <w:pos w:val="pageBottom"/>
            <w:numFmt w:val="decimal"/>
            <w:numRestart w:val="continuous"/>
          </w:footnotePr>
          <w:type w:val="continuous"/>
          <w:pgSz w:w="11904" w:h="17375"/>
          <w:pgMar w:top="1857" w:right="0" w:bottom="1809" w:left="0" w:header="0" w:footer="3" w:gutter="0"/>
          <w:cols w:space="720"/>
          <w:noEndnote/>
          <w:rtlGutter w:val="0"/>
          <w:docGrid w:linePitch="360"/>
        </w:sectPr>
      </w:pPr>
    </w:p>
    <w:p>
      <w:pPr>
        <w:widowControl w:val="0"/>
        <w:spacing w:line="1" w:lineRule="exact"/>
      </w:pPr>
      <w:r>
        <mc:AlternateContent>
          <mc:Choice Requires="wps">
            <w:drawing>
              <wp:anchor distT="0" distB="3175" distL="114300" distR="1958340" simplePos="0" relativeHeight="125829480" behindDoc="0" locked="0" layoutInCell="1" allowOverlap="1">
                <wp:simplePos x="0" y="0"/>
                <wp:positionH relativeFrom="page">
                  <wp:posOffset>1243330</wp:posOffset>
                </wp:positionH>
                <wp:positionV relativeFrom="paragraph">
                  <wp:posOffset>12700</wp:posOffset>
                </wp:positionV>
                <wp:extent cx="1584960" cy="91440"/>
                <wp:wrapTopAndBottom/>
                <wp:docPr id="355" name="Shape 355"/>
                <a:graphic xmlns:a="http://schemas.openxmlformats.org/drawingml/2006/main">
                  <a:graphicData uri="http://schemas.microsoft.com/office/word/2010/wordprocessingShape">
                    <wps:wsp>
                      <wps:cNvSpPr txBox="1"/>
                      <wps:spPr>
                        <a:xfrm>
                          <a:ext cx="1584960" cy="91440"/>
                        </a:xfrm>
                        <a:prstGeom prst="rect"/>
                        <a:noFill/>
                      </wps:spPr>
                      <wps:txbx>
                        <w:txbxContent>
                          <w:p>
                            <w:pPr>
                              <w:pStyle w:val="Style156"/>
                              <w:keepNext w:val="0"/>
                              <w:keepLines w:val="0"/>
                              <w:widowControl w:val="0"/>
                              <w:shd w:val="clear" w:color="auto" w:fill="auto"/>
                              <w:bidi w:val="0"/>
                              <w:spacing w:before="0" w:after="0" w:line="240" w:lineRule="auto"/>
                              <w:ind w:left="0" w:right="0" w:firstLine="0"/>
                              <w:jc w:val="left"/>
                            </w:pPr>
                            <w:r>
                              <w:rPr>
                                <w:color w:val="383636"/>
                                <w:spacing w:val="0"/>
                                <w:w w:val="100"/>
                                <w:position w:val="0"/>
                              </w:rPr>
                              <w:t>2020</w:t>
                            </w:r>
                            <w:r>
                              <w:rPr>
                                <w:rFonts w:ascii="SimHei" w:eastAsia="SimHei" w:hAnsi="SimHei" w:cs="SimHei"/>
                                <w:b w:val="0"/>
                                <w:bCs w:val="0"/>
                                <w:color w:val="383636"/>
                                <w:spacing w:val="0"/>
                                <w:w w:val="100"/>
                                <w:position w:val="0"/>
                              </w:rPr>
                              <w:t>年</w:t>
                            </w:r>
                            <w:r>
                              <w:rPr>
                                <w:color w:val="383636"/>
                                <w:spacing w:val="0"/>
                                <w:w w:val="100"/>
                                <w:position w:val="0"/>
                              </w:rPr>
                              <w:t>5</w:t>
                            </w:r>
                            <w:r>
                              <w:rPr>
                                <w:rFonts w:ascii="SimHei" w:eastAsia="SimHei" w:hAnsi="SimHei" w:cs="SimHei"/>
                                <w:b w:val="0"/>
                                <w:bCs w:val="0"/>
                                <w:color w:val="383636"/>
                                <w:spacing w:val="0"/>
                                <w:w w:val="100"/>
                                <w:position w:val="0"/>
                              </w:rPr>
                              <w:t>月中国手游发行奇收入</w:t>
                            </w:r>
                            <w:r>
                              <w:rPr>
                                <w:color w:val="383636"/>
                                <w:spacing w:val="0"/>
                                <w:w w:val="100"/>
                                <w:position w:val="0"/>
                              </w:rPr>
                              <w:t>T0P3Q</w:t>
                            </w:r>
                            <w:r>
                              <w:rPr>
                                <w:color w:val="383636"/>
                                <w:spacing w:val="0"/>
                                <w:w w:val="100"/>
                                <w:position w:val="0"/>
                              </w:rPr>
                              <w:t>I</w:t>
                            </w:r>
                            <w:r>
                              <w:rPr>
                                <w:rFonts w:ascii="SimHei" w:eastAsia="SimHei" w:hAnsi="SimHei" w:cs="SimHei"/>
                                <w:b w:val="0"/>
                                <w:bCs w:val="0"/>
                                <w:color w:val="383636"/>
                                <w:spacing w:val="0"/>
                                <w:w w:val="100"/>
                                <w:position w:val="0"/>
                              </w:rPr>
                              <w:t>全球</w:t>
                            </w:r>
                            <w:r>
                              <w:rPr>
                                <w:color w:val="383636"/>
                                <w:spacing w:val="0"/>
                                <w:w w:val="100"/>
                                <w:position w:val="0"/>
                              </w:rPr>
                              <w:t>App Store* Google Play</w:t>
                            </w:r>
                          </w:p>
                        </w:txbxContent>
                      </wps:txbx>
                      <wps:bodyPr lIns="0" tIns="0" rIns="0" bIns="0">
                        <a:noAutoFit/>
                      </wps:bodyPr>
                    </wps:wsp>
                  </a:graphicData>
                </a:graphic>
              </wp:anchor>
            </w:drawing>
          </mc:Choice>
          <mc:Fallback>
            <w:pict>
              <v:shape id="_x0000_s1381" type="#_x0000_t202" style="position:absolute;margin-left:97.900000000000006pt;margin-top:1.pt;width:124.8pt;height:7.2000000000000002pt;z-index:-125829273;mso-wrap-distance-left:9.pt;mso-wrap-distance-right:154.20000000000002pt;mso-wrap-distance-bottom:0.25pt;mso-position-horizontal-relative:page" filled="f" stroked="f">
                <v:textbox inset="0,0,0,0">
                  <w:txbxContent>
                    <w:p>
                      <w:pPr>
                        <w:pStyle w:val="Style156"/>
                        <w:keepNext w:val="0"/>
                        <w:keepLines w:val="0"/>
                        <w:widowControl w:val="0"/>
                        <w:shd w:val="clear" w:color="auto" w:fill="auto"/>
                        <w:bidi w:val="0"/>
                        <w:spacing w:before="0" w:after="0" w:line="240" w:lineRule="auto"/>
                        <w:ind w:left="0" w:right="0" w:firstLine="0"/>
                        <w:jc w:val="left"/>
                      </w:pPr>
                      <w:r>
                        <w:rPr>
                          <w:color w:val="383636"/>
                          <w:spacing w:val="0"/>
                          <w:w w:val="100"/>
                          <w:position w:val="0"/>
                        </w:rPr>
                        <w:t>2020</w:t>
                      </w:r>
                      <w:r>
                        <w:rPr>
                          <w:rFonts w:ascii="SimHei" w:eastAsia="SimHei" w:hAnsi="SimHei" w:cs="SimHei"/>
                          <w:b w:val="0"/>
                          <w:bCs w:val="0"/>
                          <w:color w:val="383636"/>
                          <w:spacing w:val="0"/>
                          <w:w w:val="100"/>
                          <w:position w:val="0"/>
                        </w:rPr>
                        <w:t>年</w:t>
                      </w:r>
                      <w:r>
                        <w:rPr>
                          <w:color w:val="383636"/>
                          <w:spacing w:val="0"/>
                          <w:w w:val="100"/>
                          <w:position w:val="0"/>
                        </w:rPr>
                        <w:t>5</w:t>
                      </w:r>
                      <w:r>
                        <w:rPr>
                          <w:rFonts w:ascii="SimHei" w:eastAsia="SimHei" w:hAnsi="SimHei" w:cs="SimHei"/>
                          <w:b w:val="0"/>
                          <w:bCs w:val="0"/>
                          <w:color w:val="383636"/>
                          <w:spacing w:val="0"/>
                          <w:w w:val="100"/>
                          <w:position w:val="0"/>
                        </w:rPr>
                        <w:t>月中国手游发行奇收入</w:t>
                      </w:r>
                      <w:r>
                        <w:rPr>
                          <w:color w:val="383636"/>
                          <w:spacing w:val="0"/>
                          <w:w w:val="100"/>
                          <w:position w:val="0"/>
                        </w:rPr>
                        <w:t>T0P3Q</w:t>
                      </w:r>
                      <w:r>
                        <w:rPr>
                          <w:color w:val="383636"/>
                          <w:spacing w:val="0"/>
                          <w:w w:val="100"/>
                          <w:position w:val="0"/>
                        </w:rPr>
                        <w:t>I</w:t>
                      </w:r>
                      <w:r>
                        <w:rPr>
                          <w:rFonts w:ascii="SimHei" w:eastAsia="SimHei" w:hAnsi="SimHei" w:cs="SimHei"/>
                          <w:b w:val="0"/>
                          <w:bCs w:val="0"/>
                          <w:color w:val="383636"/>
                          <w:spacing w:val="0"/>
                          <w:w w:val="100"/>
                          <w:position w:val="0"/>
                        </w:rPr>
                        <w:t>全球</w:t>
                      </w:r>
                      <w:r>
                        <w:rPr>
                          <w:color w:val="383636"/>
                          <w:spacing w:val="0"/>
                          <w:w w:val="100"/>
                          <w:position w:val="0"/>
                        </w:rPr>
                        <w:t>App Store* Google Play</w:t>
                      </w:r>
                    </w:p>
                  </w:txbxContent>
                </v:textbox>
                <w10:wrap type="topAndBottom" anchorx="page"/>
              </v:shape>
            </w:pict>
          </mc:Fallback>
        </mc:AlternateContent>
      </w:r>
      <w:r>
        <mc:AlternateContent>
          <mc:Choice Requires="wps">
            <w:drawing>
              <wp:anchor distT="6350" distB="0" distL="1991995" distR="114300" simplePos="0" relativeHeight="125829482" behindDoc="0" locked="0" layoutInCell="1" allowOverlap="1">
                <wp:simplePos x="0" y="0"/>
                <wp:positionH relativeFrom="page">
                  <wp:posOffset>3121025</wp:posOffset>
                </wp:positionH>
                <wp:positionV relativeFrom="paragraph">
                  <wp:posOffset>19050</wp:posOffset>
                </wp:positionV>
                <wp:extent cx="1551305" cy="88265"/>
                <wp:wrapTopAndBottom/>
                <wp:docPr id="357" name="Shape 357"/>
                <a:graphic xmlns:a="http://schemas.openxmlformats.org/drawingml/2006/main">
                  <a:graphicData uri="http://schemas.microsoft.com/office/word/2010/wordprocessingShape">
                    <wps:wsp>
                      <wps:cNvSpPr txBox="1"/>
                      <wps:spPr>
                        <a:xfrm>
                          <a:ext cx="1551305" cy="88265"/>
                        </a:xfrm>
                        <a:prstGeom prst="rect"/>
                        <a:noFill/>
                      </wps:spPr>
                      <wps:txbx>
                        <w:txbxContent>
                          <w:p>
                            <w:pPr>
                              <w:pStyle w:val="Style156"/>
                              <w:keepNext w:val="0"/>
                              <w:keepLines w:val="0"/>
                              <w:widowControl w:val="0"/>
                              <w:shd w:val="clear" w:color="auto" w:fill="auto"/>
                              <w:bidi w:val="0"/>
                              <w:spacing w:before="0" w:after="0" w:line="240" w:lineRule="auto"/>
                              <w:ind w:left="0" w:right="0" w:firstLine="0"/>
                              <w:jc w:val="left"/>
                            </w:pPr>
                            <w:r>
                              <w:rPr>
                                <w:color w:val="383636"/>
                                <w:spacing w:val="0"/>
                                <w:w w:val="100"/>
                                <w:position w:val="0"/>
                              </w:rPr>
                              <w:t>2020</w:t>
                            </w:r>
                            <w:r>
                              <w:rPr>
                                <w:rFonts w:ascii="SimHei" w:eastAsia="SimHei" w:hAnsi="SimHei" w:cs="SimHei"/>
                                <w:b w:val="0"/>
                                <w:bCs w:val="0"/>
                                <w:color w:val="383636"/>
                                <w:spacing w:val="0"/>
                                <w:w w:val="100"/>
                                <w:position w:val="0"/>
                              </w:rPr>
                              <w:t>年</w:t>
                            </w:r>
                            <w:r>
                              <w:rPr>
                                <w:color w:val="383636"/>
                                <w:spacing w:val="0"/>
                                <w:w w:val="100"/>
                                <w:position w:val="0"/>
                              </w:rPr>
                              <w:t>7</w:t>
                            </w:r>
                            <w:r>
                              <w:rPr>
                                <w:rFonts w:ascii="SimHei" w:eastAsia="SimHei" w:hAnsi="SimHei" w:cs="SimHei"/>
                                <w:b w:val="0"/>
                                <w:bCs w:val="0"/>
                                <w:color w:val="383636"/>
                                <w:spacing w:val="0"/>
                                <w:w w:val="100"/>
                                <w:position w:val="0"/>
                              </w:rPr>
                              <w:t>月中国事游发行</w:t>
                            </w:r>
                            <w:r>
                              <w:rPr>
                                <w:color w:val="383636"/>
                                <w:spacing w:val="0"/>
                                <w:w w:val="100"/>
                                <w:position w:val="0"/>
                              </w:rPr>
                              <w:t>R8</w:t>
                            </w:r>
                            <w:r>
                              <w:rPr>
                                <w:rFonts w:ascii="SimHei" w:eastAsia="SimHei" w:hAnsi="SimHei" w:cs="SimHei"/>
                                <w:b w:val="0"/>
                                <w:bCs w:val="0"/>
                                <w:color w:val="383636"/>
                                <w:spacing w:val="0"/>
                                <w:w w:val="100"/>
                                <w:position w:val="0"/>
                              </w:rPr>
                              <w:t>收入</w:t>
                            </w:r>
                            <w:r>
                              <w:rPr>
                                <w:color w:val="383636"/>
                                <w:spacing w:val="0"/>
                                <w:w w:val="100"/>
                                <w:position w:val="0"/>
                              </w:rPr>
                              <w:t>TOP30</w:t>
                            </w:r>
                            <w:r>
                              <w:rPr>
                                <w:color w:val="383636"/>
                                <w:spacing w:val="0"/>
                                <w:w w:val="100"/>
                                <w:position w:val="0"/>
                              </w:rPr>
                              <w:t>1</w:t>
                            </w:r>
                            <w:r>
                              <w:rPr>
                                <w:rFonts w:ascii="SimHei" w:eastAsia="SimHei" w:hAnsi="SimHei" w:cs="SimHei"/>
                                <w:b w:val="0"/>
                                <w:bCs w:val="0"/>
                                <w:color w:val="383636"/>
                                <w:spacing w:val="0"/>
                                <w:w w:val="100"/>
                                <w:position w:val="0"/>
                              </w:rPr>
                              <w:t>全球</w:t>
                            </w:r>
                            <w:r>
                              <w:rPr>
                                <w:color w:val="383636"/>
                                <w:spacing w:val="0"/>
                                <w:w w:val="100"/>
                                <w:position w:val="0"/>
                              </w:rPr>
                              <w:t>App Store ♦ Google Play</w:t>
                            </w:r>
                          </w:p>
                        </w:txbxContent>
                      </wps:txbx>
                      <wps:bodyPr lIns="0" tIns="0" rIns="0" bIns="0">
                        <a:noAutoFit/>
                      </wps:bodyPr>
                    </wps:wsp>
                  </a:graphicData>
                </a:graphic>
              </wp:anchor>
            </w:drawing>
          </mc:Choice>
          <mc:Fallback>
            <w:pict>
              <v:shape id="_x0000_s1383" type="#_x0000_t202" style="position:absolute;margin-left:245.75pt;margin-top:1.5pt;width:122.15000000000001pt;height:6.9500000000000002pt;z-index:-125829271;mso-wrap-distance-left:156.84999999999999pt;mso-wrap-distance-top:0.5pt;mso-wrap-distance-right:9.pt;mso-position-horizontal-relative:page" filled="f" stroked="f">
                <v:textbox inset="0,0,0,0">
                  <w:txbxContent>
                    <w:p>
                      <w:pPr>
                        <w:pStyle w:val="Style156"/>
                        <w:keepNext w:val="0"/>
                        <w:keepLines w:val="0"/>
                        <w:widowControl w:val="0"/>
                        <w:shd w:val="clear" w:color="auto" w:fill="auto"/>
                        <w:bidi w:val="0"/>
                        <w:spacing w:before="0" w:after="0" w:line="240" w:lineRule="auto"/>
                        <w:ind w:left="0" w:right="0" w:firstLine="0"/>
                        <w:jc w:val="left"/>
                      </w:pPr>
                      <w:r>
                        <w:rPr>
                          <w:color w:val="383636"/>
                          <w:spacing w:val="0"/>
                          <w:w w:val="100"/>
                          <w:position w:val="0"/>
                        </w:rPr>
                        <w:t>2020</w:t>
                      </w:r>
                      <w:r>
                        <w:rPr>
                          <w:rFonts w:ascii="SimHei" w:eastAsia="SimHei" w:hAnsi="SimHei" w:cs="SimHei"/>
                          <w:b w:val="0"/>
                          <w:bCs w:val="0"/>
                          <w:color w:val="383636"/>
                          <w:spacing w:val="0"/>
                          <w:w w:val="100"/>
                          <w:position w:val="0"/>
                        </w:rPr>
                        <w:t>年</w:t>
                      </w:r>
                      <w:r>
                        <w:rPr>
                          <w:color w:val="383636"/>
                          <w:spacing w:val="0"/>
                          <w:w w:val="100"/>
                          <w:position w:val="0"/>
                        </w:rPr>
                        <w:t>7</w:t>
                      </w:r>
                      <w:r>
                        <w:rPr>
                          <w:rFonts w:ascii="SimHei" w:eastAsia="SimHei" w:hAnsi="SimHei" w:cs="SimHei"/>
                          <w:b w:val="0"/>
                          <w:bCs w:val="0"/>
                          <w:color w:val="383636"/>
                          <w:spacing w:val="0"/>
                          <w:w w:val="100"/>
                          <w:position w:val="0"/>
                        </w:rPr>
                        <w:t>月中国事游发行</w:t>
                      </w:r>
                      <w:r>
                        <w:rPr>
                          <w:color w:val="383636"/>
                          <w:spacing w:val="0"/>
                          <w:w w:val="100"/>
                          <w:position w:val="0"/>
                        </w:rPr>
                        <w:t>R8</w:t>
                      </w:r>
                      <w:r>
                        <w:rPr>
                          <w:rFonts w:ascii="SimHei" w:eastAsia="SimHei" w:hAnsi="SimHei" w:cs="SimHei"/>
                          <w:b w:val="0"/>
                          <w:bCs w:val="0"/>
                          <w:color w:val="383636"/>
                          <w:spacing w:val="0"/>
                          <w:w w:val="100"/>
                          <w:position w:val="0"/>
                        </w:rPr>
                        <w:t>收入</w:t>
                      </w:r>
                      <w:r>
                        <w:rPr>
                          <w:color w:val="383636"/>
                          <w:spacing w:val="0"/>
                          <w:w w:val="100"/>
                          <w:position w:val="0"/>
                        </w:rPr>
                        <w:t>TOP30</w:t>
                      </w:r>
                      <w:r>
                        <w:rPr>
                          <w:color w:val="383636"/>
                          <w:spacing w:val="0"/>
                          <w:w w:val="100"/>
                          <w:position w:val="0"/>
                        </w:rPr>
                        <w:t>1</w:t>
                      </w:r>
                      <w:r>
                        <w:rPr>
                          <w:rFonts w:ascii="SimHei" w:eastAsia="SimHei" w:hAnsi="SimHei" w:cs="SimHei"/>
                          <w:b w:val="0"/>
                          <w:bCs w:val="0"/>
                          <w:color w:val="383636"/>
                          <w:spacing w:val="0"/>
                          <w:w w:val="100"/>
                          <w:position w:val="0"/>
                        </w:rPr>
                        <w:t>全球</w:t>
                      </w:r>
                      <w:r>
                        <w:rPr>
                          <w:color w:val="383636"/>
                          <w:spacing w:val="0"/>
                          <w:w w:val="100"/>
                          <w:position w:val="0"/>
                        </w:rPr>
                        <w:t>App Store ♦ Google Play</w:t>
                      </w:r>
                    </w:p>
                  </w:txbxContent>
                </v:textbox>
                <w10:wrap type="topAndBottom" anchorx="page"/>
              </v:shape>
            </w:pict>
          </mc:Fallback>
        </mc:AlternateContent>
      </w:r>
      <w:r>
        <w:drawing>
          <wp:anchor distT="0" distB="0" distL="38100" distR="38100" simplePos="0" relativeHeight="125829484" behindDoc="0" locked="0" layoutInCell="1" allowOverlap="1">
            <wp:simplePos x="0" y="0"/>
            <wp:positionH relativeFrom="page">
              <wp:posOffset>1408430</wp:posOffset>
            </wp:positionH>
            <wp:positionV relativeFrom="paragraph">
              <wp:posOffset>170815</wp:posOffset>
            </wp:positionV>
            <wp:extent cx="542290" cy="1316990"/>
            <wp:wrapSquare wrapText="bothSides"/>
            <wp:docPr id="359" name="Shape 359"/>
            <a:graphic xmlns:a="http://schemas.openxmlformats.org/drawingml/2006/main">
              <a:graphicData uri="http://schemas.openxmlformats.org/drawingml/2006/picture">
                <pic:pic xmlns:pic="http://schemas.openxmlformats.org/drawingml/2006/picture">
                  <pic:nvPicPr>
                    <pic:cNvPr id="360" name="Picture box 360"/>
                    <pic:cNvPicPr/>
                  </pic:nvPicPr>
                  <pic:blipFill>
                    <a:blip r:embed="rId109"/>
                    <a:stretch/>
                  </pic:blipFill>
                  <pic:spPr>
                    <a:xfrm>
                      <a:ext cx="542290" cy="1316990"/>
                    </a:xfrm>
                    <a:prstGeom prst="rect"/>
                  </pic:spPr>
                </pic:pic>
              </a:graphicData>
            </a:graphic>
          </wp:anchor>
        </w:drawing>
      </w:r>
      <w:r>
        <w:drawing>
          <wp:anchor distT="113030" distB="0" distL="114300" distR="2147570" simplePos="0" relativeHeight="125829485" behindDoc="0" locked="0" layoutInCell="1" allowOverlap="1">
            <wp:simplePos x="0" y="0"/>
            <wp:positionH relativeFrom="page">
              <wp:posOffset>1118870</wp:posOffset>
            </wp:positionH>
            <wp:positionV relativeFrom="paragraph">
              <wp:posOffset>1518285</wp:posOffset>
            </wp:positionV>
            <wp:extent cx="1652270" cy="213360"/>
            <wp:wrapTopAndBottom/>
            <wp:docPr id="361" name="Shape 361"/>
            <a:graphic xmlns:a="http://schemas.openxmlformats.org/drawingml/2006/main">
              <a:graphicData uri="http://schemas.openxmlformats.org/drawingml/2006/picture">
                <pic:pic xmlns:pic="http://schemas.openxmlformats.org/drawingml/2006/picture">
                  <pic:nvPicPr>
                    <pic:cNvPr id="362" name="Picture box 362"/>
                    <pic:cNvPicPr/>
                  </pic:nvPicPr>
                  <pic:blipFill>
                    <a:blip r:embed="rId111"/>
                    <a:stretch/>
                  </pic:blipFill>
                  <pic:spPr>
                    <a:xfrm>
                      <a:ext cx="1652270" cy="213360"/>
                    </a:xfrm>
                    <a:prstGeom prst="rect"/>
                  </pic:spPr>
                </pic:pic>
              </a:graphicData>
            </a:graphic>
          </wp:anchor>
        </w:drawing>
      </w:r>
      <w:r>
        <mc:AlternateContent>
          <mc:Choice Requires="wps">
            <w:drawing>
              <wp:anchor distT="0" distB="0" distL="0" distR="0" simplePos="0" relativeHeight="503316558" behindDoc="0" locked="0" layoutInCell="1" allowOverlap="1">
                <wp:simplePos x="0" y="0"/>
                <wp:positionH relativeFrom="page">
                  <wp:posOffset>2060575</wp:posOffset>
                </wp:positionH>
                <wp:positionV relativeFrom="paragraph">
                  <wp:posOffset>1435735</wp:posOffset>
                </wp:positionV>
                <wp:extent cx="716280" cy="76200"/>
                <wp:wrapNone/>
                <wp:docPr id="363" name="Shape 363"/>
                <a:graphic xmlns:a="http://schemas.openxmlformats.org/drawingml/2006/main">
                  <a:graphicData uri="http://schemas.microsoft.com/office/word/2010/wordprocessingShape">
                    <wps:wsp>
                      <wps:cNvSpPr txBox="1"/>
                      <wps:spPr>
                        <a:xfrm>
                          <a:ext cx="716280" cy="7620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383636"/>
                                <w:spacing w:val="0"/>
                                <w:w w:val="100"/>
                                <w:position w:val="0"/>
                                <w:sz w:val="8"/>
                                <w:szCs w:val="8"/>
                              </w:rPr>
                              <w:t xml:space="preserve">)0 </w:t>
                            </w:r>
                            <w:r>
                              <w:rPr>
                                <w:color w:val="383636"/>
                                <w:spacing w:val="0"/>
                                <w:w w:val="100"/>
                                <w:position w:val="0"/>
                                <w:sz w:val="8"/>
                                <w:szCs w:val="8"/>
                              </w:rPr>
                              <w:t xml:space="preserve">蝴 </w:t>
                            </w:r>
                            <w:r>
                              <w:rPr>
                                <w:rFonts w:ascii="Arial" w:eastAsia="Arial" w:hAnsi="Arial" w:cs="Arial"/>
                                <w:b/>
                                <w:bCs/>
                                <w:color w:val="575656"/>
                                <w:spacing w:val="0"/>
                                <w:w w:val="100"/>
                                <w:position w:val="0"/>
                                <w:sz w:val="8"/>
                                <w:szCs w:val="8"/>
                              </w:rPr>
                              <w:t xml:space="preserve">«IS» </w:t>
                            </w:r>
                            <w:r>
                              <w:rPr>
                                <w:rFonts w:ascii="Arial" w:eastAsia="Arial" w:hAnsi="Arial" w:cs="Arial"/>
                                <w:b/>
                                <w:bCs/>
                                <w:color w:val="383636"/>
                                <w:spacing w:val="0"/>
                                <w:w w:val="100"/>
                                <w:position w:val="0"/>
                                <w:sz w:val="8"/>
                                <w:szCs w:val="8"/>
                              </w:rPr>
                              <w:t>mlHoVto</w:t>
                            </w:r>
                          </w:p>
                        </w:txbxContent>
                      </wps:txbx>
                      <wps:bodyPr lIns="0" tIns="0" rIns="0" bIns="0">
                        <a:noAutoFit/>
                      </wps:bodyPr>
                    </wps:wsp>
                  </a:graphicData>
                </a:graphic>
              </wp:anchor>
            </w:drawing>
          </mc:Choice>
          <mc:Fallback>
            <w:pict>
              <v:shape id="_x0000_s1389" type="#_x0000_t202" style="position:absolute;margin-left:162.25pt;margin-top:113.05pt;width:56.399999999999999pt;height:6.pt;z-index:251657805;mso-wrap-distance-left:0;mso-wrap-distance-right:0;mso-position-horizontal-relative:page" filled="f" stroked="f">
                <v:textbox inset="0,0,0,0">
                  <w:txbxContent>
                    <w:p>
                      <w:pPr>
                        <w:pStyle w:val="Style65"/>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383636"/>
                          <w:spacing w:val="0"/>
                          <w:w w:val="100"/>
                          <w:position w:val="0"/>
                          <w:sz w:val="8"/>
                          <w:szCs w:val="8"/>
                        </w:rPr>
                        <w:t xml:space="preserve">)0 </w:t>
                      </w:r>
                      <w:r>
                        <w:rPr>
                          <w:color w:val="383636"/>
                          <w:spacing w:val="0"/>
                          <w:w w:val="100"/>
                          <w:position w:val="0"/>
                          <w:sz w:val="8"/>
                          <w:szCs w:val="8"/>
                        </w:rPr>
                        <w:t xml:space="preserve">蝴 </w:t>
                      </w:r>
                      <w:r>
                        <w:rPr>
                          <w:rFonts w:ascii="Arial" w:eastAsia="Arial" w:hAnsi="Arial" w:cs="Arial"/>
                          <w:b/>
                          <w:bCs/>
                          <w:color w:val="575656"/>
                          <w:spacing w:val="0"/>
                          <w:w w:val="100"/>
                          <w:position w:val="0"/>
                          <w:sz w:val="8"/>
                          <w:szCs w:val="8"/>
                        </w:rPr>
                        <w:t xml:space="preserve">«IS» </w:t>
                      </w:r>
                      <w:r>
                        <w:rPr>
                          <w:rFonts w:ascii="Arial" w:eastAsia="Arial" w:hAnsi="Arial" w:cs="Arial"/>
                          <w:b/>
                          <w:bCs/>
                          <w:color w:val="383636"/>
                          <w:spacing w:val="0"/>
                          <w:w w:val="100"/>
                          <w:position w:val="0"/>
                          <w:sz w:val="8"/>
                          <w:szCs w:val="8"/>
                        </w:rPr>
                        <w:t>mlHoVto</w:t>
                      </w:r>
                    </w:p>
                  </w:txbxContent>
                </v:textbox>
                <w10:wrap anchorx="page"/>
              </v:shape>
            </w:pict>
          </mc:Fallback>
        </mc:AlternateContent>
      </w:r>
      <w:r>
        <w:drawing>
          <wp:anchor distT="54610" distB="18415" distL="1775460" distR="1961515" simplePos="0" relativeHeight="125829486" behindDoc="0" locked="0" layoutInCell="1" allowOverlap="1">
            <wp:simplePos x="0" y="0"/>
            <wp:positionH relativeFrom="page">
              <wp:posOffset>2780030</wp:posOffset>
            </wp:positionH>
            <wp:positionV relativeFrom="paragraph">
              <wp:posOffset>1459865</wp:posOffset>
            </wp:positionV>
            <wp:extent cx="176530" cy="250190"/>
            <wp:wrapTopAndBottom/>
            <wp:docPr id="365" name="Shape 365"/>
            <a:graphic xmlns:a="http://schemas.openxmlformats.org/drawingml/2006/main">
              <a:graphicData uri="http://schemas.openxmlformats.org/drawingml/2006/picture">
                <pic:pic xmlns:pic="http://schemas.openxmlformats.org/drawingml/2006/picture">
                  <pic:nvPicPr>
                    <pic:cNvPr id="366" name="Picture box 366"/>
                    <pic:cNvPicPr/>
                  </pic:nvPicPr>
                  <pic:blipFill>
                    <a:blip r:embed="rId113"/>
                    <a:stretch/>
                  </pic:blipFill>
                  <pic:spPr>
                    <a:xfrm>
                      <a:ext cx="176530" cy="250190"/>
                    </a:xfrm>
                    <a:prstGeom prst="rect"/>
                  </pic:spPr>
                </pic:pic>
              </a:graphicData>
            </a:graphic>
          </wp:anchor>
        </w:drawing>
      </w:r>
      <w:r>
        <w:drawing>
          <wp:anchor distT="0" distB="18415" distL="1979930" distR="113665" simplePos="0" relativeHeight="125829487" behindDoc="0" locked="0" layoutInCell="1" allowOverlap="1">
            <wp:simplePos x="0" y="0"/>
            <wp:positionH relativeFrom="page">
              <wp:posOffset>2984500</wp:posOffset>
            </wp:positionH>
            <wp:positionV relativeFrom="paragraph">
              <wp:posOffset>1405255</wp:posOffset>
            </wp:positionV>
            <wp:extent cx="1822450" cy="304800"/>
            <wp:wrapTopAndBottom/>
            <wp:docPr id="367" name="Shape 367"/>
            <a:graphic xmlns:a="http://schemas.openxmlformats.org/drawingml/2006/main">
              <a:graphicData uri="http://schemas.openxmlformats.org/drawingml/2006/picture">
                <pic:pic xmlns:pic="http://schemas.openxmlformats.org/drawingml/2006/picture">
                  <pic:nvPicPr>
                    <pic:cNvPr id="368" name="Picture box 368"/>
                    <pic:cNvPicPr/>
                  </pic:nvPicPr>
                  <pic:blipFill>
                    <a:blip r:embed="rId115"/>
                    <a:stretch/>
                  </pic:blipFill>
                  <pic:spPr>
                    <a:xfrm>
                      <a:ext cx="1822450" cy="304800"/>
                    </a:xfrm>
                    <a:prstGeom prst="rect"/>
                  </pic:spPr>
                </pic:pic>
              </a:graphicData>
            </a:graphic>
          </wp:anchor>
        </w:drawing>
      </w:r>
      <w:r>
        <mc:AlternateContent>
          <mc:Choice Requires="wps">
            <w:drawing>
              <wp:anchor distT="133985" distB="0" distL="114300" distR="114300" simplePos="0" relativeHeight="125829488" behindDoc="0" locked="0" layoutInCell="1" allowOverlap="1">
                <wp:simplePos x="0" y="0"/>
                <wp:positionH relativeFrom="page">
                  <wp:posOffset>4834255</wp:posOffset>
                </wp:positionH>
                <wp:positionV relativeFrom="paragraph">
                  <wp:posOffset>146685</wp:posOffset>
                </wp:positionV>
                <wp:extent cx="1801495" cy="1545590"/>
                <wp:wrapSquare wrapText="bothSides"/>
                <wp:docPr id="369" name="Shape 369"/>
                <a:graphic xmlns:a="http://schemas.openxmlformats.org/drawingml/2006/main">
                  <a:graphicData uri="http://schemas.microsoft.com/office/word/2010/wordprocessingShape">
                    <wps:wsp>
                      <wps:cNvSpPr txBox="1"/>
                      <wps:spPr>
                        <a:xfrm>
                          <a:ext cx="1801495" cy="1545590"/>
                        </a:xfrm>
                        <a:prstGeom prst="rect"/>
                        <a:noFill/>
                      </wps:spPr>
                      <wps:txbx>
                        <w:txbxContent>
                          <w:tbl>
                            <w:tblPr>
                              <w:tblOverlap w:val="never"/>
                              <w:jc w:val="left"/>
                              <w:tblLayout w:type="fixed"/>
                            </w:tblPr>
                            <w:tblGrid>
                              <w:gridCol w:w="1354"/>
                              <w:gridCol w:w="254"/>
                              <w:gridCol w:w="1229"/>
                            </w:tblGrid>
                            <w:tr>
                              <w:trPr>
                                <w:tblHeader/>
                                <w:trHeight w:val="154"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left"/>
                                    <w:rPr>
                                      <w:sz w:val="8"/>
                                      <w:szCs w:val="8"/>
                                    </w:rPr>
                                  </w:pPr>
                                  <w:r>
                                    <w:rPr>
                                      <w:rFonts w:ascii="Arial" w:eastAsia="Arial" w:hAnsi="Arial" w:cs="Arial"/>
                                      <w:b/>
                                      <w:bCs/>
                                      <w:color w:val="2A2522"/>
                                      <w:spacing w:val="0"/>
                                      <w:w w:val="100"/>
                                      <w:position w:val="0"/>
                                      <w:sz w:val="8"/>
                                      <w:szCs w:val="8"/>
                                    </w:rPr>
                                    <w:t xml:space="preserve">1 </w:t>
                                  </w:r>
                                  <w:r>
                                    <w:rPr>
                                      <w:rFonts w:ascii="Arial" w:eastAsia="Arial" w:hAnsi="Arial" w:cs="Arial"/>
                                      <w:b/>
                                      <w:bCs/>
                                      <w:color w:val="2A2522"/>
                                      <w:spacing w:val="0"/>
                                      <w:w w:val="100"/>
                                      <w:position w:val="0"/>
                                      <w:sz w:val="8"/>
                                      <w:szCs w:val="8"/>
                                    </w:rPr>
                                    <w:t xml:space="preserve">P </w:t>
                                  </w:r>
                                  <w:r>
                                    <w:rPr>
                                      <w:rFonts w:ascii="Arial" w:eastAsia="Arial" w:hAnsi="Arial" w:cs="Arial"/>
                                      <w:b/>
                                      <w:bCs/>
                                      <w:color w:val="464544"/>
                                      <w:spacing w:val="0"/>
                                      <w:w w:val="100"/>
                                      <w:position w:val="0"/>
                                      <w:sz w:val="8"/>
                                      <w:szCs w:val="8"/>
                                    </w:rPr>
                                    <w:t xml:space="preserve">H </w:t>
                                  </w:r>
                                  <w:r>
                                    <w:rPr>
                                      <w:rFonts w:ascii="SimHei" w:eastAsia="SimHei" w:hAnsi="SimHei" w:cs="SimHei"/>
                                      <w:color w:val="464544"/>
                                      <w:spacing w:val="0"/>
                                      <w:w w:val="100"/>
                                      <w:position w:val="0"/>
                                      <w:sz w:val="8"/>
                                      <w:szCs w:val="8"/>
                                    </w:rPr>
                                    <w:t xml:space="preserve">沼 </w:t>
                                  </w:r>
                                  <w:r>
                                    <w:rPr>
                                      <w:rFonts w:ascii="Arial" w:eastAsia="Arial" w:hAnsi="Arial" w:cs="Arial"/>
                                      <w:b/>
                                      <w:bCs/>
                                      <w:color w:val="464544"/>
                                      <w:spacing w:val="0"/>
                                      <w:w w:val="100"/>
                                      <w:position w:val="0"/>
                                      <w:sz w:val="8"/>
                                      <w:szCs w:val="8"/>
                                    </w:rPr>
                                    <w:t>Teccont</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both"/>
                                    <w:rPr>
                                      <w:sz w:val="8"/>
                                      <w:szCs w:val="8"/>
                                    </w:rPr>
                                  </w:pPr>
                                  <w:r>
                                    <w:rPr>
                                      <w:rFonts w:ascii="Arial" w:eastAsia="Arial" w:hAnsi="Arial" w:cs="Arial"/>
                                      <w:b/>
                                      <w:bCs/>
                                      <w:color w:val="464544"/>
                                      <w:spacing w:val="0"/>
                                      <w:w w:val="100"/>
                                      <w:position w:val="0"/>
                                      <w:sz w:val="8"/>
                                      <w:szCs w:val="8"/>
                                    </w:rPr>
                                    <w:t>IS</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i/>
                                      <w:iCs/>
                                      <w:color w:val="575656"/>
                                      <w:spacing w:val="0"/>
                                      <w:w w:val="100"/>
                                      <w:position w:val="0"/>
                                      <w:sz w:val="8"/>
                                      <w:szCs w:val="8"/>
                                    </w:rPr>
                                    <w:t>td ^nVCtvrwn</w:t>
                                  </w:r>
                                </w:p>
                              </w:tc>
                            </w:tr>
                            <w:tr>
                              <w:trPr>
                                <w:trHeight w:val="139"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left"/>
                                    <w:rPr>
                                      <w:sz w:val="8"/>
                                      <w:szCs w:val="8"/>
                                    </w:rPr>
                                  </w:pPr>
                                  <w:r>
                                    <w:rPr>
                                      <w:rFonts w:ascii="Arial" w:eastAsia="Arial" w:hAnsi="Arial" w:cs="Arial"/>
                                      <w:b/>
                                      <w:bCs/>
                                      <w:color w:val="383636"/>
                                      <w:spacing w:val="0"/>
                                      <w:w w:val="100"/>
                                      <w:position w:val="0"/>
                                      <w:sz w:val="8"/>
                                      <w:szCs w:val="8"/>
                                    </w:rPr>
                                    <w:t xml:space="preserve">2 £ </w:t>
                                  </w:r>
                                  <w:r>
                                    <w:rPr>
                                      <w:rFonts w:ascii="Arial" w:eastAsia="Arial" w:hAnsi="Arial" w:cs="Arial"/>
                                      <w:b/>
                                      <w:bCs/>
                                      <w:color w:val="575656"/>
                                      <w:spacing w:val="0"/>
                                      <w:w w:val="100"/>
                                      <w:position w:val="0"/>
                                      <w:sz w:val="8"/>
                                      <w:szCs w:val="8"/>
                                    </w:rPr>
                                    <w:t>MISilt mlHoW&gt;</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both"/>
                                    <w:rPr>
                                      <w:sz w:val="8"/>
                                      <w:szCs w:val="8"/>
                                    </w:rPr>
                                  </w:pPr>
                                  <w:r>
                                    <w:rPr>
                                      <w:rFonts w:ascii="Arial" w:eastAsia="Arial" w:hAnsi="Arial" w:cs="Arial"/>
                                      <w:b/>
                                      <w:bCs/>
                                      <w:color w:val="575656"/>
                                      <w:spacing w:val="0"/>
                                      <w:w w:val="100"/>
                                      <w:position w:val="0"/>
                                      <w:sz w:val="8"/>
                                      <w:szCs w:val="8"/>
                                    </w:rPr>
                                    <w:t>17</w:t>
                                  </w:r>
                                </w:p>
                              </w:tc>
                              <w:tc>
                                <w:tcPr>
                                  <w:tcBorders/>
                                  <w:shd w:val="clear" w:color="auto" w:fill="FFFFFF"/>
                                  <w:vAlign w:val="top"/>
                                </w:tcPr>
                                <w:p>
                                  <w:pPr>
                                    <w:widowControl w:val="0"/>
                                    <w:rPr>
                                      <w:sz w:val="10"/>
                                      <w:szCs w:val="10"/>
                                    </w:rPr>
                                  </w:pPr>
                                </w:p>
                              </w:tc>
                            </w:tr>
                            <w:tr>
                              <w:trPr>
                                <w:trHeight w:val="144" w:hRule="exact"/>
                              </w:trPr>
                              <w:tc>
                                <w:tcPr>
                                  <w:tcBorders/>
                                  <w:shd w:val="clear" w:color="auto" w:fill="FFFFFF"/>
                                  <w:vAlign w:val="bottom"/>
                                </w:tcPr>
                                <w:p>
                                  <w:pPr>
                                    <w:pStyle w:val="Style2"/>
                                    <w:keepNext w:val="0"/>
                                    <w:keepLines w:val="0"/>
                                    <w:widowControl w:val="0"/>
                                    <w:shd w:val="clear" w:color="auto" w:fill="auto"/>
                                    <w:tabs>
                                      <w:tab w:pos="543" w:val="left"/>
                                    </w:tabs>
                                    <w:bidi w:val="0"/>
                                    <w:spacing w:before="0" w:after="0" w:line="240" w:lineRule="auto"/>
                                    <w:ind w:left="0" w:right="0" w:firstLine="140"/>
                                    <w:jc w:val="left"/>
                                    <w:rPr>
                                      <w:sz w:val="8"/>
                                      <w:szCs w:val="8"/>
                                    </w:rPr>
                                  </w:pPr>
                                  <w:r>
                                    <w:rPr>
                                      <w:rFonts w:ascii="Arial" w:eastAsia="Arial" w:hAnsi="Arial" w:cs="Arial"/>
                                      <w:b/>
                                      <w:bCs/>
                                      <w:color w:val="575656"/>
                                      <w:spacing w:val="0"/>
                                      <w:w w:val="100"/>
                                      <w:position w:val="0"/>
                                      <w:sz w:val="8"/>
                                      <w:szCs w:val="8"/>
                                    </w:rPr>
                                    <w:t xml:space="preserve">3 </w:t>
                                  </w:r>
                                  <w:r>
                                    <w:rPr>
                                      <w:rFonts w:ascii="SimHei" w:eastAsia="SimHei" w:hAnsi="SimHei" w:cs="SimHei"/>
                                      <w:color w:val="383636"/>
                                      <w:spacing w:val="0"/>
                                      <w:w w:val="100"/>
                                      <w:position w:val="0"/>
                                      <w:sz w:val="8"/>
                                      <w:szCs w:val="8"/>
                                    </w:rPr>
                                    <w:t>普</w:t>
                                    <w:tab/>
                                  </w:r>
                                  <w:r>
                                    <w:rPr>
                                      <w:rFonts w:ascii="Arial" w:eastAsia="Arial" w:hAnsi="Arial" w:cs="Arial"/>
                                      <w:b/>
                                      <w:bCs/>
                                      <w:color w:val="575656"/>
                                      <w:spacing w:val="0"/>
                                      <w:w w:val="100"/>
                                      <w:position w:val="0"/>
                                      <w:sz w:val="8"/>
                                      <w:szCs w:val="8"/>
                                    </w:rPr>
                                    <w:t>NelE«M</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both"/>
                                    <w:rPr>
                                      <w:sz w:val="8"/>
                                      <w:szCs w:val="8"/>
                                    </w:rPr>
                                  </w:pPr>
                                  <w:r>
                                    <w:rPr>
                                      <w:rFonts w:ascii="Arial" w:eastAsia="Arial" w:hAnsi="Arial" w:cs="Arial"/>
                                      <w:b/>
                                      <w:bCs/>
                                      <w:color w:val="464544"/>
                                      <w:spacing w:val="0"/>
                                      <w:w w:val="100"/>
                                      <w:position w:val="0"/>
                                      <w:sz w:val="8"/>
                                      <w:szCs w:val="8"/>
                                    </w:rPr>
                                    <w:t>It</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8"/>
                                      <w:szCs w:val="8"/>
                                    </w:rPr>
                                  </w:pPr>
                                  <w:r>
                                    <w:rPr>
                                      <w:rFonts w:ascii="SimHei" w:eastAsia="SimHei" w:hAnsi="SimHei" w:cs="SimHei"/>
                                      <w:color w:val="383636"/>
                                      <w:spacing w:val="0"/>
                                      <w:w w:val="100"/>
                                      <w:position w:val="0"/>
                                      <w:sz w:val="8"/>
                                      <w:szCs w:val="8"/>
                                    </w:rPr>
                                    <w:t xml:space="preserve">企 </w:t>
                                  </w:r>
                                  <w:r>
                                    <w:rPr>
                                      <w:rFonts w:ascii="Arial" w:eastAsia="Arial" w:hAnsi="Arial" w:cs="Arial"/>
                                      <w:b/>
                                      <w:bCs/>
                                      <w:color w:val="575656"/>
                                      <w:spacing w:val="0"/>
                                      <w:w w:val="100"/>
                                      <w:position w:val="0"/>
                                      <w:sz w:val="8"/>
                                      <w:szCs w:val="8"/>
                                    </w:rPr>
                                    <w:t>iMBMUMocm</w:t>
                                  </w:r>
                                </w:p>
                              </w:tc>
                            </w:tr>
                            <w:tr>
                              <w:trPr>
                                <w:trHeight w:val="139"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left"/>
                                    <w:rPr>
                                      <w:sz w:val="8"/>
                                      <w:szCs w:val="8"/>
                                    </w:rPr>
                                  </w:pPr>
                                  <w:r>
                                    <w:rPr>
                                      <w:rFonts w:ascii="Arial" w:eastAsia="Arial" w:hAnsi="Arial" w:cs="Arial"/>
                                      <w:b/>
                                      <w:bCs/>
                                      <w:color w:val="383636"/>
                                      <w:spacing w:val="0"/>
                                      <w:w w:val="100"/>
                                      <w:position w:val="0"/>
                                      <w:sz w:val="8"/>
                                      <w:szCs w:val="8"/>
                                    </w:rPr>
                                    <w:t xml:space="preserve">4 </w:t>
                                  </w:r>
                                  <w:r>
                                    <w:rPr>
                                      <w:rFonts w:ascii="Arial" w:eastAsia="Arial" w:hAnsi="Arial" w:cs="Arial"/>
                                      <w:b/>
                                      <w:bCs/>
                                      <w:color w:val="725034"/>
                                      <w:spacing w:val="0"/>
                                      <w:w w:val="100"/>
                                      <w:position w:val="0"/>
                                      <w:sz w:val="8"/>
                                      <w:szCs w:val="8"/>
                                    </w:rPr>
                                    <w:t xml:space="preserve">X </w:t>
                                  </w:r>
                                  <w:r>
                                    <w:rPr>
                                      <w:rFonts w:ascii="Arial" w:eastAsia="Arial" w:hAnsi="Arial" w:cs="Arial"/>
                                      <w:b/>
                                      <w:bCs/>
                                      <w:color w:val="575656"/>
                                      <w:spacing w:val="0"/>
                                      <w:w w:val="100"/>
                                      <w:position w:val="0"/>
                                      <w:sz w:val="8"/>
                                      <w:szCs w:val="8"/>
                                    </w:rPr>
                                    <w:t>RW8 LIIBiaainM</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both"/>
                                    <w:rPr>
                                      <w:sz w:val="8"/>
                                      <w:szCs w:val="8"/>
                                    </w:rPr>
                                  </w:pPr>
                                  <w:r>
                                    <w:rPr>
                                      <w:rFonts w:ascii="Arial" w:eastAsia="Arial" w:hAnsi="Arial" w:cs="Arial"/>
                                      <w:b/>
                                      <w:bCs/>
                                      <w:color w:val="464544"/>
                                      <w:spacing w:val="0"/>
                                      <w:w w:val="100"/>
                                      <w:position w:val="0"/>
                                      <w:sz w:val="8"/>
                                      <w:szCs w:val="8"/>
                                    </w:rPr>
                                    <w:t>1»</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575656"/>
                                      <w:spacing w:val="0"/>
                                      <w:w w:val="100"/>
                                      <w:position w:val="0"/>
                                      <w:sz w:val="8"/>
                                      <w:szCs w:val="8"/>
                                    </w:rPr>
                                    <w:t>•y Sue* HKipy E&gt;«TMHil3</w:t>
                                  </w:r>
                                </w:p>
                              </w:tc>
                            </w:tr>
                            <w:tr>
                              <w:trPr>
                                <w:trHeight w:val="139"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left"/>
                                    <w:rPr>
                                      <w:sz w:val="8"/>
                                      <w:szCs w:val="8"/>
                                    </w:rPr>
                                  </w:pPr>
                                  <w:r>
                                    <w:rPr>
                                      <w:rFonts w:ascii="Arial" w:eastAsia="Arial" w:hAnsi="Arial" w:cs="Arial"/>
                                      <w:b/>
                                      <w:bCs/>
                                      <w:color w:val="53442C"/>
                                      <w:spacing w:val="0"/>
                                      <w:w w:val="100"/>
                                      <w:position w:val="0"/>
                                      <w:sz w:val="8"/>
                                      <w:szCs w:val="8"/>
                                    </w:rPr>
                                    <w:t xml:space="preserve">S </w:t>
                                  </w:r>
                                  <w:r>
                                    <w:rPr>
                                      <w:rFonts w:ascii="Arial" w:eastAsia="Arial" w:hAnsi="Arial" w:cs="Arial"/>
                                      <w:b/>
                                      <w:bCs/>
                                      <w:color w:val="53442C"/>
                                      <w:spacing w:val="0"/>
                                      <w:w w:val="100"/>
                                      <w:position w:val="0"/>
                                      <w:sz w:val="8"/>
                                      <w:szCs w:val="8"/>
                                    </w:rPr>
                                    <w:t xml:space="preserve">% </w:t>
                                  </w:r>
                                  <w:r>
                                    <w:rPr>
                                      <w:rFonts w:ascii="Arial" w:eastAsia="Arial" w:hAnsi="Arial" w:cs="Arial"/>
                                      <w:b/>
                                      <w:bCs/>
                                      <w:color w:val="53442C"/>
                                      <w:spacing w:val="0"/>
                                      <w:w w:val="100"/>
                                      <w:position w:val="0"/>
                                      <w:sz w:val="8"/>
                                      <w:szCs w:val="8"/>
                                    </w:rPr>
                                    <w:t>«SFuiPb»</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both"/>
                                    <w:rPr>
                                      <w:sz w:val="8"/>
                                      <w:szCs w:val="8"/>
                                    </w:rPr>
                                  </w:pPr>
                                  <w:r>
                                    <w:rPr>
                                      <w:rFonts w:ascii="Arial" w:eastAsia="Arial" w:hAnsi="Arial" w:cs="Arial"/>
                                      <w:b/>
                                      <w:bCs/>
                                      <w:color w:val="464544"/>
                                      <w:spacing w:val="0"/>
                                      <w:w w:val="100"/>
                                      <w:position w:val="0"/>
                                      <w:sz w:val="8"/>
                                      <w:szCs w:val="8"/>
                                    </w:rPr>
                                    <w:t>20</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797777"/>
                                      <w:spacing w:val="0"/>
                                      <w:w w:val="100"/>
                                      <w:position w:val="0"/>
                                      <w:sz w:val="8"/>
                                      <w:szCs w:val="8"/>
                                    </w:rPr>
                                    <w:t xml:space="preserve">gfc </w:t>
                                  </w:r>
                                  <w:r>
                                    <w:rPr>
                                      <w:rFonts w:ascii="Arial" w:eastAsia="Arial" w:hAnsi="Arial" w:cs="Arial"/>
                                      <w:b/>
                                      <w:bCs/>
                                      <w:color w:val="575656"/>
                                      <w:spacing w:val="0"/>
                                      <w:w w:val="100"/>
                                      <w:position w:val="0"/>
                                      <w:sz w:val="8"/>
                                      <w:szCs w:val="8"/>
                                    </w:rPr>
                                    <w:t>ttSfltH Fi&gt;scrah</w:t>
                                  </w:r>
                                </w:p>
                              </w:tc>
                            </w:tr>
                            <w:tr>
                              <w:trPr>
                                <w:trHeight w:val="139"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left"/>
                                    <w:rPr>
                                      <w:sz w:val="8"/>
                                      <w:szCs w:val="8"/>
                                    </w:rPr>
                                  </w:pPr>
                                  <w:r>
                                    <w:rPr>
                                      <w:rFonts w:ascii="Arial" w:eastAsia="Arial" w:hAnsi="Arial" w:cs="Arial"/>
                                      <w:b/>
                                      <w:bCs/>
                                      <w:i/>
                                      <w:iCs/>
                                      <w:color w:val="383636"/>
                                      <w:spacing w:val="0"/>
                                      <w:w w:val="100"/>
                                      <w:position w:val="0"/>
                                      <w:sz w:val="8"/>
                                      <w:szCs w:val="8"/>
                                    </w:rPr>
                                    <w:t>t,</w:t>
                                  </w:r>
                                  <w:r>
                                    <w:rPr>
                                      <w:rFonts w:ascii="Arial" w:eastAsia="Arial" w:hAnsi="Arial" w:cs="Arial"/>
                                      <w:b/>
                                      <w:bCs/>
                                      <w:color w:val="383636"/>
                                      <w:spacing w:val="0"/>
                                      <w:w w:val="100"/>
                                      <w:position w:val="0"/>
                                      <w:sz w:val="8"/>
                                      <w:szCs w:val="8"/>
                                    </w:rPr>
                                    <w:t xml:space="preserve"> Q </w:t>
                                  </w:r>
                                  <w:r>
                                    <w:rPr>
                                      <w:rFonts w:ascii="Arial" w:eastAsia="Arial" w:hAnsi="Arial" w:cs="Arial"/>
                                      <w:b/>
                                      <w:bCs/>
                                      <w:color w:val="6B6768"/>
                                      <w:spacing w:val="0"/>
                                      <w:w w:val="100"/>
                                      <w:position w:val="0"/>
                                      <w:sz w:val="8"/>
                                      <w:szCs w:val="8"/>
                                    </w:rPr>
                                    <w:t>MW3JMLIng«IO»ni»»</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both"/>
                                    <w:rPr>
                                      <w:sz w:val="8"/>
                                      <w:szCs w:val="8"/>
                                    </w:rPr>
                                  </w:pPr>
                                  <w:r>
                                    <w:rPr>
                                      <w:rFonts w:ascii="Arial" w:eastAsia="Arial" w:hAnsi="Arial" w:cs="Arial"/>
                                      <w:b/>
                                      <w:bCs/>
                                      <w:color w:val="464544"/>
                                      <w:spacing w:val="0"/>
                                      <w:w w:val="100"/>
                                      <w:position w:val="0"/>
                                      <w:sz w:val="8"/>
                                      <w:szCs w:val="8"/>
                                    </w:rPr>
                                    <w:t>ai</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60"/>
                                    <w:jc w:val="both"/>
                                    <w:rPr>
                                      <w:sz w:val="8"/>
                                      <w:szCs w:val="8"/>
                                    </w:rPr>
                                  </w:pPr>
                                  <w:r>
                                    <w:rPr>
                                      <w:rFonts w:ascii="Arial" w:eastAsia="Arial" w:hAnsi="Arial" w:cs="Arial"/>
                                      <w:b/>
                                      <w:bCs/>
                                      <w:color w:val="575656"/>
                                      <w:spacing w:val="0"/>
                                      <w:w w:val="100"/>
                                      <w:position w:val="0"/>
                                      <w:sz w:val="8"/>
                                      <w:szCs w:val="8"/>
                                    </w:rPr>
                                    <w:t>RttUft Frt«rxm«»»</w:t>
                                  </w:r>
                                </w:p>
                              </w:tc>
                            </w:tr>
                            <w:tr>
                              <w:trPr>
                                <w:trHeight w:val="139"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left"/>
                                    <w:rPr>
                                      <w:sz w:val="8"/>
                                      <w:szCs w:val="8"/>
                                    </w:rPr>
                                  </w:pPr>
                                  <w:r>
                                    <w:rPr>
                                      <w:rFonts w:ascii="Arial" w:eastAsia="Arial" w:hAnsi="Arial" w:cs="Arial"/>
                                      <w:b/>
                                      <w:bCs/>
                                      <w:color w:val="383636"/>
                                      <w:spacing w:val="0"/>
                                      <w:w w:val="100"/>
                                      <w:position w:val="0"/>
                                      <w:sz w:val="8"/>
                                      <w:szCs w:val="8"/>
                                    </w:rPr>
                                    <w:t xml:space="preserve">7 © </w:t>
                                  </w:r>
                                  <w:r>
                                    <w:rPr>
                                      <w:rFonts w:ascii="Arial" w:eastAsia="Arial" w:hAnsi="Arial" w:cs="Arial"/>
                                      <w:b/>
                                      <w:bCs/>
                                      <w:color w:val="575656"/>
                                      <w:spacing w:val="0"/>
                                      <w:w w:val="100"/>
                                      <w:position w:val="0"/>
                                      <w:sz w:val="8"/>
                                      <w:szCs w:val="8"/>
                                    </w:rPr>
                                    <w:t>=tEM37G«n«l</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both"/>
                                    <w:rPr>
                                      <w:sz w:val="8"/>
                                      <w:szCs w:val="8"/>
                                    </w:rPr>
                                  </w:pPr>
                                  <w:r>
                                    <w:rPr>
                                      <w:rFonts w:ascii="Arial" w:eastAsia="Arial" w:hAnsi="Arial" w:cs="Arial"/>
                                      <w:b/>
                                      <w:bCs/>
                                      <w:i/>
                                      <w:iCs/>
                                      <w:color w:val="383636"/>
                                      <w:spacing w:val="0"/>
                                      <w:w w:val="100"/>
                                      <w:position w:val="0"/>
                                      <w:sz w:val="8"/>
                                      <w:szCs w:val="8"/>
                                    </w:rPr>
                                    <w:t>22</w:t>
                                  </w:r>
                                </w:p>
                              </w:tc>
                              <w:tc>
                                <w:tcPr>
                                  <w:tcBorders/>
                                  <w:shd w:val="clear" w:color="auto" w:fill="FFFFFF"/>
                                  <w:vAlign w:val="bottom"/>
                                </w:tcPr>
                                <w:p>
                                  <w:pPr>
                                    <w:pStyle w:val="Style2"/>
                                    <w:keepNext w:val="0"/>
                                    <w:keepLines w:val="0"/>
                                    <w:widowControl w:val="0"/>
                                    <w:shd w:val="clear" w:color="auto" w:fill="auto"/>
                                    <w:tabs>
                                      <w:tab w:pos="413" w:val="left"/>
                                    </w:tabs>
                                    <w:bidi w:val="0"/>
                                    <w:spacing w:before="0" w:after="0" w:line="240" w:lineRule="auto"/>
                                    <w:ind w:left="0" w:right="0" w:firstLine="0"/>
                                    <w:jc w:val="left"/>
                                    <w:rPr>
                                      <w:sz w:val="8"/>
                                      <w:szCs w:val="8"/>
                                    </w:rPr>
                                  </w:pPr>
                                  <w:r>
                                    <w:rPr>
                                      <w:b/>
                                      <w:bCs/>
                                      <w:i/>
                                      <w:iCs/>
                                      <w:color w:val="5A2C19"/>
                                      <w:spacing w:val="0"/>
                                      <w:w w:val="100"/>
                                      <w:position w:val="0"/>
                                      <w:sz w:val="9"/>
                                      <w:szCs w:val="9"/>
                                    </w:rPr>
                                    <w:t>陷</w:t>
                                  </w:r>
                                  <w:r>
                                    <w:rPr>
                                      <w:rFonts w:ascii="Arial" w:eastAsia="Arial" w:hAnsi="Arial" w:cs="Arial"/>
                                      <w:b/>
                                      <w:bCs/>
                                      <w:color w:val="5A2C19"/>
                                      <w:spacing w:val="0"/>
                                      <w:w w:val="100"/>
                                      <w:position w:val="0"/>
                                      <w:sz w:val="8"/>
                                      <w:szCs w:val="8"/>
                                    </w:rPr>
                                    <w:tab/>
                                  </w:r>
                                  <w:r>
                                    <w:rPr>
                                      <w:rFonts w:ascii="Arial" w:eastAsia="Arial" w:hAnsi="Arial" w:cs="Arial"/>
                                      <w:b/>
                                      <w:bCs/>
                                      <w:color w:val="575656"/>
                                      <w:spacing w:val="0"/>
                                      <w:w w:val="100"/>
                                      <w:position w:val="0"/>
                                      <w:sz w:val="8"/>
                                      <w:szCs w:val="8"/>
                                    </w:rPr>
                                    <w:t>bating</w:t>
                                  </w:r>
                                </w:p>
                              </w:tc>
                            </w:tr>
                            <w:tr>
                              <w:trPr>
                                <w:trHeight w:val="139"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left"/>
                                    <w:rPr>
                                      <w:sz w:val="8"/>
                                      <w:szCs w:val="8"/>
                                    </w:rPr>
                                  </w:pPr>
                                  <w:r>
                                    <w:rPr>
                                      <w:rFonts w:ascii="Arial" w:eastAsia="Arial" w:hAnsi="Arial" w:cs="Arial"/>
                                      <w:b/>
                                      <w:bCs/>
                                      <w:color w:val="464544"/>
                                      <w:spacing w:val="0"/>
                                      <w:w w:val="100"/>
                                      <w:position w:val="0"/>
                                      <w:sz w:val="8"/>
                                      <w:szCs w:val="8"/>
                                    </w:rPr>
                                    <w:t>8</w:t>
                                  </w:r>
                                  <w:r>
                                    <w:rPr>
                                      <w:rFonts w:ascii="SimHei" w:eastAsia="SimHei" w:hAnsi="SimHei" w:cs="SimHei"/>
                                      <w:color w:val="464544"/>
                                      <w:spacing w:val="0"/>
                                      <w:w w:val="100"/>
                                      <w:position w:val="0"/>
                                      <w:sz w:val="8"/>
                                      <w:szCs w:val="8"/>
                                    </w:rPr>
                                    <w:t>濯天</w:t>
                                  </w:r>
                                </w:p>
                              </w:tc>
                              <w:tc>
                                <w:tcPr>
                                  <w:tcBorders/>
                                  <w:shd w:val="clear" w:color="auto" w:fill="E9E8E5"/>
                                  <w:vAlign w:val="bottom"/>
                                </w:tcPr>
                                <w:p>
                                  <w:pPr>
                                    <w:pStyle w:val="Style2"/>
                                    <w:keepNext w:val="0"/>
                                    <w:keepLines w:val="0"/>
                                    <w:widowControl w:val="0"/>
                                    <w:shd w:val="clear" w:color="auto" w:fill="auto"/>
                                    <w:bidi w:val="0"/>
                                    <w:spacing w:before="0" w:after="0" w:line="240" w:lineRule="auto"/>
                                    <w:ind w:left="0" w:right="0" w:firstLine="140"/>
                                    <w:jc w:val="both"/>
                                    <w:rPr>
                                      <w:sz w:val="8"/>
                                      <w:szCs w:val="8"/>
                                    </w:rPr>
                                  </w:pPr>
                                  <w:r>
                                    <w:rPr>
                                      <w:rFonts w:ascii="Arial" w:eastAsia="Arial" w:hAnsi="Arial" w:cs="Arial"/>
                                      <w:b/>
                                      <w:bCs/>
                                      <w:i/>
                                      <w:iCs/>
                                      <w:color w:val="383636"/>
                                      <w:spacing w:val="0"/>
                                      <w:w w:val="100"/>
                                      <w:position w:val="0"/>
                                      <w:sz w:val="8"/>
                                      <w:szCs w:val="8"/>
                                    </w:rPr>
                                    <w:t>23</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8"/>
                                      <w:szCs w:val="8"/>
                                    </w:rPr>
                                  </w:pPr>
                                  <w:r>
                                    <w:rPr>
                                      <w:rFonts w:ascii="SimHei" w:eastAsia="SimHei" w:hAnsi="SimHei" w:cs="SimHei"/>
                                      <w:color w:val="575656"/>
                                      <w:spacing w:val="0"/>
                                      <w:w w:val="100"/>
                                      <w:position w:val="0"/>
                                      <w:sz w:val="8"/>
                                      <w:szCs w:val="8"/>
                                    </w:rPr>
                                    <w:t xml:space="preserve">声 </w:t>
                                  </w:r>
                                  <w:r>
                                    <w:rPr>
                                      <w:rFonts w:ascii="Arial" w:eastAsia="Arial" w:hAnsi="Arial" w:cs="Arial"/>
                                      <w:b/>
                                      <w:bCs/>
                                      <w:color w:val="575656"/>
                                      <w:spacing w:val="0"/>
                                      <w:w w:val="100"/>
                                      <w:position w:val="0"/>
                                      <w:sz w:val="8"/>
                                      <w:szCs w:val="8"/>
                                    </w:rPr>
                                    <w:t>$MNISDu&lt;M</w:t>
                                  </w:r>
                                </w:p>
                              </w:tc>
                            </w:tr>
                            <w:tr>
                              <w:trPr>
                                <w:trHeight w:val="144"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left"/>
                                    <w:rPr>
                                      <w:sz w:val="8"/>
                                      <w:szCs w:val="8"/>
                                    </w:rPr>
                                  </w:pPr>
                                  <w:r>
                                    <w:rPr>
                                      <w:rFonts w:ascii="Arial" w:eastAsia="Arial" w:hAnsi="Arial" w:cs="Arial"/>
                                      <w:b/>
                                      <w:bCs/>
                                      <w:color w:val="383636"/>
                                      <w:spacing w:val="0"/>
                                      <w:w w:val="100"/>
                                      <w:position w:val="0"/>
                                      <w:sz w:val="8"/>
                                      <w:szCs w:val="8"/>
                                    </w:rPr>
                                    <w:t xml:space="preserve">4 O </w:t>
                                  </w:r>
                                  <w:r>
                                    <w:rPr>
                                      <w:rFonts w:ascii="Arial" w:eastAsia="Arial" w:hAnsi="Arial" w:cs="Arial"/>
                                      <w:b/>
                                      <w:bCs/>
                                      <w:color w:val="575656"/>
                                      <w:spacing w:val="0"/>
                                      <w:w w:val="100"/>
                                      <w:position w:val="0"/>
                                      <w:sz w:val="8"/>
                                      <w:szCs w:val="8"/>
                                    </w:rPr>
                                    <w:t>tteiRttLong Iteh</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both"/>
                                    <w:rPr>
                                      <w:sz w:val="8"/>
                                      <w:szCs w:val="8"/>
                                    </w:rPr>
                                  </w:pPr>
                                  <w:r>
                                    <w:rPr>
                                      <w:rFonts w:ascii="Arial" w:eastAsia="Arial" w:hAnsi="Arial" w:cs="Arial"/>
                                      <w:b/>
                                      <w:bCs/>
                                      <w:color w:val="383636"/>
                                      <w:spacing w:val="0"/>
                                      <w:w w:val="100"/>
                                      <w:position w:val="0"/>
                                      <w:sz w:val="8"/>
                                      <w:szCs w:val="8"/>
                                    </w:rPr>
                                    <w:t>24</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575656"/>
                                      <w:spacing w:val="0"/>
                                      <w:w w:val="100"/>
                                      <w:position w:val="0"/>
                                      <w:sz w:val="8"/>
                                      <w:szCs w:val="8"/>
                                    </w:rPr>
                                    <w:t>C DtimMZ&gt;ongaima&gt;</w:t>
                                  </w:r>
                                </w:p>
                              </w:tc>
                            </w:tr>
                            <w:tr>
                              <w:trPr>
                                <w:trHeight w:val="139" w:hRule="exact"/>
                              </w:trPr>
                              <w:tc>
                                <w:tcPr>
                                  <w:tcBorders/>
                                  <w:shd w:val="clear" w:color="auto" w:fill="FFFFFF"/>
                                  <w:vAlign w:val="bottom"/>
                                </w:tcPr>
                                <w:p>
                                  <w:pPr>
                                    <w:pStyle w:val="Style2"/>
                                    <w:keepNext w:val="0"/>
                                    <w:keepLines w:val="0"/>
                                    <w:widowControl w:val="0"/>
                                    <w:shd w:val="clear" w:color="auto" w:fill="auto"/>
                                    <w:tabs>
                                      <w:tab w:pos="812" w:val="left"/>
                                    </w:tabs>
                                    <w:bidi w:val="0"/>
                                    <w:spacing w:before="0" w:after="0" w:line="240" w:lineRule="auto"/>
                                    <w:ind w:left="0" w:right="0" w:firstLine="140"/>
                                    <w:jc w:val="left"/>
                                    <w:rPr>
                                      <w:sz w:val="8"/>
                                      <w:szCs w:val="8"/>
                                    </w:rPr>
                                  </w:pPr>
                                  <w:r>
                                    <w:rPr>
                                      <w:rFonts w:ascii="Arial" w:eastAsia="Arial" w:hAnsi="Arial" w:cs="Arial"/>
                                      <w:b/>
                                      <w:bCs/>
                                      <w:color w:val="383636"/>
                                      <w:spacing w:val="0"/>
                                      <w:w w:val="100"/>
                                      <w:position w:val="0"/>
                                      <w:sz w:val="8"/>
                                      <w:szCs w:val="8"/>
                                      <w:vertAlign w:val="subscript"/>
                                    </w:rPr>
                                    <w:t>l0</w:t>
                                  </w:r>
                                  <w:r>
                                    <w:rPr>
                                      <w:rFonts w:ascii="Arial" w:eastAsia="Arial" w:hAnsi="Arial" w:cs="Arial"/>
                                      <w:b/>
                                      <w:bCs/>
                                      <w:color w:val="383636"/>
                                      <w:spacing w:val="0"/>
                                      <w:w w:val="100"/>
                                      <w:position w:val="0"/>
                                      <w:sz w:val="8"/>
                                      <w:szCs w:val="8"/>
                                    </w:rPr>
                                    <w:t xml:space="preserve"> 4B </w:t>
                                  </w:r>
                                  <w:r>
                                    <w:rPr>
                                      <w:rFonts w:ascii="SimHei" w:eastAsia="SimHei" w:hAnsi="SimHei" w:cs="SimHei"/>
                                      <w:color w:val="383636"/>
                                      <w:spacing w:val="0"/>
                                      <w:w w:val="100"/>
                                      <w:position w:val="0"/>
                                      <w:sz w:val="8"/>
                                      <w:szCs w:val="8"/>
                                    </w:rPr>
                                    <w:t>惠</w:t>
                                  </w:r>
                                  <w:r>
                                    <w:rPr>
                                      <w:rFonts w:ascii="Arial" w:eastAsia="Arial" w:hAnsi="Arial" w:cs="Arial"/>
                                      <w:b/>
                                      <w:bCs/>
                                      <w:color w:val="575656"/>
                                      <w:spacing w:val="0"/>
                                      <w:w w:val="100"/>
                                      <w:position w:val="0"/>
                                      <w:sz w:val="8"/>
                                      <w:szCs w:val="8"/>
                                    </w:rPr>
                                    <w:t>HUbl</w:t>
                                    <w:tab/>
                                    <w:t>Gaires</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both"/>
                                    <w:rPr>
                                      <w:sz w:val="8"/>
                                      <w:szCs w:val="8"/>
                                    </w:rPr>
                                  </w:pPr>
                                  <w:r>
                                    <w:rPr>
                                      <w:rFonts w:ascii="Arial" w:eastAsia="Arial" w:hAnsi="Arial" w:cs="Arial"/>
                                      <w:b/>
                                      <w:bCs/>
                                      <w:color w:val="383636"/>
                                      <w:spacing w:val="0"/>
                                      <w:w w:val="100"/>
                                      <w:position w:val="0"/>
                                      <w:sz w:val="8"/>
                                      <w:szCs w:val="8"/>
                                    </w:rPr>
                                    <w:t>2S</w:t>
                                  </w:r>
                                </w:p>
                              </w:tc>
                              <w:tc>
                                <w:tcPr>
                                  <w:tcBorders/>
                                  <w:shd w:val="clear" w:color="auto" w:fill="FFFFFF"/>
                                  <w:vAlign w:val="bottom"/>
                                </w:tcPr>
                                <w:p>
                                  <w:pPr>
                                    <w:pStyle w:val="Style2"/>
                                    <w:keepNext w:val="0"/>
                                    <w:keepLines w:val="0"/>
                                    <w:widowControl w:val="0"/>
                                    <w:shd w:val="clear" w:color="auto" w:fill="auto"/>
                                    <w:tabs>
                                      <w:tab w:pos="408" w:val="left"/>
                                    </w:tabs>
                                    <w:bidi w:val="0"/>
                                    <w:spacing w:before="0" w:after="0" w:line="240" w:lineRule="auto"/>
                                    <w:ind w:left="0" w:right="0" w:firstLine="0"/>
                                    <w:jc w:val="left"/>
                                    <w:rPr>
                                      <w:sz w:val="8"/>
                                      <w:szCs w:val="8"/>
                                    </w:rPr>
                                  </w:pPr>
                                  <w:r>
                                    <w:rPr>
                                      <w:rFonts w:ascii="SimHei" w:eastAsia="SimHei" w:hAnsi="SimHei" w:cs="SimHei"/>
                                      <w:color w:val="833A39"/>
                                      <w:spacing w:val="0"/>
                                      <w:w w:val="100"/>
                                      <w:position w:val="0"/>
                                      <w:sz w:val="8"/>
                                      <w:szCs w:val="8"/>
                                    </w:rPr>
                                    <w:t>同</w:t>
                                    <w:tab/>
                                  </w:r>
                                  <w:r>
                                    <w:rPr>
                                      <w:rFonts w:ascii="Arial" w:eastAsia="Arial" w:hAnsi="Arial" w:cs="Arial"/>
                                      <w:b/>
                                      <w:bCs/>
                                      <w:color w:val="575656"/>
                                      <w:spacing w:val="0"/>
                                      <w:w w:val="100"/>
                                      <w:position w:val="0"/>
                                      <w:sz w:val="8"/>
                                      <w:szCs w:val="8"/>
                                    </w:rPr>
                                    <w:t>XO.Gk&gt;M</w:t>
                                  </w:r>
                                </w:p>
                              </w:tc>
                            </w:tr>
                            <w:tr>
                              <w:trPr>
                                <w:trHeight w:val="139"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left"/>
                                    <w:rPr>
                                      <w:sz w:val="8"/>
                                      <w:szCs w:val="8"/>
                                    </w:rPr>
                                  </w:pPr>
                                  <w:r>
                                    <w:rPr>
                                      <w:rFonts w:ascii="Arial" w:eastAsia="Arial" w:hAnsi="Arial" w:cs="Arial"/>
                                      <w:b/>
                                      <w:bCs/>
                                      <w:color w:val="383636"/>
                                      <w:spacing w:val="0"/>
                                      <w:w w:val="100"/>
                                      <w:position w:val="0"/>
                                      <w:sz w:val="8"/>
                                      <w:szCs w:val="8"/>
                                    </w:rPr>
                                    <w:t xml:space="preserve">11 </w:t>
                                  </w:r>
                                  <w:r>
                                    <w:rPr>
                                      <w:rFonts w:ascii="Arial" w:eastAsia="Arial" w:hAnsi="Arial" w:cs="Arial"/>
                                      <w:b/>
                                      <w:bCs/>
                                      <w:color w:val="6B6768"/>
                                      <w:spacing w:val="0"/>
                                      <w:w w:val="100"/>
                                      <w:position w:val="0"/>
                                      <w:sz w:val="8"/>
                                      <w:szCs w:val="8"/>
                                    </w:rPr>
                                    <w:t>M</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both"/>
                                    <w:rPr>
                                      <w:sz w:val="8"/>
                                      <w:szCs w:val="8"/>
                                    </w:rPr>
                                  </w:pPr>
                                  <w:r>
                                    <w:rPr>
                                      <w:rFonts w:ascii="Arial" w:eastAsia="Arial" w:hAnsi="Arial" w:cs="Arial"/>
                                      <w:b/>
                                      <w:bCs/>
                                      <w:color w:val="383636"/>
                                      <w:spacing w:val="0"/>
                                      <w:w w:val="100"/>
                                      <w:position w:val="0"/>
                                      <w:sz w:val="8"/>
                                      <w:szCs w:val="8"/>
                                    </w:rPr>
                                    <w:t>M</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i/>
                                      <w:iCs/>
                                      <w:color w:val="464544"/>
                                      <w:spacing w:val="0"/>
                                      <w:w w:val="100"/>
                                      <w:position w:val="0"/>
                                      <w:sz w:val="8"/>
                                      <w:szCs w:val="8"/>
                                    </w:rPr>
                                    <w:t>fit</w:t>
                                  </w:r>
                                  <w:r>
                                    <w:rPr>
                                      <w:rFonts w:ascii="Arial" w:eastAsia="Arial" w:hAnsi="Arial" w:cs="Arial"/>
                                      <w:b/>
                                      <w:bCs/>
                                      <w:color w:val="464544"/>
                                      <w:spacing w:val="0"/>
                                      <w:w w:val="100"/>
                                      <w:position w:val="0"/>
                                      <w:sz w:val="8"/>
                                      <w:szCs w:val="8"/>
                                    </w:rPr>
                                    <w:t xml:space="preserve"> </w:t>
                                  </w:r>
                                  <w:r>
                                    <w:rPr>
                                      <w:rFonts w:ascii="Arial" w:eastAsia="Arial" w:hAnsi="Arial" w:cs="Arial"/>
                                      <w:b/>
                                      <w:bCs/>
                                      <w:color w:val="6B6768"/>
                                      <w:spacing w:val="0"/>
                                      <w:w w:val="100"/>
                                      <w:position w:val="0"/>
                                      <w:sz w:val="8"/>
                                      <w:szCs w:val="8"/>
                                    </w:rPr>
                                    <w:t>CMS</w:t>
                                  </w:r>
                                  <w:r>
                                    <w:rPr>
                                      <w:rFonts w:ascii="SimHei" w:eastAsia="SimHei" w:hAnsi="SimHei" w:cs="SimHei"/>
                                      <w:color w:val="464544"/>
                                      <w:spacing w:val="0"/>
                                      <w:w w:val="100"/>
                                      <w:position w:val="0"/>
                                      <w:sz w:val="8"/>
                                      <w:szCs w:val="8"/>
                                    </w:rPr>
                                    <w:t xml:space="preserve">典 </w:t>
                                  </w:r>
                                  <w:r>
                                    <w:rPr>
                                      <w:rFonts w:ascii="Arial" w:eastAsia="Arial" w:hAnsi="Arial" w:cs="Arial"/>
                                      <w:b/>
                                      <w:bCs/>
                                      <w:color w:val="464544"/>
                                      <w:spacing w:val="0"/>
                                      <w:w w:val="100"/>
                                      <w:position w:val="0"/>
                                      <w:sz w:val="8"/>
                                      <w:szCs w:val="8"/>
                                    </w:rPr>
                                    <w:t xml:space="preserve">CHUANG </w:t>
                                  </w:r>
                                  <w:r>
                                    <w:rPr>
                                      <w:rFonts w:ascii="Arial" w:eastAsia="Arial" w:hAnsi="Arial" w:cs="Arial"/>
                                      <w:b/>
                                      <w:bCs/>
                                      <w:color w:val="6B6768"/>
                                      <w:spacing w:val="0"/>
                                      <w:w w:val="100"/>
                                      <w:position w:val="0"/>
                                      <w:sz w:val="8"/>
                                      <w:szCs w:val="8"/>
                                    </w:rPr>
                                    <w:t>801</w:t>
                                  </w:r>
                                </w:p>
                              </w:tc>
                            </w:tr>
                            <w:tr>
                              <w:trPr>
                                <w:trHeight w:val="139" w:hRule="exact"/>
                              </w:trPr>
                              <w:tc>
                                <w:tcPr>
                                  <w:tcBorders/>
                                  <w:shd w:val="clear" w:color="auto" w:fill="FFFFFF"/>
                                  <w:vAlign w:val="bottom"/>
                                </w:tcPr>
                                <w:p>
                                  <w:pPr>
                                    <w:pStyle w:val="Style2"/>
                                    <w:keepNext w:val="0"/>
                                    <w:keepLines w:val="0"/>
                                    <w:widowControl w:val="0"/>
                                    <w:shd w:val="clear" w:color="auto" w:fill="auto"/>
                                    <w:tabs>
                                      <w:tab w:pos="682" w:val="left"/>
                                    </w:tabs>
                                    <w:bidi w:val="0"/>
                                    <w:spacing w:before="0" w:after="0" w:line="240" w:lineRule="auto"/>
                                    <w:ind w:left="0" w:right="0" w:firstLine="140"/>
                                    <w:jc w:val="left"/>
                                    <w:rPr>
                                      <w:sz w:val="8"/>
                                      <w:szCs w:val="8"/>
                                    </w:rPr>
                                  </w:pPr>
                                  <w:r>
                                    <w:rPr>
                                      <w:rFonts w:ascii="Arial" w:eastAsia="Arial" w:hAnsi="Arial" w:cs="Arial"/>
                                      <w:b/>
                                      <w:bCs/>
                                      <w:color w:val="464544"/>
                                      <w:spacing w:val="0"/>
                                      <w:w w:val="100"/>
                                      <w:position w:val="0"/>
                                      <w:sz w:val="8"/>
                                      <w:szCs w:val="8"/>
                                    </w:rPr>
                                    <w:t>12</w:t>
                                    <w:tab/>
                                    <w:t>YOOZOO</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both"/>
                                    <w:rPr>
                                      <w:sz w:val="8"/>
                                      <w:szCs w:val="8"/>
                                    </w:rPr>
                                  </w:pPr>
                                  <w:r>
                                    <w:rPr>
                                      <w:rFonts w:ascii="Arial" w:eastAsia="Arial" w:hAnsi="Arial" w:cs="Arial"/>
                                      <w:b/>
                                      <w:bCs/>
                                      <w:color w:val="383636"/>
                                      <w:spacing w:val="0"/>
                                      <w:w w:val="100"/>
                                      <w:position w:val="0"/>
                                      <w:sz w:val="8"/>
                                      <w:szCs w:val="8"/>
                                    </w:rPr>
                                    <w:t>27</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8"/>
                                      <w:szCs w:val="8"/>
                                    </w:rPr>
                                  </w:pPr>
                                  <w:r>
                                    <w:rPr>
                                      <w:rFonts w:ascii="SimHei" w:eastAsia="SimHei" w:hAnsi="SimHei" w:cs="SimHei"/>
                                      <w:color w:val="833A39"/>
                                      <w:spacing w:val="0"/>
                                      <w:w w:val="100"/>
                                      <w:position w:val="0"/>
                                      <w:sz w:val="8"/>
                                      <w:szCs w:val="8"/>
                                    </w:rPr>
                                    <w:t xml:space="preserve">妆 </w:t>
                                  </w:r>
                                  <w:r>
                                    <w:rPr>
                                      <w:rFonts w:ascii="Arial" w:eastAsia="Arial" w:hAnsi="Arial" w:cs="Arial"/>
                                      <w:b/>
                                      <w:bCs/>
                                      <w:color w:val="575656"/>
                                      <w:spacing w:val="0"/>
                                      <w:w w:val="100"/>
                                      <w:position w:val="0"/>
                                      <w:sz w:val="8"/>
                                      <w:szCs w:val="8"/>
                                    </w:rPr>
                                    <w:t>»»UfitOwP»lm</w:t>
                                  </w:r>
                                </w:p>
                              </w:tc>
                            </w:tr>
                            <w:tr>
                              <w:trPr>
                                <w:trHeight w:val="163"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left"/>
                                    <w:rPr>
                                      <w:sz w:val="8"/>
                                      <w:szCs w:val="8"/>
                                    </w:rPr>
                                  </w:pPr>
                                  <w:r>
                                    <w:rPr>
                                      <w:rFonts w:ascii="Arial" w:eastAsia="Arial" w:hAnsi="Arial" w:cs="Arial"/>
                                      <w:b/>
                                      <w:bCs/>
                                      <w:color w:val="575656"/>
                                      <w:spacing w:val="0"/>
                                      <w:w w:val="100"/>
                                      <w:position w:val="0"/>
                                      <w:sz w:val="8"/>
                                      <w:szCs w:val="8"/>
                                    </w:rPr>
                                    <w:t>13</w:t>
                                  </w:r>
                                  <w:r>
                                    <w:rPr>
                                      <w:rFonts w:ascii="SimHei" w:eastAsia="SimHei" w:hAnsi="SimHei" w:cs="SimHei"/>
                                      <w:color w:val="575656"/>
                                      <w:spacing w:val="0"/>
                                      <w:w w:val="100"/>
                                      <w:position w:val="0"/>
                                      <w:sz w:val="8"/>
                                      <w:szCs w:val="8"/>
                                    </w:rPr>
                                    <w:t>霍</w:t>
                                  </w:r>
                                  <w:r>
                                    <w:rPr>
                                      <w:rFonts w:ascii="Arial" w:eastAsia="Arial" w:hAnsi="Arial" w:cs="Arial"/>
                                      <w:b/>
                                      <w:bCs/>
                                      <w:color w:val="575656"/>
                                      <w:spacing w:val="0"/>
                                      <w:w w:val="100"/>
                                      <w:position w:val="0"/>
                                      <w:sz w:val="8"/>
                                      <w:szCs w:val="8"/>
                                    </w:rPr>
                                    <w:t>14</w:t>
                                  </w:r>
                                  <w:r>
                                    <w:rPr>
                                      <w:rFonts w:ascii="SimHei" w:eastAsia="SimHei" w:hAnsi="SimHei" w:cs="SimHei"/>
                                      <w:color w:val="575656"/>
                                      <w:spacing w:val="0"/>
                                      <w:w w:val="100"/>
                                      <w:position w:val="0"/>
                                      <w:sz w:val="8"/>
                                      <w:szCs w:val="8"/>
                                    </w:rPr>
                                    <w:t>乐科技</w:t>
                                  </w:r>
                                  <w:r>
                                    <w:rPr>
                                      <w:rFonts w:ascii="Arial" w:eastAsia="Arial" w:hAnsi="Arial" w:cs="Arial"/>
                                      <w:b/>
                                      <w:bCs/>
                                      <w:color w:val="575656"/>
                                      <w:spacing w:val="0"/>
                                      <w:w w:val="100"/>
                                      <w:position w:val="0"/>
                                      <w:sz w:val="8"/>
                                      <w:szCs w:val="8"/>
                                    </w:rPr>
                                    <w:t>BoXGanu</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both"/>
                                    <w:rPr>
                                      <w:sz w:val="8"/>
                                      <w:szCs w:val="8"/>
                                    </w:rPr>
                                  </w:pPr>
                                  <w:r>
                                    <w:rPr>
                                      <w:rFonts w:ascii="Arial" w:eastAsia="Arial" w:hAnsi="Arial" w:cs="Arial"/>
                                      <w:b/>
                                      <w:bCs/>
                                      <w:color w:val="464544"/>
                                      <w:spacing w:val="0"/>
                                      <w:w w:val="100"/>
                                      <w:position w:val="0"/>
                                      <w:sz w:val="8"/>
                                      <w:szCs w:val="8"/>
                                    </w:rPr>
                                    <w:t>28</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8"/>
                                      <w:szCs w:val="8"/>
                                    </w:rPr>
                                  </w:pPr>
                                  <w:r>
                                    <w:rPr>
                                      <w:rFonts w:ascii="SimHei" w:eastAsia="SimHei" w:hAnsi="SimHei" w:cs="SimHei"/>
                                      <w:color w:val="2A2522"/>
                                      <w:spacing w:val="0"/>
                                      <w:w w:val="100"/>
                                      <w:position w:val="0"/>
                                      <w:sz w:val="8"/>
                                      <w:szCs w:val="8"/>
                                    </w:rPr>
                                    <w:t xml:space="preserve">浏 </w:t>
                                  </w:r>
                                  <w:r>
                                    <w:rPr>
                                      <w:rFonts w:ascii="Arial" w:eastAsia="Arial" w:hAnsi="Arial" w:cs="Arial"/>
                                      <w:b/>
                                      <w:bCs/>
                                      <w:color w:val="6B6768"/>
                                      <w:spacing w:val="0"/>
                                      <w:w w:val="100"/>
                                      <w:position w:val="0"/>
                                      <w:sz w:val="8"/>
                                      <w:szCs w:val="8"/>
                                    </w:rPr>
                                    <w:t>ttKtAasx</w:t>
                                  </w:r>
                                </w:p>
                              </w:tc>
                            </w:tr>
                            <w:tr>
                              <w:trPr>
                                <w:trHeight w:val="149" w:hRule="exact"/>
                              </w:trPr>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975463"/>
                                      <w:spacing w:val="0"/>
                                      <w:w w:val="100"/>
                                      <w:position w:val="0"/>
                                      <w:sz w:val="8"/>
                                      <w:szCs w:val="8"/>
                                    </w:rPr>
                                    <w:t xml:space="preserve">I </w:t>
                                  </w:r>
                                  <w:r>
                                    <w:rPr>
                                      <w:rFonts w:ascii="Arial" w:eastAsia="Arial" w:hAnsi="Arial" w:cs="Arial"/>
                                      <w:b/>
                                      <w:bCs/>
                                      <w:color w:val="383636"/>
                                      <w:spacing w:val="0"/>
                                      <w:w w:val="100"/>
                                      <w:position w:val="0"/>
                                      <w:sz w:val="8"/>
                                      <w:szCs w:val="8"/>
                                    </w:rPr>
                                    <w:t xml:space="preserve">u Q </w:t>
                                  </w:r>
                                  <w:r>
                                    <w:rPr>
                                      <w:rFonts w:ascii="Arial" w:eastAsia="Arial" w:hAnsi="Arial" w:cs="Arial"/>
                                      <w:b/>
                                      <w:bCs/>
                                      <w:color w:val="575656"/>
                                      <w:spacing w:val="0"/>
                                      <w:w w:val="100"/>
                                      <w:position w:val="0"/>
                                      <w:sz w:val="8"/>
                                      <w:szCs w:val="8"/>
                                    </w:rPr>
                                    <w:t xml:space="preserve">«»W»CamaK3am»s </w:t>
                                  </w:r>
                                  <w:r>
                                    <w:rPr>
                                      <w:rFonts w:ascii="Arial" w:eastAsia="Arial" w:hAnsi="Arial" w:cs="Arial"/>
                                      <w:b/>
                                      <w:bCs/>
                                      <w:color w:val="A58382"/>
                                      <w:spacing w:val="0"/>
                                      <w:w w:val="100"/>
                                      <w:position w:val="0"/>
                                      <w:sz w:val="8"/>
                                      <w:szCs w:val="8"/>
                                    </w:rPr>
                                    <w:t>1</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both"/>
                                    <w:rPr>
                                      <w:sz w:val="8"/>
                                      <w:szCs w:val="8"/>
                                    </w:rPr>
                                  </w:pPr>
                                  <w:r>
                                    <w:rPr>
                                      <w:rFonts w:ascii="Arial" w:eastAsia="Arial" w:hAnsi="Arial" w:cs="Arial"/>
                                      <w:b/>
                                      <w:bCs/>
                                      <w:i/>
                                      <w:iCs/>
                                      <w:color w:val="464544"/>
                                      <w:spacing w:val="0"/>
                                      <w:w w:val="100"/>
                                      <w:position w:val="0"/>
                                      <w:sz w:val="8"/>
                                      <w:szCs w:val="8"/>
                                    </w:rPr>
                                    <w:t>19</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53442C"/>
                                      <w:spacing w:val="0"/>
                                      <w:w w:val="100"/>
                                      <w:position w:val="0"/>
                                      <w:sz w:val="8"/>
                                      <w:szCs w:val="8"/>
                                    </w:rPr>
                                    <w:t xml:space="preserve">m </w:t>
                                  </w:r>
                                  <w:r>
                                    <w:rPr>
                                      <w:rFonts w:ascii="Arial" w:eastAsia="Arial" w:hAnsi="Arial" w:cs="Arial"/>
                                      <w:b/>
                                      <w:bCs/>
                                      <w:color w:val="575656"/>
                                      <w:spacing w:val="0"/>
                                      <w:w w:val="100"/>
                                      <w:position w:val="0"/>
                                      <w:sz w:val="8"/>
                                      <w:szCs w:val="8"/>
                                    </w:rPr>
                                    <w:t>JtBMfiasEMT</w:t>
                                  </w:r>
                                </w:p>
                              </w:tc>
                            </w:tr>
                            <w:tr>
                              <w:trPr>
                                <w:trHeight w:val="149" w:hRule="exact"/>
                              </w:trPr>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left"/>
                                    <w:rPr>
                                      <w:sz w:val="8"/>
                                      <w:szCs w:val="8"/>
                                    </w:rPr>
                                  </w:pPr>
                                  <w:r>
                                    <w:rPr>
                                      <w:rFonts w:ascii="Arial" w:eastAsia="Arial" w:hAnsi="Arial" w:cs="Arial"/>
                                      <w:b/>
                                      <w:bCs/>
                                      <w:color w:val="2A2522"/>
                                      <w:spacing w:val="0"/>
                                      <w:w w:val="100"/>
                                      <w:position w:val="0"/>
                                      <w:sz w:val="8"/>
                                      <w:szCs w:val="8"/>
                                      <w:vertAlign w:val="subscript"/>
                                    </w:rPr>
                                    <w:t>15</w:t>
                                  </w:r>
                                  <w:r>
                                    <w:rPr>
                                      <w:rFonts w:ascii="Arial" w:eastAsia="Arial" w:hAnsi="Arial" w:cs="Arial"/>
                                      <w:b/>
                                      <w:bCs/>
                                      <w:color w:val="2A2522"/>
                                      <w:spacing w:val="0"/>
                                      <w:w w:val="100"/>
                                      <w:position w:val="0"/>
                                      <w:sz w:val="8"/>
                                      <w:szCs w:val="8"/>
                                    </w:rPr>
                                    <w:t xml:space="preserve"> </w:t>
                                  </w:r>
                                  <w:r>
                                    <w:rPr>
                                      <w:b/>
                                      <w:bCs/>
                                      <w:color w:val="2A2522"/>
                                      <w:spacing w:val="0"/>
                                      <w:w w:val="100"/>
                                      <w:position w:val="0"/>
                                      <w:sz w:val="9"/>
                                      <w:szCs w:val="9"/>
                                    </w:rPr>
                                    <w:t>◎</w:t>
                                  </w:r>
                                  <w:r>
                                    <w:rPr>
                                      <w:rFonts w:ascii="Arial" w:eastAsia="Arial" w:hAnsi="Arial" w:cs="Arial"/>
                                      <w:b/>
                                      <w:bCs/>
                                      <w:color w:val="2A2522"/>
                                      <w:spacing w:val="0"/>
                                      <w:w w:val="100"/>
                                      <w:position w:val="0"/>
                                      <w:sz w:val="8"/>
                                      <w:szCs w:val="8"/>
                                    </w:rPr>
                                    <w:t xml:space="preserve"> </w:t>
                                  </w:r>
                                  <w:r>
                                    <w:rPr>
                                      <w:rFonts w:ascii="Arial" w:eastAsia="Arial" w:hAnsi="Arial" w:cs="Arial"/>
                                      <w:b/>
                                      <w:bCs/>
                                      <w:color w:val="575656"/>
                                      <w:spacing w:val="0"/>
                                      <w:w w:val="100"/>
                                      <w:position w:val="0"/>
                                      <w:sz w:val="8"/>
                                      <w:szCs w:val="8"/>
                                    </w:rPr>
                                    <w:t>XMSnPortoewortil</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both"/>
                                    <w:rPr>
                                      <w:sz w:val="8"/>
                                      <w:szCs w:val="8"/>
                                    </w:rPr>
                                  </w:pPr>
                                  <w:r>
                                    <w:rPr>
                                      <w:rFonts w:ascii="Arial" w:eastAsia="Arial" w:hAnsi="Arial" w:cs="Arial"/>
                                      <w:b/>
                                      <w:bCs/>
                                      <w:i/>
                                      <w:iCs/>
                                      <w:color w:val="383636"/>
                                      <w:spacing w:val="0"/>
                                      <w:w w:val="100"/>
                                      <w:position w:val="0"/>
                                      <w:sz w:val="8"/>
                                      <w:szCs w:val="8"/>
                                    </w:rPr>
                                    <w:t>30</w:t>
                                  </w:r>
                                </w:p>
                              </w:tc>
                              <w:tc>
                                <w:tcPr>
                                  <w:tcBorders/>
                                  <w:shd w:val="clear" w:color="auto" w:fill="FFFFFF"/>
                                  <w:vAlign w:val="top"/>
                                </w:tcPr>
                                <w:p>
                                  <w:pPr>
                                    <w:widowControl w:val="0"/>
                                    <w:rPr>
                                      <w:sz w:val="10"/>
                                      <w:szCs w:val="10"/>
                                    </w:rPr>
                                  </w:pPr>
                                </w:p>
                              </w:tc>
                            </w:tr>
                            <w:tr>
                              <w:trPr>
                                <w:trHeight w:val="278" w:hRule="exact"/>
                              </w:trPr>
                              <w:tc>
                                <w:tcPr>
                                  <w:gridSpan w:val="3"/>
                                  <w:tcBorders/>
                                  <w:shd w:val="clear" w:color="auto" w:fill="FFFFFF"/>
                                  <w:vAlign w:val="top"/>
                                </w:tcPr>
                                <w:p>
                                  <w:pPr>
                                    <w:widowControl w:val="0"/>
                                    <w:rPr>
                                      <w:sz w:val="10"/>
                                      <w:szCs w:val="10"/>
                                    </w:rPr>
                                  </w:pPr>
                                </w:p>
                              </w:tc>
                            </w:tr>
                          </w:tbl>
                          <w:p>
                            <w:pPr>
                              <w:widowControl w:val="0"/>
                              <w:spacing w:line="1" w:lineRule="exact"/>
                            </w:pPr>
                          </w:p>
                        </w:txbxContent>
                      </wps:txbx>
                      <wps:bodyPr lIns="0" tIns="0" rIns="0" bIns="0">
                        <a:noAutoFit/>
                      </wps:bodyPr>
                    </wps:wsp>
                  </a:graphicData>
                </a:graphic>
              </wp:anchor>
            </w:drawing>
          </mc:Choice>
          <mc:Fallback>
            <w:pict>
              <v:shape id="_x0000_s1395" type="#_x0000_t202" style="position:absolute;margin-left:380.65000000000003pt;margin-top:11.550000000000001pt;width:141.84999999999999pt;height:121.7pt;z-index:-125829265;mso-wrap-distance-left:9.pt;mso-wrap-distance-top:10.550000000000001pt;mso-wrap-distance-right:9.pt;mso-position-horizontal-relative:page" filled="f" stroked="f">
                <v:textbox inset="0,0,0,0">
                  <w:txbxContent>
                    <w:tbl>
                      <w:tblPr>
                        <w:tblOverlap w:val="never"/>
                        <w:jc w:val="left"/>
                        <w:tblLayout w:type="fixed"/>
                      </w:tblPr>
                      <w:tblGrid>
                        <w:gridCol w:w="1354"/>
                        <w:gridCol w:w="254"/>
                        <w:gridCol w:w="1229"/>
                      </w:tblGrid>
                      <w:tr>
                        <w:trPr>
                          <w:tblHeader/>
                          <w:trHeight w:val="154"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left"/>
                              <w:rPr>
                                <w:sz w:val="8"/>
                                <w:szCs w:val="8"/>
                              </w:rPr>
                            </w:pPr>
                            <w:r>
                              <w:rPr>
                                <w:rFonts w:ascii="Arial" w:eastAsia="Arial" w:hAnsi="Arial" w:cs="Arial"/>
                                <w:b/>
                                <w:bCs/>
                                <w:color w:val="2A2522"/>
                                <w:spacing w:val="0"/>
                                <w:w w:val="100"/>
                                <w:position w:val="0"/>
                                <w:sz w:val="8"/>
                                <w:szCs w:val="8"/>
                              </w:rPr>
                              <w:t xml:space="preserve">1 </w:t>
                            </w:r>
                            <w:r>
                              <w:rPr>
                                <w:rFonts w:ascii="Arial" w:eastAsia="Arial" w:hAnsi="Arial" w:cs="Arial"/>
                                <w:b/>
                                <w:bCs/>
                                <w:color w:val="2A2522"/>
                                <w:spacing w:val="0"/>
                                <w:w w:val="100"/>
                                <w:position w:val="0"/>
                                <w:sz w:val="8"/>
                                <w:szCs w:val="8"/>
                              </w:rPr>
                              <w:t xml:space="preserve">P </w:t>
                            </w:r>
                            <w:r>
                              <w:rPr>
                                <w:rFonts w:ascii="Arial" w:eastAsia="Arial" w:hAnsi="Arial" w:cs="Arial"/>
                                <w:b/>
                                <w:bCs/>
                                <w:color w:val="464544"/>
                                <w:spacing w:val="0"/>
                                <w:w w:val="100"/>
                                <w:position w:val="0"/>
                                <w:sz w:val="8"/>
                                <w:szCs w:val="8"/>
                              </w:rPr>
                              <w:t xml:space="preserve">H </w:t>
                            </w:r>
                            <w:r>
                              <w:rPr>
                                <w:rFonts w:ascii="SimHei" w:eastAsia="SimHei" w:hAnsi="SimHei" w:cs="SimHei"/>
                                <w:color w:val="464544"/>
                                <w:spacing w:val="0"/>
                                <w:w w:val="100"/>
                                <w:position w:val="0"/>
                                <w:sz w:val="8"/>
                                <w:szCs w:val="8"/>
                              </w:rPr>
                              <w:t xml:space="preserve">沼 </w:t>
                            </w:r>
                            <w:r>
                              <w:rPr>
                                <w:rFonts w:ascii="Arial" w:eastAsia="Arial" w:hAnsi="Arial" w:cs="Arial"/>
                                <w:b/>
                                <w:bCs/>
                                <w:color w:val="464544"/>
                                <w:spacing w:val="0"/>
                                <w:w w:val="100"/>
                                <w:position w:val="0"/>
                                <w:sz w:val="8"/>
                                <w:szCs w:val="8"/>
                              </w:rPr>
                              <w:t>Teccont</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both"/>
                              <w:rPr>
                                <w:sz w:val="8"/>
                                <w:szCs w:val="8"/>
                              </w:rPr>
                            </w:pPr>
                            <w:r>
                              <w:rPr>
                                <w:rFonts w:ascii="Arial" w:eastAsia="Arial" w:hAnsi="Arial" w:cs="Arial"/>
                                <w:b/>
                                <w:bCs/>
                                <w:color w:val="464544"/>
                                <w:spacing w:val="0"/>
                                <w:w w:val="100"/>
                                <w:position w:val="0"/>
                                <w:sz w:val="8"/>
                                <w:szCs w:val="8"/>
                              </w:rPr>
                              <w:t>IS</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i/>
                                <w:iCs/>
                                <w:color w:val="575656"/>
                                <w:spacing w:val="0"/>
                                <w:w w:val="100"/>
                                <w:position w:val="0"/>
                                <w:sz w:val="8"/>
                                <w:szCs w:val="8"/>
                              </w:rPr>
                              <w:t>td ^nVCtvrwn</w:t>
                            </w:r>
                          </w:p>
                        </w:tc>
                      </w:tr>
                      <w:tr>
                        <w:trPr>
                          <w:trHeight w:val="139"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left"/>
                              <w:rPr>
                                <w:sz w:val="8"/>
                                <w:szCs w:val="8"/>
                              </w:rPr>
                            </w:pPr>
                            <w:r>
                              <w:rPr>
                                <w:rFonts w:ascii="Arial" w:eastAsia="Arial" w:hAnsi="Arial" w:cs="Arial"/>
                                <w:b/>
                                <w:bCs/>
                                <w:color w:val="383636"/>
                                <w:spacing w:val="0"/>
                                <w:w w:val="100"/>
                                <w:position w:val="0"/>
                                <w:sz w:val="8"/>
                                <w:szCs w:val="8"/>
                              </w:rPr>
                              <w:t xml:space="preserve">2 £ </w:t>
                            </w:r>
                            <w:r>
                              <w:rPr>
                                <w:rFonts w:ascii="Arial" w:eastAsia="Arial" w:hAnsi="Arial" w:cs="Arial"/>
                                <w:b/>
                                <w:bCs/>
                                <w:color w:val="575656"/>
                                <w:spacing w:val="0"/>
                                <w:w w:val="100"/>
                                <w:position w:val="0"/>
                                <w:sz w:val="8"/>
                                <w:szCs w:val="8"/>
                              </w:rPr>
                              <w:t>MISilt mlHoW&gt;</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both"/>
                              <w:rPr>
                                <w:sz w:val="8"/>
                                <w:szCs w:val="8"/>
                              </w:rPr>
                            </w:pPr>
                            <w:r>
                              <w:rPr>
                                <w:rFonts w:ascii="Arial" w:eastAsia="Arial" w:hAnsi="Arial" w:cs="Arial"/>
                                <w:b/>
                                <w:bCs/>
                                <w:color w:val="575656"/>
                                <w:spacing w:val="0"/>
                                <w:w w:val="100"/>
                                <w:position w:val="0"/>
                                <w:sz w:val="8"/>
                                <w:szCs w:val="8"/>
                              </w:rPr>
                              <w:t>17</w:t>
                            </w:r>
                          </w:p>
                        </w:tc>
                        <w:tc>
                          <w:tcPr>
                            <w:tcBorders/>
                            <w:shd w:val="clear" w:color="auto" w:fill="FFFFFF"/>
                            <w:vAlign w:val="top"/>
                          </w:tcPr>
                          <w:p>
                            <w:pPr>
                              <w:widowControl w:val="0"/>
                              <w:rPr>
                                <w:sz w:val="10"/>
                                <w:szCs w:val="10"/>
                              </w:rPr>
                            </w:pPr>
                          </w:p>
                        </w:tc>
                      </w:tr>
                      <w:tr>
                        <w:trPr>
                          <w:trHeight w:val="144" w:hRule="exact"/>
                        </w:trPr>
                        <w:tc>
                          <w:tcPr>
                            <w:tcBorders/>
                            <w:shd w:val="clear" w:color="auto" w:fill="FFFFFF"/>
                            <w:vAlign w:val="bottom"/>
                          </w:tcPr>
                          <w:p>
                            <w:pPr>
                              <w:pStyle w:val="Style2"/>
                              <w:keepNext w:val="0"/>
                              <w:keepLines w:val="0"/>
                              <w:widowControl w:val="0"/>
                              <w:shd w:val="clear" w:color="auto" w:fill="auto"/>
                              <w:tabs>
                                <w:tab w:pos="543" w:val="left"/>
                              </w:tabs>
                              <w:bidi w:val="0"/>
                              <w:spacing w:before="0" w:after="0" w:line="240" w:lineRule="auto"/>
                              <w:ind w:left="0" w:right="0" w:firstLine="140"/>
                              <w:jc w:val="left"/>
                              <w:rPr>
                                <w:sz w:val="8"/>
                                <w:szCs w:val="8"/>
                              </w:rPr>
                            </w:pPr>
                            <w:r>
                              <w:rPr>
                                <w:rFonts w:ascii="Arial" w:eastAsia="Arial" w:hAnsi="Arial" w:cs="Arial"/>
                                <w:b/>
                                <w:bCs/>
                                <w:color w:val="575656"/>
                                <w:spacing w:val="0"/>
                                <w:w w:val="100"/>
                                <w:position w:val="0"/>
                                <w:sz w:val="8"/>
                                <w:szCs w:val="8"/>
                              </w:rPr>
                              <w:t xml:space="preserve">3 </w:t>
                            </w:r>
                            <w:r>
                              <w:rPr>
                                <w:rFonts w:ascii="SimHei" w:eastAsia="SimHei" w:hAnsi="SimHei" w:cs="SimHei"/>
                                <w:color w:val="383636"/>
                                <w:spacing w:val="0"/>
                                <w:w w:val="100"/>
                                <w:position w:val="0"/>
                                <w:sz w:val="8"/>
                                <w:szCs w:val="8"/>
                              </w:rPr>
                              <w:t>普</w:t>
                              <w:tab/>
                            </w:r>
                            <w:r>
                              <w:rPr>
                                <w:rFonts w:ascii="Arial" w:eastAsia="Arial" w:hAnsi="Arial" w:cs="Arial"/>
                                <w:b/>
                                <w:bCs/>
                                <w:color w:val="575656"/>
                                <w:spacing w:val="0"/>
                                <w:w w:val="100"/>
                                <w:position w:val="0"/>
                                <w:sz w:val="8"/>
                                <w:szCs w:val="8"/>
                              </w:rPr>
                              <w:t>NelE«M</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both"/>
                              <w:rPr>
                                <w:sz w:val="8"/>
                                <w:szCs w:val="8"/>
                              </w:rPr>
                            </w:pPr>
                            <w:r>
                              <w:rPr>
                                <w:rFonts w:ascii="Arial" w:eastAsia="Arial" w:hAnsi="Arial" w:cs="Arial"/>
                                <w:b/>
                                <w:bCs/>
                                <w:color w:val="464544"/>
                                <w:spacing w:val="0"/>
                                <w:w w:val="100"/>
                                <w:position w:val="0"/>
                                <w:sz w:val="8"/>
                                <w:szCs w:val="8"/>
                              </w:rPr>
                              <w:t>It</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8"/>
                                <w:szCs w:val="8"/>
                              </w:rPr>
                            </w:pPr>
                            <w:r>
                              <w:rPr>
                                <w:rFonts w:ascii="SimHei" w:eastAsia="SimHei" w:hAnsi="SimHei" w:cs="SimHei"/>
                                <w:color w:val="383636"/>
                                <w:spacing w:val="0"/>
                                <w:w w:val="100"/>
                                <w:position w:val="0"/>
                                <w:sz w:val="8"/>
                                <w:szCs w:val="8"/>
                              </w:rPr>
                              <w:t xml:space="preserve">企 </w:t>
                            </w:r>
                            <w:r>
                              <w:rPr>
                                <w:rFonts w:ascii="Arial" w:eastAsia="Arial" w:hAnsi="Arial" w:cs="Arial"/>
                                <w:b/>
                                <w:bCs/>
                                <w:color w:val="575656"/>
                                <w:spacing w:val="0"/>
                                <w:w w:val="100"/>
                                <w:position w:val="0"/>
                                <w:sz w:val="8"/>
                                <w:szCs w:val="8"/>
                              </w:rPr>
                              <w:t>iMBMUMocm</w:t>
                            </w:r>
                          </w:p>
                        </w:tc>
                      </w:tr>
                      <w:tr>
                        <w:trPr>
                          <w:trHeight w:val="139"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left"/>
                              <w:rPr>
                                <w:sz w:val="8"/>
                                <w:szCs w:val="8"/>
                              </w:rPr>
                            </w:pPr>
                            <w:r>
                              <w:rPr>
                                <w:rFonts w:ascii="Arial" w:eastAsia="Arial" w:hAnsi="Arial" w:cs="Arial"/>
                                <w:b/>
                                <w:bCs/>
                                <w:color w:val="383636"/>
                                <w:spacing w:val="0"/>
                                <w:w w:val="100"/>
                                <w:position w:val="0"/>
                                <w:sz w:val="8"/>
                                <w:szCs w:val="8"/>
                              </w:rPr>
                              <w:t xml:space="preserve">4 </w:t>
                            </w:r>
                            <w:r>
                              <w:rPr>
                                <w:rFonts w:ascii="Arial" w:eastAsia="Arial" w:hAnsi="Arial" w:cs="Arial"/>
                                <w:b/>
                                <w:bCs/>
                                <w:color w:val="725034"/>
                                <w:spacing w:val="0"/>
                                <w:w w:val="100"/>
                                <w:position w:val="0"/>
                                <w:sz w:val="8"/>
                                <w:szCs w:val="8"/>
                              </w:rPr>
                              <w:t xml:space="preserve">X </w:t>
                            </w:r>
                            <w:r>
                              <w:rPr>
                                <w:rFonts w:ascii="Arial" w:eastAsia="Arial" w:hAnsi="Arial" w:cs="Arial"/>
                                <w:b/>
                                <w:bCs/>
                                <w:color w:val="575656"/>
                                <w:spacing w:val="0"/>
                                <w:w w:val="100"/>
                                <w:position w:val="0"/>
                                <w:sz w:val="8"/>
                                <w:szCs w:val="8"/>
                              </w:rPr>
                              <w:t>RW8 LIIBiaainM</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both"/>
                              <w:rPr>
                                <w:sz w:val="8"/>
                                <w:szCs w:val="8"/>
                              </w:rPr>
                            </w:pPr>
                            <w:r>
                              <w:rPr>
                                <w:rFonts w:ascii="Arial" w:eastAsia="Arial" w:hAnsi="Arial" w:cs="Arial"/>
                                <w:b/>
                                <w:bCs/>
                                <w:color w:val="464544"/>
                                <w:spacing w:val="0"/>
                                <w:w w:val="100"/>
                                <w:position w:val="0"/>
                                <w:sz w:val="8"/>
                                <w:szCs w:val="8"/>
                              </w:rPr>
                              <w:t>1»</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575656"/>
                                <w:spacing w:val="0"/>
                                <w:w w:val="100"/>
                                <w:position w:val="0"/>
                                <w:sz w:val="8"/>
                                <w:szCs w:val="8"/>
                              </w:rPr>
                              <w:t>•y Sue* HKipy E&gt;«TMHil3</w:t>
                            </w:r>
                          </w:p>
                        </w:tc>
                      </w:tr>
                      <w:tr>
                        <w:trPr>
                          <w:trHeight w:val="139"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left"/>
                              <w:rPr>
                                <w:sz w:val="8"/>
                                <w:szCs w:val="8"/>
                              </w:rPr>
                            </w:pPr>
                            <w:r>
                              <w:rPr>
                                <w:rFonts w:ascii="Arial" w:eastAsia="Arial" w:hAnsi="Arial" w:cs="Arial"/>
                                <w:b/>
                                <w:bCs/>
                                <w:color w:val="53442C"/>
                                <w:spacing w:val="0"/>
                                <w:w w:val="100"/>
                                <w:position w:val="0"/>
                                <w:sz w:val="8"/>
                                <w:szCs w:val="8"/>
                              </w:rPr>
                              <w:t xml:space="preserve">S </w:t>
                            </w:r>
                            <w:r>
                              <w:rPr>
                                <w:rFonts w:ascii="Arial" w:eastAsia="Arial" w:hAnsi="Arial" w:cs="Arial"/>
                                <w:b/>
                                <w:bCs/>
                                <w:color w:val="53442C"/>
                                <w:spacing w:val="0"/>
                                <w:w w:val="100"/>
                                <w:position w:val="0"/>
                                <w:sz w:val="8"/>
                                <w:szCs w:val="8"/>
                              </w:rPr>
                              <w:t xml:space="preserve">% </w:t>
                            </w:r>
                            <w:r>
                              <w:rPr>
                                <w:rFonts w:ascii="Arial" w:eastAsia="Arial" w:hAnsi="Arial" w:cs="Arial"/>
                                <w:b/>
                                <w:bCs/>
                                <w:color w:val="53442C"/>
                                <w:spacing w:val="0"/>
                                <w:w w:val="100"/>
                                <w:position w:val="0"/>
                                <w:sz w:val="8"/>
                                <w:szCs w:val="8"/>
                              </w:rPr>
                              <w:t>«SFuiPb»</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both"/>
                              <w:rPr>
                                <w:sz w:val="8"/>
                                <w:szCs w:val="8"/>
                              </w:rPr>
                            </w:pPr>
                            <w:r>
                              <w:rPr>
                                <w:rFonts w:ascii="Arial" w:eastAsia="Arial" w:hAnsi="Arial" w:cs="Arial"/>
                                <w:b/>
                                <w:bCs/>
                                <w:color w:val="464544"/>
                                <w:spacing w:val="0"/>
                                <w:w w:val="100"/>
                                <w:position w:val="0"/>
                                <w:sz w:val="8"/>
                                <w:szCs w:val="8"/>
                              </w:rPr>
                              <w:t>20</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797777"/>
                                <w:spacing w:val="0"/>
                                <w:w w:val="100"/>
                                <w:position w:val="0"/>
                                <w:sz w:val="8"/>
                                <w:szCs w:val="8"/>
                              </w:rPr>
                              <w:t xml:space="preserve">gfc </w:t>
                            </w:r>
                            <w:r>
                              <w:rPr>
                                <w:rFonts w:ascii="Arial" w:eastAsia="Arial" w:hAnsi="Arial" w:cs="Arial"/>
                                <w:b/>
                                <w:bCs/>
                                <w:color w:val="575656"/>
                                <w:spacing w:val="0"/>
                                <w:w w:val="100"/>
                                <w:position w:val="0"/>
                                <w:sz w:val="8"/>
                                <w:szCs w:val="8"/>
                              </w:rPr>
                              <w:t>ttSfltH Fi&gt;scrah</w:t>
                            </w:r>
                          </w:p>
                        </w:tc>
                      </w:tr>
                      <w:tr>
                        <w:trPr>
                          <w:trHeight w:val="139"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left"/>
                              <w:rPr>
                                <w:sz w:val="8"/>
                                <w:szCs w:val="8"/>
                              </w:rPr>
                            </w:pPr>
                            <w:r>
                              <w:rPr>
                                <w:rFonts w:ascii="Arial" w:eastAsia="Arial" w:hAnsi="Arial" w:cs="Arial"/>
                                <w:b/>
                                <w:bCs/>
                                <w:i/>
                                <w:iCs/>
                                <w:color w:val="383636"/>
                                <w:spacing w:val="0"/>
                                <w:w w:val="100"/>
                                <w:position w:val="0"/>
                                <w:sz w:val="8"/>
                                <w:szCs w:val="8"/>
                              </w:rPr>
                              <w:t>t,</w:t>
                            </w:r>
                            <w:r>
                              <w:rPr>
                                <w:rFonts w:ascii="Arial" w:eastAsia="Arial" w:hAnsi="Arial" w:cs="Arial"/>
                                <w:b/>
                                <w:bCs/>
                                <w:color w:val="383636"/>
                                <w:spacing w:val="0"/>
                                <w:w w:val="100"/>
                                <w:position w:val="0"/>
                                <w:sz w:val="8"/>
                                <w:szCs w:val="8"/>
                              </w:rPr>
                              <w:t xml:space="preserve"> Q </w:t>
                            </w:r>
                            <w:r>
                              <w:rPr>
                                <w:rFonts w:ascii="Arial" w:eastAsia="Arial" w:hAnsi="Arial" w:cs="Arial"/>
                                <w:b/>
                                <w:bCs/>
                                <w:color w:val="6B6768"/>
                                <w:spacing w:val="0"/>
                                <w:w w:val="100"/>
                                <w:position w:val="0"/>
                                <w:sz w:val="8"/>
                                <w:szCs w:val="8"/>
                              </w:rPr>
                              <w:t>MW3JMLIng«IO»ni»»</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both"/>
                              <w:rPr>
                                <w:sz w:val="8"/>
                                <w:szCs w:val="8"/>
                              </w:rPr>
                            </w:pPr>
                            <w:r>
                              <w:rPr>
                                <w:rFonts w:ascii="Arial" w:eastAsia="Arial" w:hAnsi="Arial" w:cs="Arial"/>
                                <w:b/>
                                <w:bCs/>
                                <w:color w:val="464544"/>
                                <w:spacing w:val="0"/>
                                <w:w w:val="100"/>
                                <w:position w:val="0"/>
                                <w:sz w:val="8"/>
                                <w:szCs w:val="8"/>
                              </w:rPr>
                              <w:t>ai</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60"/>
                              <w:jc w:val="both"/>
                              <w:rPr>
                                <w:sz w:val="8"/>
                                <w:szCs w:val="8"/>
                              </w:rPr>
                            </w:pPr>
                            <w:r>
                              <w:rPr>
                                <w:rFonts w:ascii="Arial" w:eastAsia="Arial" w:hAnsi="Arial" w:cs="Arial"/>
                                <w:b/>
                                <w:bCs/>
                                <w:color w:val="575656"/>
                                <w:spacing w:val="0"/>
                                <w:w w:val="100"/>
                                <w:position w:val="0"/>
                                <w:sz w:val="8"/>
                                <w:szCs w:val="8"/>
                              </w:rPr>
                              <w:t>RttUft Frt«rxm«»»</w:t>
                            </w:r>
                          </w:p>
                        </w:tc>
                      </w:tr>
                      <w:tr>
                        <w:trPr>
                          <w:trHeight w:val="139"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left"/>
                              <w:rPr>
                                <w:sz w:val="8"/>
                                <w:szCs w:val="8"/>
                              </w:rPr>
                            </w:pPr>
                            <w:r>
                              <w:rPr>
                                <w:rFonts w:ascii="Arial" w:eastAsia="Arial" w:hAnsi="Arial" w:cs="Arial"/>
                                <w:b/>
                                <w:bCs/>
                                <w:color w:val="383636"/>
                                <w:spacing w:val="0"/>
                                <w:w w:val="100"/>
                                <w:position w:val="0"/>
                                <w:sz w:val="8"/>
                                <w:szCs w:val="8"/>
                              </w:rPr>
                              <w:t xml:space="preserve">7 © </w:t>
                            </w:r>
                            <w:r>
                              <w:rPr>
                                <w:rFonts w:ascii="Arial" w:eastAsia="Arial" w:hAnsi="Arial" w:cs="Arial"/>
                                <w:b/>
                                <w:bCs/>
                                <w:color w:val="575656"/>
                                <w:spacing w:val="0"/>
                                <w:w w:val="100"/>
                                <w:position w:val="0"/>
                                <w:sz w:val="8"/>
                                <w:szCs w:val="8"/>
                              </w:rPr>
                              <w:t>=tEM37G«n«l</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both"/>
                              <w:rPr>
                                <w:sz w:val="8"/>
                                <w:szCs w:val="8"/>
                              </w:rPr>
                            </w:pPr>
                            <w:r>
                              <w:rPr>
                                <w:rFonts w:ascii="Arial" w:eastAsia="Arial" w:hAnsi="Arial" w:cs="Arial"/>
                                <w:b/>
                                <w:bCs/>
                                <w:i/>
                                <w:iCs/>
                                <w:color w:val="383636"/>
                                <w:spacing w:val="0"/>
                                <w:w w:val="100"/>
                                <w:position w:val="0"/>
                                <w:sz w:val="8"/>
                                <w:szCs w:val="8"/>
                              </w:rPr>
                              <w:t>22</w:t>
                            </w:r>
                          </w:p>
                        </w:tc>
                        <w:tc>
                          <w:tcPr>
                            <w:tcBorders/>
                            <w:shd w:val="clear" w:color="auto" w:fill="FFFFFF"/>
                            <w:vAlign w:val="bottom"/>
                          </w:tcPr>
                          <w:p>
                            <w:pPr>
                              <w:pStyle w:val="Style2"/>
                              <w:keepNext w:val="0"/>
                              <w:keepLines w:val="0"/>
                              <w:widowControl w:val="0"/>
                              <w:shd w:val="clear" w:color="auto" w:fill="auto"/>
                              <w:tabs>
                                <w:tab w:pos="413" w:val="left"/>
                              </w:tabs>
                              <w:bidi w:val="0"/>
                              <w:spacing w:before="0" w:after="0" w:line="240" w:lineRule="auto"/>
                              <w:ind w:left="0" w:right="0" w:firstLine="0"/>
                              <w:jc w:val="left"/>
                              <w:rPr>
                                <w:sz w:val="8"/>
                                <w:szCs w:val="8"/>
                              </w:rPr>
                            </w:pPr>
                            <w:r>
                              <w:rPr>
                                <w:b/>
                                <w:bCs/>
                                <w:i/>
                                <w:iCs/>
                                <w:color w:val="5A2C19"/>
                                <w:spacing w:val="0"/>
                                <w:w w:val="100"/>
                                <w:position w:val="0"/>
                                <w:sz w:val="9"/>
                                <w:szCs w:val="9"/>
                              </w:rPr>
                              <w:t>陷</w:t>
                            </w:r>
                            <w:r>
                              <w:rPr>
                                <w:rFonts w:ascii="Arial" w:eastAsia="Arial" w:hAnsi="Arial" w:cs="Arial"/>
                                <w:b/>
                                <w:bCs/>
                                <w:color w:val="5A2C19"/>
                                <w:spacing w:val="0"/>
                                <w:w w:val="100"/>
                                <w:position w:val="0"/>
                                <w:sz w:val="8"/>
                                <w:szCs w:val="8"/>
                              </w:rPr>
                              <w:tab/>
                            </w:r>
                            <w:r>
                              <w:rPr>
                                <w:rFonts w:ascii="Arial" w:eastAsia="Arial" w:hAnsi="Arial" w:cs="Arial"/>
                                <w:b/>
                                <w:bCs/>
                                <w:color w:val="575656"/>
                                <w:spacing w:val="0"/>
                                <w:w w:val="100"/>
                                <w:position w:val="0"/>
                                <w:sz w:val="8"/>
                                <w:szCs w:val="8"/>
                              </w:rPr>
                              <w:t>bating</w:t>
                            </w:r>
                          </w:p>
                        </w:tc>
                      </w:tr>
                      <w:tr>
                        <w:trPr>
                          <w:trHeight w:val="139"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left"/>
                              <w:rPr>
                                <w:sz w:val="8"/>
                                <w:szCs w:val="8"/>
                              </w:rPr>
                            </w:pPr>
                            <w:r>
                              <w:rPr>
                                <w:rFonts w:ascii="Arial" w:eastAsia="Arial" w:hAnsi="Arial" w:cs="Arial"/>
                                <w:b/>
                                <w:bCs/>
                                <w:color w:val="464544"/>
                                <w:spacing w:val="0"/>
                                <w:w w:val="100"/>
                                <w:position w:val="0"/>
                                <w:sz w:val="8"/>
                                <w:szCs w:val="8"/>
                              </w:rPr>
                              <w:t>8</w:t>
                            </w:r>
                            <w:r>
                              <w:rPr>
                                <w:rFonts w:ascii="SimHei" w:eastAsia="SimHei" w:hAnsi="SimHei" w:cs="SimHei"/>
                                <w:color w:val="464544"/>
                                <w:spacing w:val="0"/>
                                <w:w w:val="100"/>
                                <w:position w:val="0"/>
                                <w:sz w:val="8"/>
                                <w:szCs w:val="8"/>
                              </w:rPr>
                              <w:t>濯天</w:t>
                            </w:r>
                          </w:p>
                        </w:tc>
                        <w:tc>
                          <w:tcPr>
                            <w:tcBorders/>
                            <w:shd w:val="clear" w:color="auto" w:fill="E9E8E5"/>
                            <w:vAlign w:val="bottom"/>
                          </w:tcPr>
                          <w:p>
                            <w:pPr>
                              <w:pStyle w:val="Style2"/>
                              <w:keepNext w:val="0"/>
                              <w:keepLines w:val="0"/>
                              <w:widowControl w:val="0"/>
                              <w:shd w:val="clear" w:color="auto" w:fill="auto"/>
                              <w:bidi w:val="0"/>
                              <w:spacing w:before="0" w:after="0" w:line="240" w:lineRule="auto"/>
                              <w:ind w:left="0" w:right="0" w:firstLine="140"/>
                              <w:jc w:val="both"/>
                              <w:rPr>
                                <w:sz w:val="8"/>
                                <w:szCs w:val="8"/>
                              </w:rPr>
                            </w:pPr>
                            <w:r>
                              <w:rPr>
                                <w:rFonts w:ascii="Arial" w:eastAsia="Arial" w:hAnsi="Arial" w:cs="Arial"/>
                                <w:b/>
                                <w:bCs/>
                                <w:i/>
                                <w:iCs/>
                                <w:color w:val="383636"/>
                                <w:spacing w:val="0"/>
                                <w:w w:val="100"/>
                                <w:position w:val="0"/>
                                <w:sz w:val="8"/>
                                <w:szCs w:val="8"/>
                              </w:rPr>
                              <w:t>23</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8"/>
                                <w:szCs w:val="8"/>
                              </w:rPr>
                            </w:pPr>
                            <w:r>
                              <w:rPr>
                                <w:rFonts w:ascii="SimHei" w:eastAsia="SimHei" w:hAnsi="SimHei" w:cs="SimHei"/>
                                <w:color w:val="575656"/>
                                <w:spacing w:val="0"/>
                                <w:w w:val="100"/>
                                <w:position w:val="0"/>
                                <w:sz w:val="8"/>
                                <w:szCs w:val="8"/>
                              </w:rPr>
                              <w:t xml:space="preserve">声 </w:t>
                            </w:r>
                            <w:r>
                              <w:rPr>
                                <w:rFonts w:ascii="Arial" w:eastAsia="Arial" w:hAnsi="Arial" w:cs="Arial"/>
                                <w:b/>
                                <w:bCs/>
                                <w:color w:val="575656"/>
                                <w:spacing w:val="0"/>
                                <w:w w:val="100"/>
                                <w:position w:val="0"/>
                                <w:sz w:val="8"/>
                                <w:szCs w:val="8"/>
                              </w:rPr>
                              <w:t>$MNISDu&lt;M</w:t>
                            </w:r>
                          </w:p>
                        </w:tc>
                      </w:tr>
                      <w:tr>
                        <w:trPr>
                          <w:trHeight w:val="144"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left"/>
                              <w:rPr>
                                <w:sz w:val="8"/>
                                <w:szCs w:val="8"/>
                              </w:rPr>
                            </w:pPr>
                            <w:r>
                              <w:rPr>
                                <w:rFonts w:ascii="Arial" w:eastAsia="Arial" w:hAnsi="Arial" w:cs="Arial"/>
                                <w:b/>
                                <w:bCs/>
                                <w:color w:val="383636"/>
                                <w:spacing w:val="0"/>
                                <w:w w:val="100"/>
                                <w:position w:val="0"/>
                                <w:sz w:val="8"/>
                                <w:szCs w:val="8"/>
                              </w:rPr>
                              <w:t xml:space="preserve">4 O </w:t>
                            </w:r>
                            <w:r>
                              <w:rPr>
                                <w:rFonts w:ascii="Arial" w:eastAsia="Arial" w:hAnsi="Arial" w:cs="Arial"/>
                                <w:b/>
                                <w:bCs/>
                                <w:color w:val="575656"/>
                                <w:spacing w:val="0"/>
                                <w:w w:val="100"/>
                                <w:position w:val="0"/>
                                <w:sz w:val="8"/>
                                <w:szCs w:val="8"/>
                              </w:rPr>
                              <w:t>tteiRttLong Iteh</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both"/>
                              <w:rPr>
                                <w:sz w:val="8"/>
                                <w:szCs w:val="8"/>
                              </w:rPr>
                            </w:pPr>
                            <w:r>
                              <w:rPr>
                                <w:rFonts w:ascii="Arial" w:eastAsia="Arial" w:hAnsi="Arial" w:cs="Arial"/>
                                <w:b/>
                                <w:bCs/>
                                <w:color w:val="383636"/>
                                <w:spacing w:val="0"/>
                                <w:w w:val="100"/>
                                <w:position w:val="0"/>
                                <w:sz w:val="8"/>
                                <w:szCs w:val="8"/>
                              </w:rPr>
                              <w:t>24</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575656"/>
                                <w:spacing w:val="0"/>
                                <w:w w:val="100"/>
                                <w:position w:val="0"/>
                                <w:sz w:val="8"/>
                                <w:szCs w:val="8"/>
                              </w:rPr>
                              <w:t>C DtimMZ&gt;ongaima&gt;</w:t>
                            </w:r>
                          </w:p>
                        </w:tc>
                      </w:tr>
                      <w:tr>
                        <w:trPr>
                          <w:trHeight w:val="139" w:hRule="exact"/>
                        </w:trPr>
                        <w:tc>
                          <w:tcPr>
                            <w:tcBorders/>
                            <w:shd w:val="clear" w:color="auto" w:fill="FFFFFF"/>
                            <w:vAlign w:val="bottom"/>
                          </w:tcPr>
                          <w:p>
                            <w:pPr>
                              <w:pStyle w:val="Style2"/>
                              <w:keepNext w:val="0"/>
                              <w:keepLines w:val="0"/>
                              <w:widowControl w:val="0"/>
                              <w:shd w:val="clear" w:color="auto" w:fill="auto"/>
                              <w:tabs>
                                <w:tab w:pos="812" w:val="left"/>
                              </w:tabs>
                              <w:bidi w:val="0"/>
                              <w:spacing w:before="0" w:after="0" w:line="240" w:lineRule="auto"/>
                              <w:ind w:left="0" w:right="0" w:firstLine="140"/>
                              <w:jc w:val="left"/>
                              <w:rPr>
                                <w:sz w:val="8"/>
                                <w:szCs w:val="8"/>
                              </w:rPr>
                            </w:pPr>
                            <w:r>
                              <w:rPr>
                                <w:rFonts w:ascii="Arial" w:eastAsia="Arial" w:hAnsi="Arial" w:cs="Arial"/>
                                <w:b/>
                                <w:bCs/>
                                <w:color w:val="383636"/>
                                <w:spacing w:val="0"/>
                                <w:w w:val="100"/>
                                <w:position w:val="0"/>
                                <w:sz w:val="8"/>
                                <w:szCs w:val="8"/>
                                <w:vertAlign w:val="subscript"/>
                              </w:rPr>
                              <w:t>l0</w:t>
                            </w:r>
                            <w:r>
                              <w:rPr>
                                <w:rFonts w:ascii="Arial" w:eastAsia="Arial" w:hAnsi="Arial" w:cs="Arial"/>
                                <w:b/>
                                <w:bCs/>
                                <w:color w:val="383636"/>
                                <w:spacing w:val="0"/>
                                <w:w w:val="100"/>
                                <w:position w:val="0"/>
                                <w:sz w:val="8"/>
                                <w:szCs w:val="8"/>
                              </w:rPr>
                              <w:t xml:space="preserve"> 4B </w:t>
                            </w:r>
                            <w:r>
                              <w:rPr>
                                <w:rFonts w:ascii="SimHei" w:eastAsia="SimHei" w:hAnsi="SimHei" w:cs="SimHei"/>
                                <w:color w:val="383636"/>
                                <w:spacing w:val="0"/>
                                <w:w w:val="100"/>
                                <w:position w:val="0"/>
                                <w:sz w:val="8"/>
                                <w:szCs w:val="8"/>
                              </w:rPr>
                              <w:t>惠</w:t>
                            </w:r>
                            <w:r>
                              <w:rPr>
                                <w:rFonts w:ascii="Arial" w:eastAsia="Arial" w:hAnsi="Arial" w:cs="Arial"/>
                                <w:b/>
                                <w:bCs/>
                                <w:color w:val="575656"/>
                                <w:spacing w:val="0"/>
                                <w:w w:val="100"/>
                                <w:position w:val="0"/>
                                <w:sz w:val="8"/>
                                <w:szCs w:val="8"/>
                              </w:rPr>
                              <w:t>HUbl</w:t>
                              <w:tab/>
                              <w:t>Gaires</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both"/>
                              <w:rPr>
                                <w:sz w:val="8"/>
                                <w:szCs w:val="8"/>
                              </w:rPr>
                            </w:pPr>
                            <w:r>
                              <w:rPr>
                                <w:rFonts w:ascii="Arial" w:eastAsia="Arial" w:hAnsi="Arial" w:cs="Arial"/>
                                <w:b/>
                                <w:bCs/>
                                <w:color w:val="383636"/>
                                <w:spacing w:val="0"/>
                                <w:w w:val="100"/>
                                <w:position w:val="0"/>
                                <w:sz w:val="8"/>
                                <w:szCs w:val="8"/>
                              </w:rPr>
                              <w:t>2S</w:t>
                            </w:r>
                          </w:p>
                        </w:tc>
                        <w:tc>
                          <w:tcPr>
                            <w:tcBorders/>
                            <w:shd w:val="clear" w:color="auto" w:fill="FFFFFF"/>
                            <w:vAlign w:val="bottom"/>
                          </w:tcPr>
                          <w:p>
                            <w:pPr>
                              <w:pStyle w:val="Style2"/>
                              <w:keepNext w:val="0"/>
                              <w:keepLines w:val="0"/>
                              <w:widowControl w:val="0"/>
                              <w:shd w:val="clear" w:color="auto" w:fill="auto"/>
                              <w:tabs>
                                <w:tab w:pos="408" w:val="left"/>
                              </w:tabs>
                              <w:bidi w:val="0"/>
                              <w:spacing w:before="0" w:after="0" w:line="240" w:lineRule="auto"/>
                              <w:ind w:left="0" w:right="0" w:firstLine="0"/>
                              <w:jc w:val="left"/>
                              <w:rPr>
                                <w:sz w:val="8"/>
                                <w:szCs w:val="8"/>
                              </w:rPr>
                            </w:pPr>
                            <w:r>
                              <w:rPr>
                                <w:rFonts w:ascii="SimHei" w:eastAsia="SimHei" w:hAnsi="SimHei" w:cs="SimHei"/>
                                <w:color w:val="833A39"/>
                                <w:spacing w:val="0"/>
                                <w:w w:val="100"/>
                                <w:position w:val="0"/>
                                <w:sz w:val="8"/>
                                <w:szCs w:val="8"/>
                              </w:rPr>
                              <w:t>同</w:t>
                              <w:tab/>
                            </w:r>
                            <w:r>
                              <w:rPr>
                                <w:rFonts w:ascii="Arial" w:eastAsia="Arial" w:hAnsi="Arial" w:cs="Arial"/>
                                <w:b/>
                                <w:bCs/>
                                <w:color w:val="575656"/>
                                <w:spacing w:val="0"/>
                                <w:w w:val="100"/>
                                <w:position w:val="0"/>
                                <w:sz w:val="8"/>
                                <w:szCs w:val="8"/>
                              </w:rPr>
                              <w:t>XO.Gk&gt;M</w:t>
                            </w:r>
                          </w:p>
                        </w:tc>
                      </w:tr>
                      <w:tr>
                        <w:trPr>
                          <w:trHeight w:val="139" w:hRule="exact"/>
                        </w:trPr>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left"/>
                              <w:rPr>
                                <w:sz w:val="8"/>
                                <w:szCs w:val="8"/>
                              </w:rPr>
                            </w:pPr>
                            <w:r>
                              <w:rPr>
                                <w:rFonts w:ascii="Arial" w:eastAsia="Arial" w:hAnsi="Arial" w:cs="Arial"/>
                                <w:b/>
                                <w:bCs/>
                                <w:color w:val="383636"/>
                                <w:spacing w:val="0"/>
                                <w:w w:val="100"/>
                                <w:position w:val="0"/>
                                <w:sz w:val="8"/>
                                <w:szCs w:val="8"/>
                              </w:rPr>
                              <w:t xml:space="preserve">11 </w:t>
                            </w:r>
                            <w:r>
                              <w:rPr>
                                <w:rFonts w:ascii="Arial" w:eastAsia="Arial" w:hAnsi="Arial" w:cs="Arial"/>
                                <w:b/>
                                <w:bCs/>
                                <w:color w:val="6B6768"/>
                                <w:spacing w:val="0"/>
                                <w:w w:val="100"/>
                                <w:position w:val="0"/>
                                <w:sz w:val="8"/>
                                <w:szCs w:val="8"/>
                              </w:rPr>
                              <w:t>M</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both"/>
                              <w:rPr>
                                <w:sz w:val="8"/>
                                <w:szCs w:val="8"/>
                              </w:rPr>
                            </w:pPr>
                            <w:r>
                              <w:rPr>
                                <w:rFonts w:ascii="Arial" w:eastAsia="Arial" w:hAnsi="Arial" w:cs="Arial"/>
                                <w:b/>
                                <w:bCs/>
                                <w:color w:val="383636"/>
                                <w:spacing w:val="0"/>
                                <w:w w:val="100"/>
                                <w:position w:val="0"/>
                                <w:sz w:val="8"/>
                                <w:szCs w:val="8"/>
                              </w:rPr>
                              <w:t>M</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i/>
                                <w:iCs/>
                                <w:color w:val="464544"/>
                                <w:spacing w:val="0"/>
                                <w:w w:val="100"/>
                                <w:position w:val="0"/>
                                <w:sz w:val="8"/>
                                <w:szCs w:val="8"/>
                              </w:rPr>
                              <w:t>fit</w:t>
                            </w:r>
                            <w:r>
                              <w:rPr>
                                <w:rFonts w:ascii="Arial" w:eastAsia="Arial" w:hAnsi="Arial" w:cs="Arial"/>
                                <w:b/>
                                <w:bCs/>
                                <w:color w:val="464544"/>
                                <w:spacing w:val="0"/>
                                <w:w w:val="100"/>
                                <w:position w:val="0"/>
                                <w:sz w:val="8"/>
                                <w:szCs w:val="8"/>
                              </w:rPr>
                              <w:t xml:space="preserve"> </w:t>
                            </w:r>
                            <w:r>
                              <w:rPr>
                                <w:rFonts w:ascii="Arial" w:eastAsia="Arial" w:hAnsi="Arial" w:cs="Arial"/>
                                <w:b/>
                                <w:bCs/>
                                <w:color w:val="6B6768"/>
                                <w:spacing w:val="0"/>
                                <w:w w:val="100"/>
                                <w:position w:val="0"/>
                                <w:sz w:val="8"/>
                                <w:szCs w:val="8"/>
                              </w:rPr>
                              <w:t>CMS</w:t>
                            </w:r>
                            <w:r>
                              <w:rPr>
                                <w:rFonts w:ascii="SimHei" w:eastAsia="SimHei" w:hAnsi="SimHei" w:cs="SimHei"/>
                                <w:color w:val="464544"/>
                                <w:spacing w:val="0"/>
                                <w:w w:val="100"/>
                                <w:position w:val="0"/>
                                <w:sz w:val="8"/>
                                <w:szCs w:val="8"/>
                              </w:rPr>
                              <w:t xml:space="preserve">典 </w:t>
                            </w:r>
                            <w:r>
                              <w:rPr>
                                <w:rFonts w:ascii="Arial" w:eastAsia="Arial" w:hAnsi="Arial" w:cs="Arial"/>
                                <w:b/>
                                <w:bCs/>
                                <w:color w:val="464544"/>
                                <w:spacing w:val="0"/>
                                <w:w w:val="100"/>
                                <w:position w:val="0"/>
                                <w:sz w:val="8"/>
                                <w:szCs w:val="8"/>
                              </w:rPr>
                              <w:t xml:space="preserve">CHUANG </w:t>
                            </w:r>
                            <w:r>
                              <w:rPr>
                                <w:rFonts w:ascii="Arial" w:eastAsia="Arial" w:hAnsi="Arial" w:cs="Arial"/>
                                <w:b/>
                                <w:bCs/>
                                <w:color w:val="6B6768"/>
                                <w:spacing w:val="0"/>
                                <w:w w:val="100"/>
                                <w:position w:val="0"/>
                                <w:sz w:val="8"/>
                                <w:szCs w:val="8"/>
                              </w:rPr>
                              <w:t>801</w:t>
                            </w:r>
                          </w:p>
                        </w:tc>
                      </w:tr>
                      <w:tr>
                        <w:trPr>
                          <w:trHeight w:val="139" w:hRule="exact"/>
                        </w:trPr>
                        <w:tc>
                          <w:tcPr>
                            <w:tcBorders/>
                            <w:shd w:val="clear" w:color="auto" w:fill="FFFFFF"/>
                            <w:vAlign w:val="bottom"/>
                          </w:tcPr>
                          <w:p>
                            <w:pPr>
                              <w:pStyle w:val="Style2"/>
                              <w:keepNext w:val="0"/>
                              <w:keepLines w:val="0"/>
                              <w:widowControl w:val="0"/>
                              <w:shd w:val="clear" w:color="auto" w:fill="auto"/>
                              <w:tabs>
                                <w:tab w:pos="682" w:val="left"/>
                              </w:tabs>
                              <w:bidi w:val="0"/>
                              <w:spacing w:before="0" w:after="0" w:line="240" w:lineRule="auto"/>
                              <w:ind w:left="0" w:right="0" w:firstLine="140"/>
                              <w:jc w:val="left"/>
                              <w:rPr>
                                <w:sz w:val="8"/>
                                <w:szCs w:val="8"/>
                              </w:rPr>
                            </w:pPr>
                            <w:r>
                              <w:rPr>
                                <w:rFonts w:ascii="Arial" w:eastAsia="Arial" w:hAnsi="Arial" w:cs="Arial"/>
                                <w:b/>
                                <w:bCs/>
                                <w:color w:val="464544"/>
                                <w:spacing w:val="0"/>
                                <w:w w:val="100"/>
                                <w:position w:val="0"/>
                                <w:sz w:val="8"/>
                                <w:szCs w:val="8"/>
                              </w:rPr>
                              <w:t>12</w:t>
                              <w:tab/>
                              <w:t>YOOZOO</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140"/>
                              <w:jc w:val="both"/>
                              <w:rPr>
                                <w:sz w:val="8"/>
                                <w:szCs w:val="8"/>
                              </w:rPr>
                            </w:pPr>
                            <w:r>
                              <w:rPr>
                                <w:rFonts w:ascii="Arial" w:eastAsia="Arial" w:hAnsi="Arial" w:cs="Arial"/>
                                <w:b/>
                                <w:bCs/>
                                <w:color w:val="383636"/>
                                <w:spacing w:val="0"/>
                                <w:w w:val="100"/>
                                <w:position w:val="0"/>
                                <w:sz w:val="8"/>
                                <w:szCs w:val="8"/>
                              </w:rPr>
                              <w:t>27</w:t>
                            </w:r>
                          </w:p>
                        </w:tc>
                        <w:tc>
                          <w:tcPr>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8"/>
                                <w:szCs w:val="8"/>
                              </w:rPr>
                            </w:pPr>
                            <w:r>
                              <w:rPr>
                                <w:rFonts w:ascii="SimHei" w:eastAsia="SimHei" w:hAnsi="SimHei" w:cs="SimHei"/>
                                <w:color w:val="833A39"/>
                                <w:spacing w:val="0"/>
                                <w:w w:val="100"/>
                                <w:position w:val="0"/>
                                <w:sz w:val="8"/>
                                <w:szCs w:val="8"/>
                              </w:rPr>
                              <w:t xml:space="preserve">妆 </w:t>
                            </w:r>
                            <w:r>
                              <w:rPr>
                                <w:rFonts w:ascii="Arial" w:eastAsia="Arial" w:hAnsi="Arial" w:cs="Arial"/>
                                <w:b/>
                                <w:bCs/>
                                <w:color w:val="575656"/>
                                <w:spacing w:val="0"/>
                                <w:w w:val="100"/>
                                <w:position w:val="0"/>
                                <w:sz w:val="8"/>
                                <w:szCs w:val="8"/>
                              </w:rPr>
                              <w:t>»»UfitOwP»lm</w:t>
                            </w:r>
                          </w:p>
                        </w:tc>
                      </w:tr>
                      <w:tr>
                        <w:trPr>
                          <w:trHeight w:val="163"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left"/>
                              <w:rPr>
                                <w:sz w:val="8"/>
                                <w:szCs w:val="8"/>
                              </w:rPr>
                            </w:pPr>
                            <w:r>
                              <w:rPr>
                                <w:rFonts w:ascii="Arial" w:eastAsia="Arial" w:hAnsi="Arial" w:cs="Arial"/>
                                <w:b/>
                                <w:bCs/>
                                <w:color w:val="575656"/>
                                <w:spacing w:val="0"/>
                                <w:w w:val="100"/>
                                <w:position w:val="0"/>
                                <w:sz w:val="8"/>
                                <w:szCs w:val="8"/>
                              </w:rPr>
                              <w:t>13</w:t>
                            </w:r>
                            <w:r>
                              <w:rPr>
                                <w:rFonts w:ascii="SimHei" w:eastAsia="SimHei" w:hAnsi="SimHei" w:cs="SimHei"/>
                                <w:color w:val="575656"/>
                                <w:spacing w:val="0"/>
                                <w:w w:val="100"/>
                                <w:position w:val="0"/>
                                <w:sz w:val="8"/>
                                <w:szCs w:val="8"/>
                              </w:rPr>
                              <w:t>霍</w:t>
                            </w:r>
                            <w:r>
                              <w:rPr>
                                <w:rFonts w:ascii="Arial" w:eastAsia="Arial" w:hAnsi="Arial" w:cs="Arial"/>
                                <w:b/>
                                <w:bCs/>
                                <w:color w:val="575656"/>
                                <w:spacing w:val="0"/>
                                <w:w w:val="100"/>
                                <w:position w:val="0"/>
                                <w:sz w:val="8"/>
                                <w:szCs w:val="8"/>
                              </w:rPr>
                              <w:t>14</w:t>
                            </w:r>
                            <w:r>
                              <w:rPr>
                                <w:rFonts w:ascii="SimHei" w:eastAsia="SimHei" w:hAnsi="SimHei" w:cs="SimHei"/>
                                <w:color w:val="575656"/>
                                <w:spacing w:val="0"/>
                                <w:w w:val="100"/>
                                <w:position w:val="0"/>
                                <w:sz w:val="8"/>
                                <w:szCs w:val="8"/>
                              </w:rPr>
                              <w:t>乐科技</w:t>
                            </w:r>
                            <w:r>
                              <w:rPr>
                                <w:rFonts w:ascii="Arial" w:eastAsia="Arial" w:hAnsi="Arial" w:cs="Arial"/>
                                <w:b/>
                                <w:bCs/>
                                <w:color w:val="575656"/>
                                <w:spacing w:val="0"/>
                                <w:w w:val="100"/>
                                <w:position w:val="0"/>
                                <w:sz w:val="8"/>
                                <w:szCs w:val="8"/>
                              </w:rPr>
                              <w:t>BoXGanu</w:t>
                            </w:r>
                          </w:p>
                        </w:tc>
                        <w:tc>
                          <w:tcPr>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both"/>
                              <w:rPr>
                                <w:sz w:val="8"/>
                                <w:szCs w:val="8"/>
                              </w:rPr>
                            </w:pPr>
                            <w:r>
                              <w:rPr>
                                <w:rFonts w:ascii="Arial" w:eastAsia="Arial" w:hAnsi="Arial" w:cs="Arial"/>
                                <w:b/>
                                <w:bCs/>
                                <w:color w:val="464544"/>
                                <w:spacing w:val="0"/>
                                <w:w w:val="100"/>
                                <w:position w:val="0"/>
                                <w:sz w:val="8"/>
                                <w:szCs w:val="8"/>
                              </w:rPr>
                              <w:t>28</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8"/>
                                <w:szCs w:val="8"/>
                              </w:rPr>
                            </w:pPr>
                            <w:r>
                              <w:rPr>
                                <w:rFonts w:ascii="SimHei" w:eastAsia="SimHei" w:hAnsi="SimHei" w:cs="SimHei"/>
                                <w:color w:val="2A2522"/>
                                <w:spacing w:val="0"/>
                                <w:w w:val="100"/>
                                <w:position w:val="0"/>
                                <w:sz w:val="8"/>
                                <w:szCs w:val="8"/>
                              </w:rPr>
                              <w:t xml:space="preserve">浏 </w:t>
                            </w:r>
                            <w:r>
                              <w:rPr>
                                <w:rFonts w:ascii="Arial" w:eastAsia="Arial" w:hAnsi="Arial" w:cs="Arial"/>
                                <w:b/>
                                <w:bCs/>
                                <w:color w:val="6B6768"/>
                                <w:spacing w:val="0"/>
                                <w:w w:val="100"/>
                                <w:position w:val="0"/>
                                <w:sz w:val="8"/>
                                <w:szCs w:val="8"/>
                              </w:rPr>
                              <w:t>ttKtAasx</w:t>
                            </w:r>
                          </w:p>
                        </w:tc>
                      </w:tr>
                      <w:tr>
                        <w:trPr>
                          <w:trHeight w:val="149" w:hRule="exact"/>
                        </w:trPr>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975463"/>
                                <w:spacing w:val="0"/>
                                <w:w w:val="100"/>
                                <w:position w:val="0"/>
                                <w:sz w:val="8"/>
                                <w:szCs w:val="8"/>
                              </w:rPr>
                              <w:t xml:space="preserve">I </w:t>
                            </w:r>
                            <w:r>
                              <w:rPr>
                                <w:rFonts w:ascii="Arial" w:eastAsia="Arial" w:hAnsi="Arial" w:cs="Arial"/>
                                <w:b/>
                                <w:bCs/>
                                <w:color w:val="383636"/>
                                <w:spacing w:val="0"/>
                                <w:w w:val="100"/>
                                <w:position w:val="0"/>
                                <w:sz w:val="8"/>
                                <w:szCs w:val="8"/>
                              </w:rPr>
                              <w:t xml:space="preserve">u Q </w:t>
                            </w:r>
                            <w:r>
                              <w:rPr>
                                <w:rFonts w:ascii="Arial" w:eastAsia="Arial" w:hAnsi="Arial" w:cs="Arial"/>
                                <w:b/>
                                <w:bCs/>
                                <w:color w:val="575656"/>
                                <w:spacing w:val="0"/>
                                <w:w w:val="100"/>
                                <w:position w:val="0"/>
                                <w:sz w:val="8"/>
                                <w:szCs w:val="8"/>
                              </w:rPr>
                              <w:t xml:space="preserve">«»W»CamaK3am»s </w:t>
                            </w:r>
                            <w:r>
                              <w:rPr>
                                <w:rFonts w:ascii="Arial" w:eastAsia="Arial" w:hAnsi="Arial" w:cs="Arial"/>
                                <w:b/>
                                <w:bCs/>
                                <w:color w:val="A58382"/>
                                <w:spacing w:val="0"/>
                                <w:w w:val="100"/>
                                <w:position w:val="0"/>
                                <w:sz w:val="8"/>
                                <w:szCs w:val="8"/>
                              </w:rPr>
                              <w:t>1</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both"/>
                              <w:rPr>
                                <w:sz w:val="8"/>
                                <w:szCs w:val="8"/>
                              </w:rPr>
                            </w:pPr>
                            <w:r>
                              <w:rPr>
                                <w:rFonts w:ascii="Arial" w:eastAsia="Arial" w:hAnsi="Arial" w:cs="Arial"/>
                                <w:b/>
                                <w:bCs/>
                                <w:i/>
                                <w:iCs/>
                                <w:color w:val="464544"/>
                                <w:spacing w:val="0"/>
                                <w:w w:val="100"/>
                                <w:position w:val="0"/>
                                <w:sz w:val="8"/>
                                <w:szCs w:val="8"/>
                              </w:rPr>
                              <w:t>19</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53442C"/>
                                <w:spacing w:val="0"/>
                                <w:w w:val="100"/>
                                <w:position w:val="0"/>
                                <w:sz w:val="8"/>
                                <w:szCs w:val="8"/>
                              </w:rPr>
                              <w:t xml:space="preserve">m </w:t>
                            </w:r>
                            <w:r>
                              <w:rPr>
                                <w:rFonts w:ascii="Arial" w:eastAsia="Arial" w:hAnsi="Arial" w:cs="Arial"/>
                                <w:b/>
                                <w:bCs/>
                                <w:color w:val="575656"/>
                                <w:spacing w:val="0"/>
                                <w:w w:val="100"/>
                                <w:position w:val="0"/>
                                <w:sz w:val="8"/>
                                <w:szCs w:val="8"/>
                              </w:rPr>
                              <w:t>JtBMfiasEMT</w:t>
                            </w:r>
                          </w:p>
                        </w:tc>
                      </w:tr>
                      <w:tr>
                        <w:trPr>
                          <w:trHeight w:val="149" w:hRule="exact"/>
                        </w:trPr>
                        <w:tc>
                          <w:tcPr>
                            <w:tcBorders>
                              <w:top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left"/>
                              <w:rPr>
                                <w:sz w:val="8"/>
                                <w:szCs w:val="8"/>
                              </w:rPr>
                            </w:pPr>
                            <w:r>
                              <w:rPr>
                                <w:rFonts w:ascii="Arial" w:eastAsia="Arial" w:hAnsi="Arial" w:cs="Arial"/>
                                <w:b/>
                                <w:bCs/>
                                <w:color w:val="2A2522"/>
                                <w:spacing w:val="0"/>
                                <w:w w:val="100"/>
                                <w:position w:val="0"/>
                                <w:sz w:val="8"/>
                                <w:szCs w:val="8"/>
                                <w:vertAlign w:val="subscript"/>
                              </w:rPr>
                              <w:t>15</w:t>
                            </w:r>
                            <w:r>
                              <w:rPr>
                                <w:rFonts w:ascii="Arial" w:eastAsia="Arial" w:hAnsi="Arial" w:cs="Arial"/>
                                <w:b/>
                                <w:bCs/>
                                <w:color w:val="2A2522"/>
                                <w:spacing w:val="0"/>
                                <w:w w:val="100"/>
                                <w:position w:val="0"/>
                                <w:sz w:val="8"/>
                                <w:szCs w:val="8"/>
                              </w:rPr>
                              <w:t xml:space="preserve"> </w:t>
                            </w:r>
                            <w:r>
                              <w:rPr>
                                <w:b/>
                                <w:bCs/>
                                <w:color w:val="2A2522"/>
                                <w:spacing w:val="0"/>
                                <w:w w:val="100"/>
                                <w:position w:val="0"/>
                                <w:sz w:val="9"/>
                                <w:szCs w:val="9"/>
                              </w:rPr>
                              <w:t>◎</w:t>
                            </w:r>
                            <w:r>
                              <w:rPr>
                                <w:rFonts w:ascii="Arial" w:eastAsia="Arial" w:hAnsi="Arial" w:cs="Arial"/>
                                <w:b/>
                                <w:bCs/>
                                <w:color w:val="2A2522"/>
                                <w:spacing w:val="0"/>
                                <w:w w:val="100"/>
                                <w:position w:val="0"/>
                                <w:sz w:val="8"/>
                                <w:szCs w:val="8"/>
                              </w:rPr>
                              <w:t xml:space="preserve"> </w:t>
                            </w:r>
                            <w:r>
                              <w:rPr>
                                <w:rFonts w:ascii="Arial" w:eastAsia="Arial" w:hAnsi="Arial" w:cs="Arial"/>
                                <w:b/>
                                <w:bCs/>
                                <w:color w:val="575656"/>
                                <w:spacing w:val="0"/>
                                <w:w w:val="100"/>
                                <w:position w:val="0"/>
                                <w:sz w:val="8"/>
                                <w:szCs w:val="8"/>
                              </w:rPr>
                              <w:t>XMSnPortoewortil</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140"/>
                              <w:jc w:val="both"/>
                              <w:rPr>
                                <w:sz w:val="8"/>
                                <w:szCs w:val="8"/>
                              </w:rPr>
                            </w:pPr>
                            <w:r>
                              <w:rPr>
                                <w:rFonts w:ascii="Arial" w:eastAsia="Arial" w:hAnsi="Arial" w:cs="Arial"/>
                                <w:b/>
                                <w:bCs/>
                                <w:i/>
                                <w:iCs/>
                                <w:color w:val="383636"/>
                                <w:spacing w:val="0"/>
                                <w:w w:val="100"/>
                                <w:position w:val="0"/>
                                <w:sz w:val="8"/>
                                <w:szCs w:val="8"/>
                              </w:rPr>
                              <w:t>30</w:t>
                            </w:r>
                          </w:p>
                        </w:tc>
                        <w:tc>
                          <w:tcPr>
                            <w:tcBorders/>
                            <w:shd w:val="clear" w:color="auto" w:fill="FFFFFF"/>
                            <w:vAlign w:val="top"/>
                          </w:tcPr>
                          <w:p>
                            <w:pPr>
                              <w:widowControl w:val="0"/>
                              <w:rPr>
                                <w:sz w:val="10"/>
                                <w:szCs w:val="10"/>
                              </w:rPr>
                            </w:pPr>
                          </w:p>
                        </w:tc>
                      </w:tr>
                      <w:tr>
                        <w:trPr>
                          <w:trHeight w:val="278" w:hRule="exact"/>
                        </w:trPr>
                        <w:tc>
                          <w:tcPr>
                            <w:gridSpan w:val="3"/>
                            <w:tcBorders/>
                            <w:shd w:val="clear" w:color="auto" w:fill="FFFFFF"/>
                            <w:vAlign w:val="top"/>
                          </w:tcPr>
                          <w:p>
                            <w:pPr>
                              <w:widowControl w:val="0"/>
                              <w:rPr>
                                <w:sz w:val="10"/>
                                <w:szCs w:val="10"/>
                              </w:rPr>
                            </w:pPr>
                          </w:p>
                        </w:tc>
                      </w:tr>
                    </w:tbl>
                    <w:p>
                      <w:pPr>
                        <w:widowControl w:val="0"/>
                        <w:spacing w:line="1" w:lineRule="exact"/>
                      </w:pPr>
                    </w:p>
                  </w:txbxContent>
                </v:textbox>
                <w10:wrap type="square" anchorx="page"/>
              </v:shape>
            </w:pict>
          </mc:Fallback>
        </mc:AlternateContent>
      </w:r>
      <w:r>
        <mc:AlternateContent>
          <mc:Choice Requires="wps">
            <w:drawing>
              <wp:anchor distT="0" distB="0" distL="0" distR="0" simplePos="0" relativeHeight="503316560" behindDoc="0" locked="0" layoutInCell="1" allowOverlap="1">
                <wp:simplePos x="0" y="0"/>
                <wp:positionH relativeFrom="page">
                  <wp:posOffset>4944110</wp:posOffset>
                </wp:positionH>
                <wp:positionV relativeFrom="paragraph">
                  <wp:posOffset>12700</wp:posOffset>
                </wp:positionV>
                <wp:extent cx="1588135" cy="88265"/>
                <wp:wrapNone/>
                <wp:docPr id="371" name="Shape 371"/>
                <a:graphic xmlns:a="http://schemas.openxmlformats.org/drawingml/2006/main">
                  <a:graphicData uri="http://schemas.microsoft.com/office/word/2010/wordprocessingShape">
                    <wps:wsp>
                      <wps:cNvSpPr txBox="1"/>
                      <wps:spPr>
                        <a:xfrm>
                          <a:ext cx="1588135" cy="88265"/>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383636"/>
                                <w:spacing w:val="0"/>
                                <w:w w:val="100"/>
                                <w:position w:val="0"/>
                                <w:sz w:val="8"/>
                                <w:szCs w:val="8"/>
                              </w:rPr>
                              <w:t>2020</w:t>
                            </w:r>
                            <w:r>
                              <w:rPr>
                                <w:color w:val="383636"/>
                                <w:spacing w:val="0"/>
                                <w:w w:val="100"/>
                                <w:position w:val="0"/>
                                <w:sz w:val="8"/>
                                <w:szCs w:val="8"/>
                              </w:rPr>
                              <w:t>年</w:t>
                            </w:r>
                            <w:r>
                              <w:rPr>
                                <w:rFonts w:ascii="Arial" w:eastAsia="Arial" w:hAnsi="Arial" w:cs="Arial"/>
                                <w:b/>
                                <w:bCs/>
                                <w:color w:val="383636"/>
                                <w:spacing w:val="0"/>
                                <w:w w:val="100"/>
                                <w:position w:val="0"/>
                                <w:sz w:val="8"/>
                                <w:szCs w:val="8"/>
                              </w:rPr>
                              <w:t>10</w:t>
                            </w:r>
                            <w:r>
                              <w:rPr>
                                <w:color w:val="383636"/>
                                <w:spacing w:val="0"/>
                                <w:w w:val="100"/>
                                <w:position w:val="0"/>
                                <w:sz w:val="8"/>
                                <w:szCs w:val="8"/>
                              </w:rPr>
                              <w:t>月中</w:t>
                            </w:r>
                            <w:r>
                              <w:rPr>
                                <w:rFonts w:ascii="Arial" w:eastAsia="Arial" w:hAnsi="Arial" w:cs="Arial"/>
                                <w:b/>
                                <w:bCs/>
                                <w:color w:val="383636"/>
                                <w:spacing w:val="0"/>
                                <w:w w:val="100"/>
                                <w:position w:val="0"/>
                                <w:sz w:val="8"/>
                                <w:szCs w:val="8"/>
                              </w:rPr>
                              <w:t>DB</w:t>
                            </w:r>
                            <w:r>
                              <w:rPr>
                                <w:color w:val="383636"/>
                                <w:spacing w:val="0"/>
                                <w:w w:val="100"/>
                                <w:position w:val="0"/>
                                <w:sz w:val="8"/>
                                <w:szCs w:val="8"/>
                              </w:rPr>
                              <w:t>手</w:t>
                            </w:r>
                            <w:r>
                              <w:rPr>
                                <w:rFonts w:ascii="Arial" w:eastAsia="Arial" w:hAnsi="Arial" w:cs="Arial"/>
                                <w:b/>
                                <w:bCs/>
                                <w:color w:val="383636"/>
                                <w:spacing w:val="0"/>
                                <w:w w:val="100"/>
                                <w:position w:val="0"/>
                                <w:sz w:val="8"/>
                                <w:szCs w:val="8"/>
                              </w:rPr>
                              <w:t>SB</w:t>
                            </w:r>
                            <w:r>
                              <w:rPr>
                                <w:color w:val="383636"/>
                                <w:spacing w:val="0"/>
                                <w:w w:val="100"/>
                                <w:position w:val="0"/>
                                <w:sz w:val="8"/>
                                <w:szCs w:val="8"/>
                              </w:rPr>
                              <w:t>发行荷收入</w:t>
                            </w:r>
                            <w:r>
                              <w:rPr>
                                <w:rFonts w:ascii="Arial" w:eastAsia="Arial" w:hAnsi="Arial" w:cs="Arial"/>
                                <w:b/>
                                <w:bCs/>
                                <w:color w:val="383636"/>
                                <w:spacing w:val="0"/>
                                <w:w w:val="100"/>
                                <w:position w:val="0"/>
                                <w:sz w:val="8"/>
                                <w:szCs w:val="8"/>
                              </w:rPr>
                              <w:t>TOP3</w:t>
                            </w:r>
                            <w:r>
                              <w:rPr>
                                <w:color w:val="383636"/>
                                <w:spacing w:val="0"/>
                                <w:w w:val="100"/>
                                <w:position w:val="0"/>
                                <w:sz w:val="8"/>
                                <w:szCs w:val="8"/>
                              </w:rPr>
                              <w:t>。</w:t>
                            </w:r>
                            <w:r>
                              <w:rPr>
                                <w:rFonts w:ascii="Arial" w:eastAsia="Arial" w:hAnsi="Arial" w:cs="Arial"/>
                                <w:b/>
                                <w:bCs/>
                                <w:color w:val="383636"/>
                                <w:spacing w:val="0"/>
                                <w:w w:val="100"/>
                                <w:position w:val="0"/>
                                <w:sz w:val="8"/>
                                <w:szCs w:val="8"/>
                              </w:rPr>
                              <w:t xml:space="preserve">I </w:t>
                            </w:r>
                            <w:r>
                              <w:rPr>
                                <w:color w:val="383636"/>
                                <w:spacing w:val="0"/>
                                <w:w w:val="100"/>
                                <w:position w:val="0"/>
                                <w:sz w:val="8"/>
                                <w:szCs w:val="8"/>
                              </w:rPr>
                              <w:t xml:space="preserve">全球 </w:t>
                            </w:r>
                            <w:r>
                              <w:rPr>
                                <w:rFonts w:ascii="Arial" w:eastAsia="Arial" w:hAnsi="Arial" w:cs="Arial"/>
                                <w:b/>
                                <w:bCs/>
                                <w:color w:val="383636"/>
                                <w:spacing w:val="0"/>
                                <w:w w:val="100"/>
                                <w:position w:val="0"/>
                                <w:sz w:val="8"/>
                                <w:szCs w:val="8"/>
                              </w:rPr>
                              <w:t xml:space="preserve">App store </w:t>
                            </w:r>
                            <w:r>
                              <w:rPr>
                                <w:rFonts w:ascii="Arial" w:eastAsia="Arial" w:hAnsi="Arial" w:cs="Arial"/>
                                <w:b/>
                                <w:bCs/>
                                <w:color w:val="383636"/>
                                <w:spacing w:val="0"/>
                                <w:w w:val="100"/>
                                <w:position w:val="0"/>
                                <w:sz w:val="8"/>
                                <w:szCs w:val="8"/>
                              </w:rPr>
                              <w:t xml:space="preserve">+ </w:t>
                            </w:r>
                            <w:r>
                              <w:rPr>
                                <w:rFonts w:ascii="Arial" w:eastAsia="Arial" w:hAnsi="Arial" w:cs="Arial"/>
                                <w:b/>
                                <w:bCs/>
                                <w:color w:val="383636"/>
                                <w:spacing w:val="0"/>
                                <w:w w:val="100"/>
                                <w:position w:val="0"/>
                                <w:sz w:val="8"/>
                                <w:szCs w:val="8"/>
                              </w:rPr>
                              <w:t>Google Play</w:t>
                            </w:r>
                          </w:p>
                        </w:txbxContent>
                      </wps:txbx>
                      <wps:bodyPr lIns="0" tIns="0" rIns="0" bIns="0">
                        <a:noAutoFit/>
                      </wps:bodyPr>
                    </wps:wsp>
                  </a:graphicData>
                </a:graphic>
              </wp:anchor>
            </w:drawing>
          </mc:Choice>
          <mc:Fallback>
            <w:pict>
              <v:shape id="_x0000_s1397" type="#_x0000_t202" style="position:absolute;margin-left:389.30000000000001pt;margin-top:1.pt;width:125.05pt;height:6.9500000000000002pt;z-index:251657807;mso-wrap-distance-left:0;mso-wrap-distance-right:0;mso-position-horizontal-relative:page" filled="f" stroked="f">
                <v:textbox inset="0,0,0,0">
                  <w:txbxContent>
                    <w:p>
                      <w:pPr>
                        <w:pStyle w:val="Style20"/>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383636"/>
                          <w:spacing w:val="0"/>
                          <w:w w:val="100"/>
                          <w:position w:val="0"/>
                          <w:sz w:val="8"/>
                          <w:szCs w:val="8"/>
                        </w:rPr>
                        <w:t>2020</w:t>
                      </w:r>
                      <w:r>
                        <w:rPr>
                          <w:color w:val="383636"/>
                          <w:spacing w:val="0"/>
                          <w:w w:val="100"/>
                          <w:position w:val="0"/>
                          <w:sz w:val="8"/>
                          <w:szCs w:val="8"/>
                        </w:rPr>
                        <w:t>年</w:t>
                      </w:r>
                      <w:r>
                        <w:rPr>
                          <w:rFonts w:ascii="Arial" w:eastAsia="Arial" w:hAnsi="Arial" w:cs="Arial"/>
                          <w:b/>
                          <w:bCs/>
                          <w:color w:val="383636"/>
                          <w:spacing w:val="0"/>
                          <w:w w:val="100"/>
                          <w:position w:val="0"/>
                          <w:sz w:val="8"/>
                          <w:szCs w:val="8"/>
                        </w:rPr>
                        <w:t>10</w:t>
                      </w:r>
                      <w:r>
                        <w:rPr>
                          <w:color w:val="383636"/>
                          <w:spacing w:val="0"/>
                          <w:w w:val="100"/>
                          <w:position w:val="0"/>
                          <w:sz w:val="8"/>
                          <w:szCs w:val="8"/>
                        </w:rPr>
                        <w:t>月中</w:t>
                      </w:r>
                      <w:r>
                        <w:rPr>
                          <w:rFonts w:ascii="Arial" w:eastAsia="Arial" w:hAnsi="Arial" w:cs="Arial"/>
                          <w:b/>
                          <w:bCs/>
                          <w:color w:val="383636"/>
                          <w:spacing w:val="0"/>
                          <w:w w:val="100"/>
                          <w:position w:val="0"/>
                          <w:sz w:val="8"/>
                          <w:szCs w:val="8"/>
                        </w:rPr>
                        <w:t>DB</w:t>
                      </w:r>
                      <w:r>
                        <w:rPr>
                          <w:color w:val="383636"/>
                          <w:spacing w:val="0"/>
                          <w:w w:val="100"/>
                          <w:position w:val="0"/>
                          <w:sz w:val="8"/>
                          <w:szCs w:val="8"/>
                        </w:rPr>
                        <w:t>手</w:t>
                      </w:r>
                      <w:r>
                        <w:rPr>
                          <w:rFonts w:ascii="Arial" w:eastAsia="Arial" w:hAnsi="Arial" w:cs="Arial"/>
                          <w:b/>
                          <w:bCs/>
                          <w:color w:val="383636"/>
                          <w:spacing w:val="0"/>
                          <w:w w:val="100"/>
                          <w:position w:val="0"/>
                          <w:sz w:val="8"/>
                          <w:szCs w:val="8"/>
                        </w:rPr>
                        <w:t>SB</w:t>
                      </w:r>
                      <w:r>
                        <w:rPr>
                          <w:color w:val="383636"/>
                          <w:spacing w:val="0"/>
                          <w:w w:val="100"/>
                          <w:position w:val="0"/>
                          <w:sz w:val="8"/>
                          <w:szCs w:val="8"/>
                        </w:rPr>
                        <w:t>发行荷收入</w:t>
                      </w:r>
                      <w:r>
                        <w:rPr>
                          <w:rFonts w:ascii="Arial" w:eastAsia="Arial" w:hAnsi="Arial" w:cs="Arial"/>
                          <w:b/>
                          <w:bCs/>
                          <w:color w:val="383636"/>
                          <w:spacing w:val="0"/>
                          <w:w w:val="100"/>
                          <w:position w:val="0"/>
                          <w:sz w:val="8"/>
                          <w:szCs w:val="8"/>
                        </w:rPr>
                        <w:t>TOP3</w:t>
                      </w:r>
                      <w:r>
                        <w:rPr>
                          <w:color w:val="383636"/>
                          <w:spacing w:val="0"/>
                          <w:w w:val="100"/>
                          <w:position w:val="0"/>
                          <w:sz w:val="8"/>
                          <w:szCs w:val="8"/>
                        </w:rPr>
                        <w:t>。</w:t>
                      </w:r>
                      <w:r>
                        <w:rPr>
                          <w:rFonts w:ascii="Arial" w:eastAsia="Arial" w:hAnsi="Arial" w:cs="Arial"/>
                          <w:b/>
                          <w:bCs/>
                          <w:color w:val="383636"/>
                          <w:spacing w:val="0"/>
                          <w:w w:val="100"/>
                          <w:position w:val="0"/>
                          <w:sz w:val="8"/>
                          <w:szCs w:val="8"/>
                        </w:rPr>
                        <w:t xml:space="preserve">I </w:t>
                      </w:r>
                      <w:r>
                        <w:rPr>
                          <w:color w:val="383636"/>
                          <w:spacing w:val="0"/>
                          <w:w w:val="100"/>
                          <w:position w:val="0"/>
                          <w:sz w:val="8"/>
                          <w:szCs w:val="8"/>
                        </w:rPr>
                        <w:t xml:space="preserve">全球 </w:t>
                      </w:r>
                      <w:r>
                        <w:rPr>
                          <w:rFonts w:ascii="Arial" w:eastAsia="Arial" w:hAnsi="Arial" w:cs="Arial"/>
                          <w:b/>
                          <w:bCs/>
                          <w:color w:val="383636"/>
                          <w:spacing w:val="0"/>
                          <w:w w:val="100"/>
                          <w:position w:val="0"/>
                          <w:sz w:val="8"/>
                          <w:szCs w:val="8"/>
                        </w:rPr>
                        <w:t xml:space="preserve">App store </w:t>
                      </w:r>
                      <w:r>
                        <w:rPr>
                          <w:rFonts w:ascii="Arial" w:eastAsia="Arial" w:hAnsi="Arial" w:cs="Arial"/>
                          <w:b/>
                          <w:bCs/>
                          <w:color w:val="383636"/>
                          <w:spacing w:val="0"/>
                          <w:w w:val="100"/>
                          <w:position w:val="0"/>
                          <w:sz w:val="8"/>
                          <w:szCs w:val="8"/>
                        </w:rPr>
                        <w:t xml:space="preserve">+ </w:t>
                      </w:r>
                      <w:r>
                        <w:rPr>
                          <w:rFonts w:ascii="Arial" w:eastAsia="Arial" w:hAnsi="Arial" w:cs="Arial"/>
                          <w:b/>
                          <w:bCs/>
                          <w:color w:val="383636"/>
                          <w:spacing w:val="0"/>
                          <w:w w:val="100"/>
                          <w:position w:val="0"/>
                          <w:sz w:val="8"/>
                          <w:szCs w:val="8"/>
                        </w:rPr>
                        <w:t>Google Play</w:t>
                      </w:r>
                    </w:p>
                  </w:txbxContent>
                </v:textbox>
                <w10:wrap anchorx="page"/>
              </v:shape>
            </w:pict>
          </mc:Fallback>
        </mc:AlternateContent>
      </w:r>
    </w:p>
    <w:p>
      <w:pPr>
        <w:pStyle w:val="Style156"/>
        <w:keepNext w:val="0"/>
        <w:keepLines w:val="0"/>
        <w:widowControl w:val="0"/>
        <w:numPr>
          <w:ilvl w:val="0"/>
          <w:numId w:val="1"/>
        </w:numPr>
        <w:shd w:val="clear" w:color="auto" w:fill="auto"/>
        <w:tabs>
          <w:tab w:pos="233" w:val="left"/>
        </w:tabs>
        <w:bidi w:val="0"/>
        <w:spacing w:before="0" w:after="0" w:line="240" w:lineRule="auto"/>
        <w:ind w:left="0" w:right="0" w:firstLine="0"/>
        <w:jc w:val="left"/>
      </w:pPr>
      <w:bookmarkStart w:id="178" w:name="bookmark178"/>
      <w:bookmarkEnd w:id="178"/>
      <w:r>
        <w:rPr>
          <w:color w:val="383636"/>
          <w:spacing w:val="0"/>
          <w:w w:val="100"/>
          <w:position w:val="0"/>
        </w:rPr>
        <w:t xml:space="preserve">£2 </w:t>
      </w:r>
      <w:r>
        <w:rPr>
          <w:spacing w:val="0"/>
          <w:w w:val="100"/>
          <w:position w:val="0"/>
        </w:rPr>
        <w:t xml:space="preserve">«3WBW </w:t>
      </w:r>
      <w:r>
        <w:rPr>
          <w:color w:val="383636"/>
          <w:spacing w:val="0"/>
          <w:w w:val="100"/>
          <w:position w:val="0"/>
        </w:rPr>
        <w:t>«»»</w:t>
      </w:r>
      <w:r>
        <w:rPr>
          <w:spacing w:val="0"/>
          <w:w w:val="100"/>
          <w:position w:val="0"/>
        </w:rPr>
        <w:t>&lt;3am»*</w:t>
      </w:r>
    </w:p>
    <w:p>
      <w:pPr>
        <w:pStyle w:val="Style156"/>
        <w:keepNext w:val="0"/>
        <w:keepLines w:val="0"/>
        <w:widowControl w:val="0"/>
        <w:numPr>
          <w:ilvl w:val="0"/>
          <w:numId w:val="1"/>
        </w:numPr>
        <w:shd w:val="clear" w:color="auto" w:fill="auto"/>
        <w:tabs>
          <w:tab w:pos="238" w:val="left"/>
        </w:tabs>
        <w:bidi w:val="0"/>
        <w:spacing w:before="0" w:after="0" w:line="240" w:lineRule="auto"/>
        <w:ind w:left="0" w:right="0" w:firstLine="0"/>
        <w:jc w:val="left"/>
      </w:pPr>
      <w:bookmarkStart w:id="179" w:name="bookmark179"/>
      <w:bookmarkEnd w:id="179"/>
      <w:r>
        <w:rPr>
          <w:rFonts w:ascii="SimHei" w:eastAsia="SimHei" w:hAnsi="SimHei" w:cs="SimHei"/>
          <w:b w:val="0"/>
          <w:bCs w:val="0"/>
          <w:spacing w:val="0"/>
          <w:w w:val="100"/>
          <w:position w:val="0"/>
        </w:rPr>
        <w:t xml:space="preserve">底 </w:t>
      </w:r>
      <w:r>
        <w:rPr>
          <w:spacing w:val="0"/>
          <w:w w:val="100"/>
          <w:position w:val="0"/>
        </w:rPr>
        <w:t xml:space="preserve">fR </w:t>
      </w:r>
      <w:r>
        <w:rPr>
          <w:rFonts w:ascii="SimHei" w:eastAsia="SimHei" w:hAnsi="SimHei" w:cs="SimHei"/>
          <w:b w:val="0"/>
          <w:bCs w:val="0"/>
          <w:spacing w:val="0"/>
          <w:w w:val="100"/>
          <w:position w:val="0"/>
        </w:rPr>
        <w:t xml:space="preserve">无 </w:t>
      </w:r>
      <w:r>
        <w:rPr>
          <w:rFonts w:ascii="SimHei" w:eastAsia="SimHei" w:hAnsi="SimHei" w:cs="SimHei"/>
          <w:b w:val="0"/>
          <w:bCs w:val="0"/>
          <w:spacing w:val="0"/>
          <w:w w:val="100"/>
          <w:position w:val="0"/>
        </w:rPr>
        <w:t xml:space="preserve">* </w:t>
      </w:r>
      <w:r>
        <w:rPr>
          <w:spacing w:val="0"/>
          <w:w w:val="100"/>
          <w:position w:val="0"/>
        </w:rPr>
        <w:t>Hasw</w:t>
      </w:r>
    </w:p>
    <w:p>
      <w:pPr>
        <w:pStyle w:val="Style156"/>
        <w:keepNext w:val="0"/>
        <w:framePr w:dropCap="drop" w:hAnchor="text" w:lines="2" w:vAnchor="text" w:hSpace="0" w:vSpace="0"/>
        <w:widowControl w:val="0"/>
        <w:shd w:val="clear" w:color="auto" w:fill="auto"/>
        <w:spacing w:before="0"/>
        <w:ind w:left="0" w:firstLine="0"/>
      </w:pPr>
      <w:r>
        <w:rPr>
          <w:color w:val="000000"/>
          <w:spacing w:val="0"/>
          <w:w w:val="100"/>
          <w:position w:val="0"/>
          <w:sz w:val="22"/>
          <w:szCs w:val="22"/>
        </w:rPr>
        <w:t>I</w:t>
      </w:r>
    </w:p>
    <w:p>
      <w:pPr>
        <w:pStyle w:val="Style156"/>
        <w:keepNext w:val="0"/>
        <w:keepLines w:val="0"/>
        <w:widowControl w:val="0"/>
        <w:pBdr>
          <w:top w:val="single" w:sz="4" w:space="0" w:color="auto"/>
        </w:pBdr>
        <w:shd w:val="clear" w:color="auto" w:fill="auto"/>
        <w:bidi w:val="0"/>
        <w:spacing w:before="0" w:after="0" w:line="240" w:lineRule="auto"/>
        <w:ind w:left="0" w:right="0" w:firstLine="0"/>
        <w:jc w:val="left"/>
      </w:pPr>
      <w:r>
        <w:rPr>
          <w:spacing w:val="0"/>
          <w:w w:val="100"/>
          <w:position w:val="0"/>
        </w:rPr>
        <w:t>］</w:t>
      </w:r>
      <w:r>
        <w:rPr>
          <w:rFonts w:ascii="SimSun" w:eastAsia="SimSun" w:hAnsi="SimSun" w:cs="SimSun"/>
          <w:spacing w:val="0"/>
          <w:w w:val="100"/>
          <w:position w:val="0"/>
          <w:sz w:val="9"/>
          <w:szCs w:val="9"/>
        </w:rPr>
        <w:t>，</w:t>
      </w:r>
      <w:r>
        <w:rPr>
          <w:spacing w:val="0"/>
          <w:w w:val="100"/>
          <w:position w:val="0"/>
        </w:rPr>
        <w:t xml:space="preserve">n </w:t>
      </w:r>
      <w:r>
        <w:rPr>
          <w:rFonts w:ascii="SimHei" w:eastAsia="SimHei" w:hAnsi="SimHei" w:cs="SimHei"/>
          <w:b w:val="0"/>
          <w:bCs w:val="0"/>
          <w:color w:val="383636"/>
          <w:spacing w:val="0"/>
          <w:w w:val="100"/>
          <w:position w:val="0"/>
        </w:rPr>
        <w:t xml:space="preserve">口 </w:t>
      </w:r>
      <w:r>
        <w:rPr>
          <w:rFonts w:ascii="SimHei" w:eastAsia="SimHei" w:hAnsi="SimHei" w:cs="SimHei"/>
          <w:b w:val="0"/>
          <w:bCs w:val="0"/>
          <w:spacing w:val="0"/>
          <w:w w:val="100"/>
          <w:position w:val="0"/>
        </w:rPr>
        <w:t>夹木</w:t>
      </w:r>
      <w:r>
        <w:rPr>
          <w:spacing w:val="0"/>
          <w:w w:val="100"/>
          <w:position w:val="0"/>
        </w:rPr>
        <w:t>iMJttCan^Games</w:t>
      </w:r>
    </w:p>
    <w:p>
      <w:pPr>
        <w:pStyle w:val="Style156"/>
        <w:keepNext w:val="0"/>
        <w:keepLines w:val="0"/>
        <w:widowControl w:val="0"/>
        <w:shd w:val="clear" w:color="auto" w:fill="auto"/>
        <w:bidi w:val="0"/>
        <w:spacing w:before="0" w:after="0" w:line="240" w:lineRule="auto"/>
        <w:ind w:left="0" w:right="0" w:firstLine="0"/>
        <w:jc w:val="left"/>
      </w:pPr>
      <w:r>
        <w:rPr>
          <w:spacing w:val="0"/>
          <w:w w:val="100"/>
          <w:position w:val="0"/>
        </w:rPr>
        <w:t>'</w:t>
      </w:r>
      <w:r>
        <w:rPr>
          <w:color w:val="383636"/>
          <w:spacing w:val="0"/>
          <w:w w:val="100"/>
          <w:position w:val="0"/>
        </w:rPr>
        <w:t xml:space="preserve">io </w:t>
      </w:r>
      <w:r>
        <w:rPr>
          <w:spacing w:val="0"/>
          <w:w w:val="100"/>
          <w:position w:val="0"/>
        </w:rPr>
        <w:t>Q HRUbiMH</w:t>
      </w:r>
    </w:p>
    <w:p>
      <w:pPr>
        <w:pStyle w:val="Style156"/>
        <w:keepNext w:val="0"/>
        <w:keepLines w:val="0"/>
        <w:widowControl w:val="0"/>
        <w:numPr>
          <w:ilvl w:val="0"/>
          <w:numId w:val="3"/>
        </w:numPr>
        <w:shd w:val="clear" w:color="auto" w:fill="auto"/>
        <w:tabs>
          <w:tab w:pos="238" w:val="left"/>
        </w:tabs>
        <w:bidi w:val="0"/>
        <w:spacing w:before="0" w:after="0" w:line="240" w:lineRule="auto"/>
        <w:ind w:left="0" w:right="0" w:firstLine="0"/>
        <w:jc w:val="left"/>
      </w:pPr>
      <w:bookmarkStart w:id="180" w:name="bookmark180"/>
      <w:bookmarkEnd w:id="180"/>
      <w:r>
        <w:rPr>
          <w:spacing w:val="0"/>
          <w:w w:val="100"/>
          <w:position w:val="0"/>
        </w:rPr>
        <w:t>3 »&amp;H«CW</w:t>
      </w:r>
    </w:p>
    <w:p>
      <w:pPr>
        <w:pStyle w:val="Style156"/>
        <w:keepNext w:val="0"/>
        <w:keepLines w:val="0"/>
        <w:widowControl w:val="0"/>
        <w:numPr>
          <w:ilvl w:val="0"/>
          <w:numId w:val="3"/>
        </w:numPr>
        <w:shd w:val="clear" w:color="auto" w:fill="auto"/>
        <w:tabs>
          <w:tab w:pos="229" w:val="left"/>
        </w:tabs>
        <w:bidi w:val="0"/>
        <w:spacing w:before="0" w:after="0" w:line="240" w:lineRule="auto"/>
        <w:ind w:left="0" w:right="0" w:firstLine="0"/>
        <w:jc w:val="left"/>
      </w:pPr>
      <w:bookmarkStart w:id="181" w:name="bookmark181"/>
      <w:bookmarkEnd w:id="181"/>
      <w:r>
        <w:rPr>
          <w:color w:val="383636"/>
          <w:spacing w:val="0"/>
          <w:w w:val="100"/>
          <w:position w:val="0"/>
        </w:rPr>
        <w:t xml:space="preserve">f, </w:t>
      </w:r>
      <w:r>
        <w:rPr>
          <w:spacing w:val="0"/>
          <w:w w:val="100"/>
          <w:position w:val="0"/>
        </w:rPr>
        <w:t>KttSSMZlorgGamns</w:t>
      </w:r>
    </w:p>
    <w:p>
      <w:pPr>
        <w:pStyle w:val="Style156"/>
        <w:keepNext w:val="0"/>
        <w:keepLines w:val="0"/>
        <w:widowControl w:val="0"/>
        <w:numPr>
          <w:ilvl w:val="0"/>
          <w:numId w:val="3"/>
        </w:numPr>
        <w:shd w:val="clear" w:color="auto" w:fill="auto"/>
        <w:tabs>
          <w:tab w:pos="233" w:val="left"/>
        </w:tabs>
        <w:bidi w:val="0"/>
        <w:spacing w:before="0" w:after="0" w:line="240" w:lineRule="auto"/>
        <w:ind w:left="0" w:right="0" w:firstLine="0"/>
        <w:jc w:val="left"/>
      </w:pPr>
      <w:bookmarkStart w:id="182" w:name="bookmark182"/>
      <w:bookmarkEnd w:id="182"/>
      <w:r>
        <w:rPr>
          <w:rFonts w:ascii="SimHei" w:eastAsia="SimHei" w:hAnsi="SimHei" w:cs="SimHei"/>
          <w:b w:val="0"/>
          <w:bCs w:val="0"/>
          <w:color w:val="383636"/>
          <w:spacing w:val="0"/>
          <w:w w:val="100"/>
          <w:position w:val="0"/>
        </w:rPr>
        <w:t>透</w:t>
      </w:r>
      <w:r>
        <w:rPr>
          <w:rFonts w:ascii="SimHei" w:eastAsia="SimHei" w:hAnsi="SimHei" w:cs="SimHei"/>
          <w:b w:val="0"/>
          <w:bCs w:val="0"/>
          <w:spacing w:val="0"/>
          <w:w w:val="100"/>
          <w:position w:val="0"/>
        </w:rPr>
        <w:t xml:space="preserve">"互 </w:t>
      </w:r>
      <w:r>
        <w:rPr>
          <w:spacing w:val="0"/>
          <w:w w:val="100"/>
          <w:position w:val="0"/>
        </w:rPr>
        <w:t>&lt;R8amM</w:t>
      </w:r>
    </w:p>
    <w:p>
      <w:pPr>
        <w:pStyle w:val="Style156"/>
        <w:keepNext w:val="0"/>
        <w:keepLines w:val="0"/>
        <w:widowControl w:val="0"/>
        <w:numPr>
          <w:ilvl w:val="0"/>
          <w:numId w:val="3"/>
        </w:numPr>
        <w:shd w:val="clear" w:color="auto" w:fill="auto"/>
        <w:tabs>
          <w:tab w:pos="233" w:val="left"/>
          <w:tab w:pos="552" w:val="left"/>
        </w:tabs>
        <w:bidi w:val="0"/>
        <w:spacing w:before="0" w:after="0" w:line="240" w:lineRule="auto"/>
        <w:ind w:left="0" w:right="0" w:firstLine="0"/>
        <w:jc w:val="left"/>
      </w:pPr>
      <w:bookmarkStart w:id="183" w:name="bookmark183"/>
      <w:bookmarkEnd w:id="183"/>
      <w:r>
        <w:rPr>
          <w:color w:val="383636"/>
          <w:spacing w:val="0"/>
          <w:w w:val="100"/>
          <w:position w:val="0"/>
        </w:rPr>
        <w:t>0</w:t>
        <w:tab/>
      </w:r>
      <w:r>
        <w:rPr>
          <w:spacing w:val="0"/>
          <w:w w:val="100"/>
          <w:position w:val="0"/>
        </w:rPr>
        <w:t>HYPCRGRyPH</w:t>
      </w:r>
    </w:p>
    <w:p>
      <w:pPr>
        <w:pStyle w:val="Style156"/>
        <w:keepNext w:val="0"/>
        <w:keepLines w:val="0"/>
        <w:widowControl w:val="0"/>
        <w:numPr>
          <w:ilvl w:val="0"/>
          <w:numId w:val="3"/>
        </w:numPr>
        <w:shd w:val="clear" w:color="auto" w:fill="auto"/>
        <w:tabs>
          <w:tab w:pos="233" w:val="left"/>
        </w:tabs>
        <w:bidi w:val="0"/>
        <w:spacing w:before="0" w:after="0" w:line="240" w:lineRule="auto"/>
        <w:ind w:left="0" w:right="0" w:firstLine="0"/>
        <w:jc w:val="left"/>
      </w:pPr>
      <w:bookmarkStart w:id="184" w:name="bookmark184"/>
      <w:bookmarkEnd w:id="184"/>
      <w:r>
        <w:rPr>
          <w:color w:val="797777"/>
          <w:spacing w:val="0"/>
          <w:w w:val="100"/>
          <w:position w:val="0"/>
        </w:rPr>
        <w:t xml:space="preserve">Q </w:t>
      </w:r>
      <w:r>
        <w:rPr>
          <w:spacing w:val="0"/>
          <w:w w:val="100"/>
          <w:position w:val="0"/>
        </w:rPr>
        <w:t>tjsnmFwafi</w:t>
      </w:r>
    </w:p>
    <w:p>
      <w:pPr>
        <w:pStyle w:val="Style156"/>
        <w:keepNext w:val="0"/>
        <w:keepLines w:val="0"/>
        <w:widowControl w:val="0"/>
        <w:numPr>
          <w:ilvl w:val="0"/>
          <w:numId w:val="3"/>
        </w:numPr>
        <w:shd w:val="clear" w:color="auto" w:fill="auto"/>
        <w:tabs>
          <w:tab w:pos="233" w:val="left"/>
        </w:tabs>
        <w:bidi w:val="0"/>
        <w:spacing w:before="0" w:after="0" w:line="240" w:lineRule="auto"/>
        <w:ind w:left="0" w:right="0" w:firstLine="0"/>
        <w:jc w:val="left"/>
      </w:pPr>
      <w:bookmarkStart w:id="185" w:name="bookmark185"/>
      <w:bookmarkEnd w:id="185"/>
      <w:r>
        <w:rPr>
          <w:rFonts w:ascii="SimHei" w:eastAsia="SimHei" w:hAnsi="SimHei" w:cs="SimHei"/>
          <w:b w:val="0"/>
          <w:bCs w:val="0"/>
          <w:color w:val="383636"/>
          <w:spacing w:val="0"/>
          <w:w w:val="100"/>
          <w:position w:val="0"/>
        </w:rPr>
        <w:t xml:space="preserve">穆 </w:t>
      </w:r>
      <w:r>
        <w:rPr>
          <w:spacing w:val="0"/>
          <w:w w:val="100"/>
          <w:position w:val="0"/>
        </w:rPr>
        <w:t>WViailELEX</w:t>
      </w:r>
    </w:p>
    <w:p>
      <w:pPr>
        <w:pStyle w:val="Style156"/>
        <w:keepNext w:val="0"/>
        <w:keepLines w:val="0"/>
        <w:widowControl w:val="0"/>
        <w:numPr>
          <w:ilvl w:val="0"/>
          <w:numId w:val="3"/>
        </w:numPr>
        <w:shd w:val="clear" w:color="auto" w:fill="auto"/>
        <w:tabs>
          <w:tab w:pos="233" w:val="left"/>
        </w:tabs>
        <w:bidi w:val="0"/>
        <w:spacing w:before="0" w:after="0" w:line="240" w:lineRule="auto"/>
        <w:ind w:left="0" w:right="0" w:firstLine="0"/>
        <w:jc w:val="left"/>
      </w:pPr>
      <w:bookmarkStart w:id="186" w:name="bookmark186"/>
      <w:bookmarkEnd w:id="186"/>
      <w:r>
        <w:rPr>
          <w:color w:val="383636"/>
          <w:spacing w:val="0"/>
          <w:w w:val="100"/>
          <w:position w:val="0"/>
        </w:rPr>
        <w:t xml:space="preserve">&amp; </w:t>
      </w:r>
      <w:r>
        <w:rPr>
          <w:spacing w:val="0"/>
          <w:w w:val="100"/>
          <w:position w:val="0"/>
        </w:rPr>
        <w:t xml:space="preserve">ainn&gt;» </w:t>
      </w:r>
      <w:r>
        <w:rPr>
          <w:color w:val="383636"/>
          <w:spacing w:val="0"/>
          <w:w w:val="100"/>
          <w:position w:val="0"/>
        </w:rPr>
        <w:t xml:space="preserve">CHUANG </w:t>
      </w:r>
      <w:r>
        <w:rPr>
          <w:spacing w:val="0"/>
          <w:w w:val="100"/>
          <w:position w:val="0"/>
        </w:rPr>
        <w:t>COOL</w:t>
      </w:r>
    </w:p>
    <w:p>
      <w:pPr>
        <w:pStyle w:val="Style156"/>
        <w:keepNext w:val="0"/>
        <w:keepLines w:val="0"/>
        <w:widowControl w:val="0"/>
        <w:numPr>
          <w:ilvl w:val="0"/>
          <w:numId w:val="3"/>
        </w:numPr>
        <w:shd w:val="clear" w:color="auto" w:fill="auto"/>
        <w:tabs>
          <w:tab w:pos="243" w:val="left"/>
        </w:tabs>
        <w:bidi w:val="0"/>
        <w:spacing w:before="0" w:after="0" w:line="240" w:lineRule="auto"/>
        <w:ind w:left="0" w:right="0" w:firstLine="0"/>
        <w:jc w:val="left"/>
      </w:pPr>
      <w:bookmarkStart w:id="187" w:name="bookmark187"/>
      <w:bookmarkEnd w:id="187"/>
      <w:r>
        <w:rPr>
          <w:rFonts w:ascii="SimHei" w:eastAsia="SimHei" w:hAnsi="SimHei" w:cs="SimHei"/>
          <w:b w:val="0"/>
          <w:bCs w:val="0"/>
          <w:color w:val="833A39"/>
          <w:spacing w:val="0"/>
          <w:w w:val="100"/>
          <w:position w:val="0"/>
        </w:rPr>
        <w:t xml:space="preserve">圈 </w:t>
      </w:r>
      <w:r>
        <w:rPr>
          <w:spacing w:val="0"/>
          <w:w w:val="100"/>
          <w:position w:val="0"/>
        </w:rPr>
        <w:t>OaWWXO.OIoM</w:t>
      </w:r>
    </w:p>
    <w:p>
      <w:pPr>
        <w:pStyle w:val="Style156"/>
        <w:keepNext w:val="0"/>
        <w:keepLines w:val="0"/>
        <w:widowControl w:val="0"/>
        <w:shd w:val="clear" w:color="auto" w:fill="auto"/>
        <w:bidi w:val="0"/>
        <w:spacing w:before="0" w:after="0" w:line="240" w:lineRule="auto"/>
        <w:ind w:left="0" w:right="0" w:firstLine="0"/>
        <w:jc w:val="left"/>
      </w:pPr>
      <w:r>
        <w:rPr>
          <w:color w:val="383636"/>
          <w:spacing w:val="0"/>
          <w:w w:val="100"/>
          <w:position w:val="0"/>
        </w:rPr>
        <w:t xml:space="preserve">2B S </w:t>
      </w:r>
      <w:r>
        <w:rPr>
          <w:spacing w:val="0"/>
          <w:w w:val="100"/>
          <w:position w:val="0"/>
        </w:rPr>
        <w:t>MftEJS Hwo Game</w:t>
      </w:r>
    </w:p>
    <w:p>
      <w:pPr>
        <w:pStyle w:val="Style156"/>
        <w:keepNext w:val="0"/>
        <w:keepLines w:val="0"/>
        <w:widowControl w:val="0"/>
        <w:shd w:val="clear" w:color="auto" w:fill="auto"/>
        <w:bidi w:val="0"/>
        <w:spacing w:before="0" w:after="0" w:line="240" w:lineRule="auto"/>
        <w:ind w:left="0" w:right="0" w:firstLine="0"/>
        <w:jc w:val="left"/>
      </w:pPr>
      <w:r>
        <w:rPr>
          <w:color w:val="383636"/>
          <w:spacing w:val="0"/>
          <w:w w:val="100"/>
          <w:position w:val="0"/>
        </w:rPr>
        <w:t xml:space="preserve">2« U </w:t>
      </w:r>
      <w:r>
        <w:rPr>
          <w:spacing w:val="0"/>
          <w:w w:val="100"/>
          <w:position w:val="0"/>
        </w:rPr>
        <w:t>aHBSO«EMT</w:t>
      </w:r>
    </w:p>
    <w:p>
      <w:pPr>
        <w:pStyle w:val="Style156"/>
        <w:keepNext w:val="0"/>
        <w:keepLines w:val="0"/>
        <w:widowControl w:val="0"/>
        <w:numPr>
          <w:ilvl w:val="0"/>
          <w:numId w:val="5"/>
        </w:numPr>
        <w:shd w:val="clear" w:color="auto" w:fill="auto"/>
        <w:tabs>
          <w:tab w:pos="164" w:val="left"/>
        </w:tabs>
        <w:bidi w:val="0"/>
        <w:spacing w:before="0" w:after="0" w:line="146" w:lineRule="exact"/>
        <w:ind w:left="0" w:right="0" w:firstLine="0"/>
        <w:jc w:val="left"/>
      </w:pPr>
      <w:bookmarkStart w:id="188" w:name="bookmark188"/>
      <w:bookmarkEnd w:id="188"/>
      <w:r>
        <w:rPr>
          <w:rFonts w:ascii="SimHei" w:eastAsia="SimHei" w:hAnsi="SimHei" w:cs="SimHei"/>
          <w:b w:val="0"/>
          <w:bCs w:val="0"/>
          <w:color w:val="383636"/>
          <w:spacing w:val="0"/>
          <w:w w:val="100"/>
          <w:position w:val="0"/>
        </w:rPr>
        <w:t xml:space="preserve">卵 </w:t>
      </w:r>
      <w:r>
        <w:rPr>
          <w:spacing w:val="0"/>
          <w:w w:val="100"/>
          <w:position w:val="0"/>
        </w:rPr>
        <w:t xml:space="preserve">SI </w:t>
      </w:r>
      <w:r>
        <w:rPr>
          <w:rFonts w:ascii="SimHei" w:eastAsia="SimHei" w:hAnsi="SimHei" w:cs="SimHei"/>
          <w:b w:val="0"/>
          <w:bCs w:val="0"/>
          <w:color w:val="383636"/>
          <w:spacing w:val="0"/>
          <w:w w:val="100"/>
          <w:position w:val="0"/>
        </w:rPr>
        <w:t xml:space="preserve">讯 </w:t>
      </w:r>
      <w:r>
        <w:rPr>
          <w:spacing w:val="0"/>
          <w:w w:val="100"/>
          <w:position w:val="0"/>
        </w:rPr>
        <w:t>Tucem</w:t>
      </w:r>
    </w:p>
    <w:p>
      <w:pPr>
        <w:pStyle w:val="Style156"/>
        <w:keepNext w:val="0"/>
        <w:keepLines w:val="0"/>
        <w:widowControl w:val="0"/>
        <w:numPr>
          <w:ilvl w:val="0"/>
          <w:numId w:val="5"/>
        </w:numPr>
        <w:shd w:val="clear" w:color="auto" w:fill="auto"/>
        <w:tabs>
          <w:tab w:pos="174" w:val="left"/>
        </w:tabs>
        <w:bidi w:val="0"/>
        <w:spacing w:before="0" w:after="0" w:line="382" w:lineRule="auto"/>
        <w:ind w:left="0" w:right="0" w:firstLine="0"/>
        <w:jc w:val="both"/>
      </w:pPr>
      <w:bookmarkStart w:id="189" w:name="bookmark189"/>
      <w:bookmarkEnd w:id="189"/>
      <w:r>
        <w:rPr>
          <w:color w:val="383636"/>
          <w:spacing w:val="0"/>
          <w:w w:val="100"/>
          <w:position w:val="0"/>
        </w:rPr>
        <w:t xml:space="preserve">$ </w:t>
      </w:r>
      <w:r>
        <w:rPr>
          <w:color w:val="6B6768"/>
          <w:spacing w:val="0"/>
          <w:w w:val="100"/>
          <w:position w:val="0"/>
        </w:rPr>
        <w:t xml:space="preserve">MH </w:t>
      </w:r>
      <w:r>
        <w:rPr>
          <w:spacing w:val="0"/>
          <w:w w:val="100"/>
          <w:position w:val="0"/>
        </w:rPr>
        <w:t>NtiEew</w:t>
      </w:r>
    </w:p>
    <w:p>
      <w:pPr>
        <w:pStyle w:val="Style156"/>
        <w:keepNext w:val="0"/>
        <w:keepLines w:val="0"/>
        <w:widowControl w:val="0"/>
        <w:numPr>
          <w:ilvl w:val="0"/>
          <w:numId w:val="5"/>
        </w:numPr>
        <w:shd w:val="clear" w:color="auto" w:fill="auto"/>
        <w:tabs>
          <w:tab w:pos="174" w:val="left"/>
        </w:tabs>
        <w:bidi w:val="0"/>
        <w:spacing w:before="0" w:after="0" w:line="146" w:lineRule="exact"/>
        <w:ind w:left="0" w:right="0" w:firstLine="0"/>
        <w:jc w:val="both"/>
      </w:pPr>
      <w:bookmarkStart w:id="190" w:name="bookmark190"/>
      <w:bookmarkEnd w:id="190"/>
      <w:r>
        <w:rPr>
          <w:rFonts w:ascii="SimHei" w:eastAsia="SimHei" w:hAnsi="SimHei" w:cs="SimHei"/>
          <w:b w:val="0"/>
          <w:bCs w:val="0"/>
          <w:color w:val="6B6768"/>
          <w:spacing w:val="0"/>
          <w:w w:val="100"/>
          <w:position w:val="0"/>
        </w:rPr>
        <w:t>■-</w:t>
      </w:r>
      <w:r>
        <w:rPr>
          <w:b w:val="0"/>
          <w:bCs w:val="0"/>
          <w:color w:val="6B6768"/>
          <w:spacing w:val="0"/>
          <w:w w:val="100"/>
          <w:position w:val="0"/>
        </w:rPr>
        <w:t>•</w:t>
      </w:r>
      <w:r>
        <w:rPr>
          <w:rFonts w:ascii="SimHei" w:eastAsia="SimHei" w:hAnsi="SimHei" w:cs="SimHei"/>
          <w:b w:val="0"/>
          <w:bCs w:val="0"/>
          <w:color w:val="6B6768"/>
          <w:spacing w:val="0"/>
          <w:w w:val="100"/>
          <w:position w:val="0"/>
        </w:rPr>
        <w:t xml:space="preserve"> </w:t>
      </w:r>
      <w:r>
        <w:rPr>
          <w:rFonts w:ascii="SimHei" w:eastAsia="SimHei" w:hAnsi="SimHei" w:cs="SimHei"/>
          <w:b w:val="0"/>
          <w:bCs w:val="0"/>
          <w:spacing w:val="0"/>
          <w:w w:val="100"/>
          <w:position w:val="0"/>
        </w:rPr>
        <w:t xml:space="preserve">伽牲 </w:t>
      </w:r>
      <w:r>
        <w:rPr>
          <w:color w:val="6B6768"/>
          <w:spacing w:val="0"/>
          <w:w w:val="100"/>
          <w:position w:val="0"/>
        </w:rPr>
        <w:t xml:space="preserve">tmt&gt; </w:t>
      </w:r>
      <w:r>
        <w:rPr>
          <w:spacing w:val="0"/>
          <w:w w:val="100"/>
          <w:position w:val="0"/>
        </w:rPr>
        <w:t>Games</w:t>
      </w:r>
    </w:p>
    <w:p>
      <w:pPr>
        <w:pStyle w:val="Style156"/>
        <w:keepNext w:val="0"/>
        <w:keepLines w:val="0"/>
        <w:widowControl w:val="0"/>
        <w:numPr>
          <w:ilvl w:val="0"/>
          <w:numId w:val="5"/>
        </w:numPr>
        <w:shd w:val="clear" w:color="auto" w:fill="auto"/>
        <w:tabs>
          <w:tab w:pos="174" w:val="left"/>
        </w:tabs>
        <w:bidi w:val="0"/>
        <w:spacing w:before="0" w:after="0" w:line="382" w:lineRule="auto"/>
        <w:ind w:left="0" w:right="0" w:firstLine="0"/>
        <w:jc w:val="left"/>
      </w:pPr>
      <w:bookmarkStart w:id="191" w:name="bookmark191"/>
      <w:bookmarkEnd w:id="191"/>
      <w:r>
        <w:rPr>
          <w:color w:val="383636"/>
          <w:spacing w:val="0"/>
          <w:w w:val="100"/>
          <w:position w:val="0"/>
        </w:rPr>
        <w:t xml:space="preserve">A </w:t>
      </w:r>
      <w:r>
        <w:rPr>
          <w:spacing w:val="0"/>
          <w:w w:val="100"/>
          <w:position w:val="0"/>
        </w:rPr>
        <w:t xml:space="preserve">* </w:t>
      </w:r>
      <w:r>
        <w:rPr>
          <w:color w:val="6B6768"/>
          <w:spacing w:val="0"/>
          <w:w w:val="100"/>
          <w:position w:val="0"/>
        </w:rPr>
        <w:t>Fw*tu»</w:t>
      </w:r>
    </w:p>
    <w:p>
      <w:pPr>
        <w:pStyle w:val="Style156"/>
        <w:keepNext w:val="0"/>
        <w:keepLines w:val="0"/>
        <w:widowControl w:val="0"/>
        <w:numPr>
          <w:ilvl w:val="0"/>
          <w:numId w:val="5"/>
        </w:numPr>
        <w:shd w:val="clear" w:color="auto" w:fill="auto"/>
        <w:tabs>
          <w:tab w:pos="174" w:val="left"/>
        </w:tabs>
        <w:bidi w:val="0"/>
        <w:spacing w:before="0" w:after="0" w:line="146" w:lineRule="exact"/>
        <w:ind w:left="0" w:right="0" w:firstLine="0"/>
        <w:jc w:val="both"/>
      </w:pPr>
      <w:bookmarkStart w:id="192" w:name="bookmark192"/>
      <w:bookmarkEnd w:id="192"/>
      <w:r>
        <w:rPr>
          <w:color w:val="383636"/>
          <w:spacing w:val="0"/>
          <w:w w:val="100"/>
          <w:position w:val="0"/>
        </w:rPr>
        <w:t xml:space="preserve">Q </w:t>
      </w:r>
      <w:r>
        <w:rPr>
          <w:rFonts w:ascii="SimHei" w:eastAsia="SimHei" w:hAnsi="SimHei" w:cs="SimHei"/>
          <w:b w:val="0"/>
          <w:bCs w:val="0"/>
          <w:color w:val="6B6768"/>
          <w:spacing w:val="0"/>
          <w:w w:val="100"/>
          <w:position w:val="0"/>
        </w:rPr>
        <w:t>皿■互</w:t>
      </w:r>
      <w:r>
        <w:rPr>
          <w:spacing w:val="0"/>
          <w:w w:val="100"/>
          <w:position w:val="0"/>
        </w:rPr>
        <w:t>KUn</w:t>
      </w:r>
      <w:r>
        <w:rPr>
          <w:rFonts w:ascii="SimSun" w:eastAsia="SimSun" w:hAnsi="SimSun" w:cs="SimSun"/>
          <w:spacing w:val="0"/>
          <w:w w:val="100"/>
          <w:position w:val="0"/>
          <w:sz w:val="9"/>
          <w:szCs w:val="9"/>
        </w:rPr>
        <w:t>(</w:t>
      </w:r>
      <w:r>
        <w:rPr>
          <w:spacing w:val="0"/>
          <w:w w:val="100"/>
          <w:position w:val="0"/>
        </w:rPr>
        <w:t>p&gt; Games</w:t>
      </w:r>
    </w:p>
    <w:p>
      <w:pPr>
        <w:pStyle w:val="Style156"/>
        <w:keepNext w:val="0"/>
        <w:keepLines w:val="0"/>
        <w:widowControl w:val="0"/>
        <w:numPr>
          <w:ilvl w:val="0"/>
          <w:numId w:val="5"/>
        </w:numPr>
        <w:shd w:val="clear" w:color="auto" w:fill="auto"/>
        <w:tabs>
          <w:tab w:pos="174" w:val="left"/>
        </w:tabs>
        <w:bidi w:val="0"/>
        <w:spacing w:before="0" w:after="0" w:line="382" w:lineRule="auto"/>
        <w:ind w:left="0" w:right="0" w:firstLine="0"/>
        <w:jc w:val="both"/>
      </w:pPr>
      <w:bookmarkStart w:id="193" w:name="bookmark193"/>
      <w:bookmarkEnd w:id="193"/>
      <w:r>
        <w:rPr>
          <w:spacing w:val="0"/>
          <w:w w:val="100"/>
          <w:position w:val="0"/>
        </w:rPr>
        <w:t>S MMB18Y8ZOO</w:t>
      </w:r>
    </w:p>
    <w:p>
      <w:pPr>
        <w:pStyle w:val="Style156"/>
        <w:keepNext w:val="0"/>
        <w:keepLines w:val="0"/>
        <w:widowControl w:val="0"/>
        <w:shd w:val="clear" w:color="auto" w:fill="auto"/>
        <w:bidi w:val="0"/>
        <w:spacing w:before="0" w:after="0" w:line="146" w:lineRule="exact"/>
        <w:ind w:left="0" w:right="0" w:firstLine="0"/>
        <w:jc w:val="left"/>
      </w:pPr>
      <w:r>
        <w:rPr>
          <w:spacing w:val="0"/>
          <w:w w:val="100"/>
          <w:position w:val="0"/>
        </w:rPr>
        <w:t>7</w:t>
      </w:r>
      <w:r>
        <w:rPr>
          <w:rFonts w:ascii="SimHei" w:eastAsia="SimHei" w:hAnsi="SimHei" w:cs="SimHei"/>
          <w:b w:val="0"/>
          <w:bCs w:val="0"/>
          <w:color w:val="383636"/>
          <w:spacing w:val="0"/>
          <w:w w:val="100"/>
          <w:position w:val="0"/>
        </w:rPr>
        <w:t>。</w:t>
      </w:r>
      <w:r>
        <w:rPr>
          <w:rFonts w:ascii="SimHei" w:eastAsia="SimHei" w:hAnsi="SimHei" w:cs="SimHei"/>
          <w:b w:val="0"/>
          <w:bCs w:val="0"/>
          <w:color w:val="6B6768"/>
          <w:spacing w:val="0"/>
          <w:w w:val="100"/>
          <w:position w:val="0"/>
        </w:rPr>
        <w:t>阳</w:t>
      </w:r>
      <w:r>
        <w:rPr>
          <w:b w:val="0"/>
          <w:bCs w:val="0"/>
          <w:color w:val="6B6768"/>
          <w:spacing w:val="0"/>
          <w:w w:val="100"/>
          <w:position w:val="0"/>
        </w:rPr>
        <w:t>»</w:t>
      </w:r>
      <w:r>
        <w:rPr>
          <w:rFonts w:ascii="SimHei" w:eastAsia="SimHei" w:hAnsi="SimHei" w:cs="SimHei"/>
          <w:b w:val="0"/>
          <w:bCs w:val="0"/>
          <w:spacing w:val="0"/>
          <w:w w:val="100"/>
          <w:position w:val="0"/>
        </w:rPr>
        <w:t xml:space="preserve">也界 </w:t>
      </w:r>
      <w:r>
        <w:rPr>
          <w:spacing w:val="0"/>
          <w:w w:val="100"/>
          <w:position w:val="0"/>
        </w:rPr>
        <w:t xml:space="preserve">Poifoctwortil </w:t>
      </w:r>
      <w:r>
        <w:rPr>
          <w:color w:val="383636"/>
          <w:spacing w:val="0"/>
          <w:w w:val="100"/>
          <w:position w:val="0"/>
        </w:rPr>
        <w:t xml:space="preserve">B Q </w:t>
      </w:r>
      <w:r>
        <w:rPr>
          <w:rFonts w:ascii="SimHei" w:eastAsia="SimHei" w:hAnsi="SimHei" w:cs="SimHei"/>
          <w:b w:val="0"/>
          <w:bCs w:val="0"/>
          <w:spacing w:val="0"/>
          <w:w w:val="100"/>
          <w:position w:val="0"/>
        </w:rPr>
        <w:t>破</w:t>
      </w:r>
      <w:r>
        <w:rPr>
          <w:rFonts w:ascii="SimSun" w:eastAsia="SimSun" w:hAnsi="SimSun" w:cs="SimSun"/>
          <w:spacing w:val="0"/>
          <w:w w:val="100"/>
          <w:position w:val="0"/>
          <w:sz w:val="9"/>
          <w:szCs w:val="9"/>
        </w:rPr>
        <w:t>！</w:t>
      </w:r>
      <w:r>
        <w:rPr>
          <w:spacing w:val="0"/>
          <w:w w:val="100"/>
          <w:position w:val="0"/>
        </w:rPr>
        <w:t xml:space="preserve">Ht*laG«g« </w:t>
      </w:r>
      <w:r>
        <w:rPr>
          <w:color w:val="383636"/>
          <w:spacing w:val="0"/>
          <w:w w:val="100"/>
          <w:position w:val="0"/>
        </w:rPr>
        <w:t>s</w:t>
      </w:r>
      <w:r>
        <w:rPr>
          <w:rFonts w:ascii="SimSun" w:eastAsia="SimSun" w:hAnsi="SimSun" w:cs="SimSun"/>
          <w:i/>
          <w:iCs/>
          <w:spacing w:val="0"/>
          <w:w w:val="100"/>
          <w:position w:val="0"/>
          <w:sz w:val="9"/>
          <w:szCs w:val="9"/>
        </w:rPr>
        <w:t>赐</w:t>
      </w:r>
      <w:r>
        <w:rPr>
          <w:spacing w:val="0"/>
          <w:w w:val="100"/>
          <w:position w:val="0"/>
        </w:rPr>
        <w:t>ASM</w:t>
      </w:r>
      <w:r>
        <w:rPr>
          <w:rFonts w:ascii="SimHei" w:eastAsia="SimHei" w:hAnsi="SimHei" w:cs="SimHei"/>
          <w:b w:val="0"/>
          <w:bCs w:val="0"/>
          <w:spacing w:val="0"/>
          <w:w w:val="100"/>
          <w:position w:val="0"/>
        </w:rPr>
        <w:t>部</w:t>
      </w:r>
      <w:r>
        <w:rPr>
          <w:color w:val="6B6768"/>
          <w:spacing w:val="0"/>
          <w:w w:val="100"/>
          <w:position w:val="0"/>
        </w:rPr>
        <w:t>oa</w:t>
      </w:r>
    </w:p>
    <w:p>
      <w:pPr>
        <w:pStyle w:val="Style156"/>
        <w:keepNext w:val="0"/>
        <w:keepLines w:val="0"/>
        <w:widowControl w:val="0"/>
        <w:numPr>
          <w:ilvl w:val="0"/>
          <w:numId w:val="7"/>
        </w:numPr>
        <w:shd w:val="clear" w:color="auto" w:fill="auto"/>
        <w:tabs>
          <w:tab w:pos="198" w:val="left"/>
        </w:tabs>
        <w:bidi w:val="0"/>
        <w:spacing w:before="0" w:after="0" w:line="382" w:lineRule="auto"/>
        <w:ind w:left="0" w:right="0" w:firstLine="0"/>
        <w:jc w:val="left"/>
      </w:pPr>
      <w:bookmarkStart w:id="194" w:name="bookmark194"/>
      <w:bookmarkEnd w:id="194"/>
      <w:r>
        <w:rPr>
          <w:color w:val="383636"/>
          <w:spacing w:val="0"/>
          <w:w w:val="100"/>
          <w:position w:val="0"/>
        </w:rPr>
        <w:t xml:space="preserve">g| </w:t>
      </w:r>
      <w:r>
        <w:rPr>
          <w:spacing w:val="0"/>
          <w:w w:val="100"/>
          <w:position w:val="0"/>
        </w:rPr>
        <w:t>«fVtti»Long1«ch</w:t>
      </w:r>
    </w:p>
    <w:p>
      <w:pPr>
        <w:pStyle w:val="Style156"/>
        <w:keepNext w:val="0"/>
        <w:keepLines w:val="0"/>
        <w:widowControl w:val="0"/>
        <w:numPr>
          <w:ilvl w:val="0"/>
          <w:numId w:val="7"/>
        </w:numPr>
        <w:shd w:val="clear" w:color="auto" w:fill="auto"/>
        <w:tabs>
          <w:tab w:pos="198" w:val="left"/>
        </w:tabs>
        <w:bidi w:val="0"/>
        <w:spacing w:before="0" w:after="0" w:line="146" w:lineRule="exact"/>
        <w:ind w:left="0" w:right="0" w:firstLine="0"/>
        <w:jc w:val="left"/>
      </w:pPr>
      <w:bookmarkStart w:id="195" w:name="bookmark195"/>
      <w:bookmarkEnd w:id="195"/>
      <w:r>
        <w:rPr>
          <w:color w:val="383636"/>
          <w:spacing w:val="0"/>
          <w:w w:val="100"/>
          <w:position w:val="0"/>
        </w:rPr>
        <w:t xml:space="preserve">£5 </w:t>
      </w:r>
      <w:r>
        <w:rPr>
          <w:color w:val="6B6768"/>
          <w:spacing w:val="0"/>
          <w:w w:val="100"/>
          <w:position w:val="0"/>
        </w:rPr>
        <w:t xml:space="preserve">J8®WWV0«rtM </w:t>
      </w:r>
      <w:r>
        <w:rPr>
          <w:color w:val="383636"/>
          <w:spacing w:val="0"/>
          <w:w w:val="100"/>
          <w:position w:val="0"/>
          <w:vertAlign w:val="subscript"/>
        </w:rPr>
        <w:t>12</w:t>
      </w:r>
      <w:r>
        <w:rPr>
          <w:rFonts w:ascii="SimSun" w:eastAsia="SimSun" w:hAnsi="SimSun" w:cs="SimSun"/>
          <w:color w:val="6B6768"/>
          <w:spacing w:val="0"/>
          <w:w w:val="100"/>
          <w:position w:val="0"/>
          <w:sz w:val="9"/>
          <w:szCs w:val="9"/>
        </w:rPr>
        <w:t>(</w:t>
      </w:r>
      <w:r>
        <w:rPr>
          <w:color w:val="6B6768"/>
          <w:spacing w:val="0"/>
          <w:w w:val="100"/>
          <w:position w:val="0"/>
        </w:rPr>
        <w:t xml:space="preserve">3 </w:t>
      </w:r>
      <w:r>
        <w:rPr>
          <w:spacing w:val="0"/>
          <w:w w:val="100"/>
          <w:position w:val="0"/>
        </w:rPr>
        <w:t xml:space="preserve">4399" </w:t>
      </w:r>
      <w:r>
        <w:rPr>
          <w:color w:val="383636"/>
          <w:spacing w:val="0"/>
          <w:w w:val="100"/>
          <w:position w:val="0"/>
        </w:rPr>
        <w:t>4399</w:t>
      </w:r>
    </w:p>
    <w:p>
      <w:pPr>
        <w:pStyle w:val="Style156"/>
        <w:keepNext w:val="0"/>
        <w:keepLines w:val="0"/>
        <w:widowControl w:val="0"/>
        <w:pBdr>
          <w:top w:val="single" w:sz="4" w:space="0" w:color="auto"/>
        </w:pBdr>
        <w:shd w:val="clear" w:color="auto" w:fill="auto"/>
        <w:bidi w:val="0"/>
        <w:spacing w:before="0" w:after="0" w:line="382" w:lineRule="auto"/>
        <w:ind w:left="0" w:right="0" w:firstLine="0"/>
        <w:jc w:val="left"/>
      </w:pPr>
      <w:r>
        <w:rPr>
          <w:color w:val="383636"/>
          <w:spacing w:val="0"/>
          <w:w w:val="100"/>
          <w:position w:val="0"/>
        </w:rPr>
        <w:t xml:space="preserve">is M </w:t>
      </w:r>
      <w:r>
        <w:rPr>
          <w:spacing w:val="0"/>
          <w:w w:val="100"/>
          <w:position w:val="0"/>
        </w:rPr>
        <w:t>CaffetGamaT*</w:t>
      </w:r>
    </w:p>
    <w:p>
      <w:pPr>
        <w:pStyle w:val="Style156"/>
        <w:keepNext w:val="0"/>
        <w:keepLines w:val="0"/>
        <w:widowControl w:val="0"/>
        <w:pBdr>
          <w:top w:val="single" w:sz="4" w:space="0" w:color="auto"/>
        </w:pBdr>
        <w:shd w:val="clear" w:color="auto" w:fill="auto"/>
        <w:bidi w:val="0"/>
        <w:spacing w:before="0" w:after="0" w:line="382" w:lineRule="auto"/>
        <w:ind w:left="0" w:right="0" w:firstLine="0"/>
        <w:jc w:val="both"/>
      </w:pPr>
      <w:r>
        <w:rPr>
          <w:color w:val="383636"/>
          <w:spacing w:val="0"/>
          <w:w w:val="100"/>
          <w:position w:val="0"/>
        </w:rPr>
        <w:t xml:space="preserve">14 M </w:t>
      </w:r>
      <w:r>
        <w:rPr>
          <w:spacing w:val="0"/>
          <w:w w:val="100"/>
          <w:position w:val="0"/>
        </w:rPr>
        <w:t>SSHIiOct-Ga-nn</w:t>
      </w:r>
    </w:p>
    <w:p>
      <w:pPr>
        <w:pStyle w:val="Style156"/>
        <w:keepNext w:val="0"/>
        <w:keepLines w:val="0"/>
        <w:widowControl w:val="0"/>
        <w:numPr>
          <w:ilvl w:val="0"/>
          <w:numId w:val="9"/>
        </w:numPr>
        <w:shd w:val="clear" w:color="auto" w:fill="auto"/>
        <w:tabs>
          <w:tab w:pos="202" w:val="left"/>
        </w:tabs>
        <w:bidi w:val="0"/>
        <w:spacing w:before="0" w:after="0" w:line="240" w:lineRule="auto"/>
        <w:ind w:left="0" w:right="0" w:firstLine="0"/>
        <w:jc w:val="left"/>
      </w:pPr>
      <w:bookmarkStart w:id="196" w:name="bookmark196"/>
      <w:bookmarkEnd w:id="196"/>
      <w:r>
        <w:rPr>
          <w:color w:val="383636"/>
          <w:spacing w:val="0"/>
          <w:w w:val="100"/>
          <w:position w:val="0"/>
        </w:rPr>
        <w:t xml:space="preserve">fft </w:t>
      </w:r>
      <w:r>
        <w:rPr>
          <w:spacing w:val="0"/>
          <w:w w:val="100"/>
          <w:position w:val="0"/>
        </w:rPr>
        <w:t>KSnflt C4ganws</w:t>
      </w:r>
    </w:p>
    <w:p>
      <w:pPr>
        <w:pStyle w:val="Style156"/>
        <w:keepNext w:val="0"/>
        <w:keepLines w:val="0"/>
        <w:widowControl w:val="0"/>
        <w:numPr>
          <w:ilvl w:val="0"/>
          <w:numId w:val="9"/>
        </w:numPr>
        <w:shd w:val="clear" w:color="auto" w:fill="auto"/>
        <w:tabs>
          <w:tab w:pos="207" w:val="left"/>
        </w:tabs>
        <w:bidi w:val="0"/>
        <w:spacing w:before="0" w:after="0" w:line="240" w:lineRule="auto"/>
        <w:ind w:left="0" w:right="0" w:firstLine="0"/>
        <w:jc w:val="left"/>
      </w:pPr>
      <w:bookmarkStart w:id="197" w:name="bookmark197"/>
      <w:bookmarkEnd w:id="197"/>
      <w:r>
        <w:rPr>
          <w:spacing w:val="0"/>
          <w:w w:val="100"/>
          <w:position w:val="0"/>
        </w:rPr>
        <w:t>P H-k5M37 0«n««</w:t>
      </w:r>
    </w:p>
    <w:p>
      <w:pPr>
        <w:pStyle w:val="Style156"/>
        <w:keepNext w:val="0"/>
        <w:keepLines w:val="0"/>
        <w:widowControl w:val="0"/>
        <w:shd w:val="clear" w:color="auto" w:fill="auto"/>
        <w:bidi w:val="0"/>
        <w:spacing w:before="0" w:after="0" w:line="240" w:lineRule="auto"/>
        <w:ind w:left="0" w:right="0" w:firstLine="0"/>
        <w:jc w:val="left"/>
      </w:pPr>
      <w:r>
        <w:rPr>
          <w:color w:val="383636"/>
          <w:spacing w:val="0"/>
          <w:w w:val="100"/>
          <w:position w:val="0"/>
        </w:rPr>
        <w:t xml:space="preserve">1B </w:t>
      </w:r>
      <w:r>
        <w:rPr>
          <w:rFonts w:ascii="SimHei" w:eastAsia="SimHei" w:hAnsi="SimHei" w:cs="SimHei"/>
          <w:b w:val="0"/>
          <w:bCs w:val="0"/>
          <w:color w:val="6B6768"/>
          <w:spacing w:val="0"/>
          <w:w w:val="100"/>
          <w:position w:val="0"/>
        </w:rPr>
        <w:t xml:space="preserve">瞄 </w:t>
      </w:r>
      <w:r>
        <w:rPr>
          <w:i/>
          <w:iCs/>
          <w:spacing w:val="0"/>
          <w:w w:val="100"/>
          <w:position w:val="0"/>
        </w:rPr>
        <w:t>9.HK</w:t>
      </w:r>
      <w:r>
        <w:rPr>
          <w:spacing w:val="0"/>
          <w:w w:val="100"/>
          <w:position w:val="0"/>
        </w:rPr>
        <w:t xml:space="preserve"> </w:t>
      </w:r>
      <w:r>
        <w:rPr>
          <w:color w:val="383636"/>
          <w:spacing w:val="0"/>
          <w:w w:val="100"/>
          <w:position w:val="0"/>
        </w:rPr>
        <w:t xml:space="preserve">Happy </w:t>
      </w:r>
      <w:r>
        <w:rPr>
          <w:color w:val="6B6768"/>
          <w:spacing w:val="0"/>
          <w:w w:val="100"/>
          <w:position w:val="0"/>
        </w:rPr>
        <w:t>EtawnBi</w:t>
      </w:r>
    </w:p>
    <w:p>
      <w:pPr>
        <w:pStyle w:val="Style156"/>
        <w:keepNext w:val="0"/>
        <w:keepLines w:val="0"/>
        <w:widowControl w:val="0"/>
        <w:shd w:val="clear" w:color="auto" w:fill="auto"/>
        <w:bidi w:val="0"/>
        <w:spacing w:before="0" w:after="0" w:line="240" w:lineRule="auto"/>
        <w:ind w:left="0" w:right="0" w:firstLine="0"/>
        <w:jc w:val="left"/>
      </w:pPr>
      <w:r>
        <w:rPr>
          <w:color w:val="383636"/>
          <w:spacing w:val="0"/>
          <w:w w:val="100"/>
          <w:position w:val="0"/>
        </w:rPr>
        <w:t>10</w:t>
      </w:r>
      <w:r>
        <w:rPr>
          <w:rFonts w:ascii="SimHei" w:eastAsia="SimHei" w:hAnsi="SimHei" w:cs="SimHei"/>
          <w:b w:val="0"/>
          <w:bCs w:val="0"/>
          <w:spacing w:val="0"/>
          <w:w w:val="100"/>
          <w:position w:val="0"/>
        </w:rPr>
        <w:t>域</w:t>
      </w:r>
      <w:r>
        <w:rPr>
          <w:rFonts w:ascii="SimHei" w:eastAsia="SimHei" w:hAnsi="SimHei" w:cs="SimHei"/>
          <w:b w:val="0"/>
          <w:bCs w:val="0"/>
          <w:color w:val="383636"/>
          <w:spacing w:val="0"/>
          <w:w w:val="100"/>
          <w:position w:val="0"/>
        </w:rPr>
        <w:t>津</w:t>
      </w:r>
      <w:r>
        <w:rPr>
          <w:b w:val="0"/>
          <w:bCs w:val="0"/>
          <w:spacing w:val="0"/>
          <w:w w:val="100"/>
          <w:position w:val="0"/>
        </w:rPr>
        <w:t>・</w:t>
      </w:r>
      <w:r>
        <w:rPr>
          <w:rFonts w:ascii="SimHei" w:eastAsia="SimHei" w:hAnsi="SimHei" w:cs="SimHei"/>
          <w:b w:val="0"/>
          <w:bCs w:val="0"/>
          <w:spacing w:val="0"/>
          <w:w w:val="100"/>
          <w:position w:val="0"/>
        </w:rPr>
        <w:t>科妆</w:t>
      </w:r>
      <w:r>
        <w:rPr>
          <w:spacing w:val="0"/>
          <w:w w:val="100"/>
          <w:position w:val="0"/>
        </w:rPr>
        <w:t>Moonion</w:t>
      </w:r>
    </w:p>
    <w:p>
      <w:pPr>
        <w:pStyle w:val="Style156"/>
        <w:keepNext w:val="0"/>
        <w:keepLines w:val="0"/>
        <w:widowControl w:val="0"/>
        <w:numPr>
          <w:ilvl w:val="0"/>
          <w:numId w:val="11"/>
        </w:numPr>
        <w:shd w:val="clear" w:color="auto" w:fill="auto"/>
        <w:tabs>
          <w:tab w:pos="207" w:val="left"/>
        </w:tabs>
        <w:bidi w:val="0"/>
        <w:spacing w:before="0" w:after="0" w:line="240" w:lineRule="auto"/>
        <w:ind w:left="0" w:right="0" w:firstLine="0"/>
        <w:jc w:val="left"/>
      </w:pPr>
      <w:bookmarkStart w:id="198" w:name="bookmark198"/>
      <w:bookmarkEnd w:id="198"/>
      <w:r>
        <w:rPr>
          <w:color w:val="383636"/>
          <w:spacing w:val="0"/>
          <w:w w:val="100"/>
          <w:position w:val="0"/>
        </w:rPr>
        <w:t xml:space="preserve">£1 </w:t>
      </w:r>
      <w:r>
        <w:rPr>
          <w:spacing w:val="0"/>
          <w:w w:val="100"/>
          <w:position w:val="0"/>
        </w:rPr>
        <w:t>SWWJiFramnVnea</w:t>
      </w:r>
    </w:p>
    <w:p>
      <w:pPr>
        <w:pStyle w:val="Style156"/>
        <w:keepNext w:val="0"/>
        <w:keepLines w:val="0"/>
        <w:widowControl w:val="0"/>
        <w:numPr>
          <w:ilvl w:val="0"/>
          <w:numId w:val="11"/>
        </w:numPr>
        <w:shd w:val="clear" w:color="auto" w:fill="auto"/>
        <w:tabs>
          <w:tab w:pos="283" w:val="left"/>
        </w:tabs>
        <w:bidi w:val="0"/>
        <w:spacing w:before="0" w:after="0" w:line="240" w:lineRule="auto"/>
        <w:ind w:left="0" w:right="0" w:firstLine="0"/>
        <w:jc w:val="both"/>
      </w:pPr>
      <w:bookmarkStart w:id="199" w:name="bookmark199"/>
      <w:bookmarkEnd w:id="199"/>
      <w:r>
        <w:rPr>
          <w:color w:val="6B6768"/>
          <w:spacing w:val="0"/>
          <w:w w:val="100"/>
          <w:position w:val="0"/>
        </w:rPr>
        <w:t>O^MMX.D.OIoW</w:t>
      </w:r>
    </w:p>
    <w:p>
      <w:pPr>
        <w:pStyle w:val="Style156"/>
        <w:keepNext w:val="0"/>
        <w:keepLines w:val="0"/>
        <w:widowControl w:val="0"/>
        <w:numPr>
          <w:ilvl w:val="0"/>
          <w:numId w:val="11"/>
        </w:numPr>
        <w:shd w:val="clear" w:color="auto" w:fill="auto"/>
        <w:tabs>
          <w:tab w:pos="207" w:val="left"/>
        </w:tabs>
        <w:bidi w:val="0"/>
        <w:spacing w:before="0" w:after="0" w:line="240" w:lineRule="auto"/>
        <w:ind w:left="0" w:right="0" w:firstLine="0"/>
        <w:jc w:val="left"/>
      </w:pPr>
      <w:bookmarkStart w:id="200" w:name="bookmark200"/>
      <w:bookmarkEnd w:id="200"/>
      <w:r>
        <w:rPr>
          <w:spacing w:val="0"/>
          <w:w w:val="100"/>
          <w:position w:val="0"/>
        </w:rPr>
        <w:t>C. ««»nzior&gt;ga</w:t>
      </w:r>
      <w:r>
        <w:rPr>
          <w:spacing w:val="0"/>
          <w:w w:val="100"/>
          <w:position w:val="0"/>
          <w:vertAlign w:val="subscript"/>
        </w:rPr>
        <w:t>B</w:t>
      </w:r>
      <w:r>
        <w:rPr>
          <w:spacing w:val="0"/>
          <w:w w:val="100"/>
          <w:position w:val="0"/>
        </w:rPr>
        <w:t>in.</w:t>
      </w:r>
      <w:r>
        <w:rPr>
          <w:spacing w:val="0"/>
          <w:w w:val="100"/>
          <w:position w:val="0"/>
          <w:vertAlign w:val="subscript"/>
        </w:rPr>
        <w:t>l</w:t>
      </w:r>
    </w:p>
    <w:p>
      <w:pPr>
        <w:pStyle w:val="Style156"/>
        <w:keepNext w:val="0"/>
        <w:keepLines w:val="0"/>
        <w:widowControl w:val="0"/>
        <w:numPr>
          <w:ilvl w:val="0"/>
          <w:numId w:val="11"/>
        </w:numPr>
        <w:shd w:val="clear" w:color="auto" w:fill="auto"/>
        <w:tabs>
          <w:tab w:pos="207" w:val="left"/>
        </w:tabs>
        <w:bidi w:val="0"/>
        <w:spacing w:before="0" w:after="0" w:line="240" w:lineRule="auto"/>
        <w:ind w:left="0" w:right="0" w:firstLine="0"/>
        <w:jc w:val="left"/>
      </w:pPr>
      <w:bookmarkStart w:id="201" w:name="bookmark201"/>
      <w:bookmarkEnd w:id="201"/>
      <w:r>
        <w:rPr>
          <w:color w:val="383636"/>
          <w:spacing w:val="0"/>
          <w:w w:val="100"/>
          <w:position w:val="0"/>
        </w:rPr>
        <w:t xml:space="preserve">X </w:t>
      </w:r>
      <w:r>
        <w:rPr>
          <w:color w:val="6B6768"/>
          <w:spacing w:val="0"/>
          <w:w w:val="100"/>
          <w:position w:val="0"/>
        </w:rPr>
        <w:t>MI8» mHcrtb</w:t>
      </w:r>
    </w:p>
    <w:p>
      <w:pPr>
        <w:pStyle w:val="Style156"/>
        <w:keepNext w:val="0"/>
        <w:keepLines w:val="0"/>
        <w:widowControl w:val="0"/>
        <w:numPr>
          <w:ilvl w:val="0"/>
          <w:numId w:val="11"/>
        </w:numPr>
        <w:shd w:val="clear" w:color="auto" w:fill="auto"/>
        <w:tabs>
          <w:tab w:pos="207" w:val="left"/>
        </w:tabs>
        <w:bidi w:val="0"/>
        <w:spacing w:before="0" w:after="0" w:line="240" w:lineRule="auto"/>
        <w:ind w:left="0" w:right="0" w:firstLine="0"/>
        <w:jc w:val="left"/>
      </w:pPr>
      <w:bookmarkStart w:id="202" w:name="bookmark202"/>
      <w:bookmarkEnd w:id="202"/>
      <w:r>
        <w:rPr>
          <w:rFonts w:ascii="SimSun" w:eastAsia="SimSun" w:hAnsi="SimSun" w:cs="SimSun"/>
          <w:i/>
          <w:iCs/>
          <w:color w:val="6B6768"/>
          <w:spacing w:val="0"/>
          <w:w w:val="100"/>
          <w:position w:val="0"/>
          <w:sz w:val="9"/>
          <w:szCs w:val="9"/>
        </w:rPr>
        <w:t>噎</w:t>
      </w:r>
      <w:r>
        <w:rPr>
          <w:color w:val="6B6768"/>
          <w:spacing w:val="0"/>
          <w:w w:val="100"/>
          <w:position w:val="0"/>
        </w:rPr>
        <w:t xml:space="preserve"> </w:t>
      </w:r>
      <w:r>
        <w:rPr>
          <w:color w:val="6B6768"/>
          <w:spacing w:val="0"/>
          <w:w w:val="100"/>
          <w:position w:val="0"/>
        </w:rPr>
        <w:t>rJ2n*Ar«cnill</w:t>
      </w:r>
    </w:p>
    <w:p>
      <w:pPr>
        <w:pStyle w:val="Style156"/>
        <w:keepNext w:val="0"/>
        <w:keepLines w:val="0"/>
        <w:widowControl w:val="0"/>
        <w:numPr>
          <w:ilvl w:val="0"/>
          <w:numId w:val="11"/>
        </w:numPr>
        <w:shd w:val="clear" w:color="auto" w:fill="auto"/>
        <w:tabs>
          <w:tab w:pos="207" w:val="left"/>
        </w:tabs>
        <w:bidi w:val="0"/>
        <w:spacing w:before="0" w:after="0" w:line="240" w:lineRule="auto"/>
        <w:ind w:left="0" w:right="0" w:firstLine="0"/>
        <w:jc w:val="left"/>
      </w:pPr>
      <w:bookmarkStart w:id="203" w:name="bookmark203"/>
      <w:bookmarkEnd w:id="203"/>
      <w:r>
        <w:rPr>
          <w:rFonts w:ascii="SimHei" w:eastAsia="SimHei" w:hAnsi="SimHei" w:cs="SimHei"/>
          <w:b w:val="0"/>
          <w:bCs w:val="0"/>
          <w:color w:val="833A39"/>
          <w:spacing w:val="0"/>
          <w:w w:val="100"/>
          <w:position w:val="0"/>
        </w:rPr>
        <w:t xml:space="preserve">知 </w:t>
      </w:r>
      <w:r>
        <w:rPr>
          <w:spacing w:val="0"/>
          <w:w w:val="100"/>
          <w:position w:val="0"/>
        </w:rPr>
        <w:t>«»W«iOu-Palm</w:t>
      </w:r>
    </w:p>
    <w:p>
      <w:pPr>
        <w:pStyle w:val="Style156"/>
        <w:keepNext w:val="0"/>
        <w:keepLines w:val="0"/>
        <w:widowControl w:val="0"/>
        <w:shd w:val="clear" w:color="auto" w:fill="auto"/>
        <w:bidi w:val="0"/>
        <w:spacing w:before="0" w:after="0" w:line="240" w:lineRule="auto"/>
        <w:ind w:left="0" w:right="0" w:firstLine="0"/>
        <w:jc w:val="left"/>
      </w:pPr>
      <w:r>
        <w:rPr>
          <w:color w:val="383636"/>
          <w:spacing w:val="0"/>
          <w:w w:val="100"/>
          <w:position w:val="0"/>
        </w:rPr>
        <w:t xml:space="preserve">2« </w:t>
      </w:r>
      <w:r>
        <w:rPr>
          <w:rFonts w:ascii="SimHei" w:eastAsia="SimHei" w:hAnsi="SimHei" w:cs="SimHei"/>
          <w:b w:val="0"/>
          <w:bCs w:val="0"/>
          <w:color w:val="69698F"/>
          <w:spacing w:val="0"/>
          <w:w w:val="100"/>
          <w:position w:val="0"/>
        </w:rPr>
        <w:t xml:space="preserve">时 </w:t>
      </w:r>
      <w:r>
        <w:rPr>
          <w:spacing w:val="0"/>
          <w:w w:val="100"/>
          <w:position w:val="0"/>
        </w:rPr>
        <w:t>RHMM bllbb</w:t>
      </w:r>
    </w:p>
    <w:p>
      <w:pPr>
        <w:pStyle w:val="Style156"/>
        <w:keepNext w:val="0"/>
        <w:keepLines w:val="0"/>
        <w:widowControl w:val="0"/>
        <w:shd w:val="clear" w:color="auto" w:fill="auto"/>
        <w:tabs>
          <w:tab w:pos="283" w:val="left"/>
        </w:tabs>
        <w:bidi w:val="0"/>
        <w:spacing w:before="0" w:after="0" w:line="240" w:lineRule="auto"/>
        <w:ind w:left="0" w:right="0" w:firstLine="0"/>
        <w:jc w:val="left"/>
      </w:pPr>
      <w:r>
        <w:rPr>
          <w:color w:val="383636"/>
          <w:spacing w:val="0"/>
          <w:w w:val="100"/>
          <w:position w:val="0"/>
        </w:rPr>
        <w:t>27</w:t>
        <w:tab/>
      </w:r>
      <w:r>
        <w:rPr>
          <w:spacing w:val="0"/>
          <w:w w:val="100"/>
          <w:position w:val="0"/>
        </w:rPr>
        <w:t>MBS</w:t>
      </w:r>
      <w:r>
        <w:rPr>
          <w:color w:val="6B6768"/>
          <w:spacing w:val="0"/>
          <w:w w:val="100"/>
          <w:position w:val="0"/>
        </w:rPr>
        <w:t xml:space="preserve">ii» </w:t>
      </w:r>
      <w:r>
        <w:rPr>
          <w:color w:val="383636"/>
          <w:spacing w:val="0"/>
          <w:w w:val="100"/>
          <w:position w:val="0"/>
        </w:rPr>
        <w:t xml:space="preserve">CHUANG </w:t>
      </w:r>
      <w:r>
        <w:rPr>
          <w:spacing w:val="0"/>
          <w:w w:val="100"/>
          <w:position w:val="0"/>
        </w:rPr>
        <w:t>COOL</w:t>
      </w:r>
    </w:p>
    <w:p>
      <w:pPr>
        <w:pStyle w:val="Style156"/>
        <w:keepNext w:val="0"/>
        <w:keepLines w:val="0"/>
        <w:widowControl w:val="0"/>
        <w:shd w:val="clear" w:color="auto" w:fill="auto"/>
        <w:bidi w:val="0"/>
        <w:spacing w:before="0" w:after="0" w:line="240" w:lineRule="auto"/>
        <w:ind w:left="0" w:right="0" w:firstLine="0"/>
        <w:jc w:val="left"/>
      </w:pPr>
      <w:r>
        <w:rPr>
          <w:spacing w:val="0"/>
          <w:w w:val="100"/>
          <w:position w:val="0"/>
        </w:rPr>
        <w:t xml:space="preserve">2S </w:t>
      </w:r>
      <w:r>
        <w:rPr>
          <w:rFonts w:ascii="SimHei" w:eastAsia="SimHei" w:hAnsi="SimHei" w:cs="SimHei"/>
          <w:b w:val="0"/>
          <w:bCs w:val="0"/>
          <w:spacing w:val="0"/>
          <w:w w:val="100"/>
          <w:position w:val="0"/>
        </w:rPr>
        <w:t xml:space="preserve">空 </w:t>
      </w:r>
      <w:r>
        <w:rPr>
          <w:spacing w:val="0"/>
          <w:w w:val="100"/>
          <w:position w:val="0"/>
        </w:rPr>
        <w:t>e!MI?R BaMtriw</w:t>
      </w:r>
    </w:p>
    <w:p>
      <w:pPr>
        <w:pStyle w:val="Style156"/>
        <w:keepNext w:val="0"/>
        <w:keepLines w:val="0"/>
        <w:widowControl w:val="0"/>
        <w:shd w:val="clear" w:color="auto" w:fill="auto"/>
        <w:tabs>
          <w:tab w:pos="283" w:val="left"/>
        </w:tabs>
        <w:bidi w:val="0"/>
        <w:spacing w:before="0" w:after="0" w:line="240" w:lineRule="auto"/>
        <w:ind w:left="0" w:right="0" w:firstLine="0"/>
        <w:jc w:val="left"/>
        <w:sectPr>
          <w:footnotePr>
            <w:pos w:val="pageBottom"/>
            <w:numFmt w:val="decimal"/>
            <w:numRestart w:val="continuous"/>
          </w:footnotePr>
          <w:type w:val="continuous"/>
          <w:pgSz w:w="11904" w:h="17375"/>
          <w:pgMar w:top="1857" w:right="4618" w:bottom="1809" w:left="3245" w:header="0" w:footer="3" w:gutter="0"/>
          <w:cols w:num="3" w:space="720" w:equalWidth="0">
            <w:col w:w="1113" w:space="497"/>
            <w:col w:w="1113" w:space="204"/>
            <w:col w:w="1113"/>
          </w:cols>
          <w:noEndnote/>
          <w:rtlGutter w:val="0"/>
          <w:docGrid w:linePitch="360"/>
        </w:sectPr>
      </w:pPr>
      <w:r>
        <w:rPr>
          <w:color w:val="383636"/>
          <w:spacing w:val="0"/>
          <w:w w:val="100"/>
          <w:position w:val="0"/>
        </w:rPr>
        <w:t>29</w:t>
        <w:tab/>
      </w:r>
      <w:r>
        <w:rPr>
          <w:spacing w:val="0"/>
          <w:w w:val="100"/>
          <w:position w:val="0"/>
        </w:rPr>
        <w:t>VEASfl ELEX</w:t>
      </w:r>
    </w:p>
    <w:p>
      <w:pPr>
        <w:pStyle w:val="Style41"/>
        <w:keepNext w:val="0"/>
        <w:keepLines w:val="0"/>
        <w:widowControl w:val="0"/>
        <w:shd w:val="clear" w:color="auto" w:fill="auto"/>
        <w:bidi w:val="0"/>
        <w:spacing w:before="0" w:after="740" w:line="468" w:lineRule="exact"/>
        <w:ind w:left="0" w:right="0" w:firstLine="0"/>
        <w:jc w:val="center"/>
      </w:pPr>
      <w:r>
        <w:rPr>
          <w:b/>
          <w:bCs/>
          <w:color w:val="000000"/>
          <w:spacing w:val="0"/>
          <w:w w:val="100"/>
          <w:position w:val="0"/>
        </w:rPr>
        <w:t>（部分第三方榜单数据排名示例）</w:t>
      </w:r>
    </w:p>
    <w:p>
      <w:pPr>
        <w:pStyle w:val="Style39"/>
        <w:keepNext/>
        <w:keepLines/>
        <w:widowControl w:val="0"/>
        <w:shd w:val="clear" w:color="auto" w:fill="auto"/>
        <w:bidi w:val="0"/>
        <w:spacing w:before="0" w:after="0" w:line="542" w:lineRule="auto"/>
        <w:ind w:left="0" w:right="0" w:firstLine="380"/>
        <w:jc w:val="both"/>
        <w:rPr>
          <w:sz w:val="18"/>
          <w:szCs w:val="18"/>
        </w:rPr>
      </w:pPr>
      <w:bookmarkStart w:id="204" w:name="bookmark204"/>
      <w:bookmarkStart w:id="205" w:name="bookmark205"/>
      <w:bookmarkStart w:id="206" w:name="bookmark206"/>
      <w:bookmarkStart w:id="207" w:name="bookmark207"/>
      <w:r>
        <w:rPr>
          <w:rFonts w:ascii="Times New Roman" w:eastAsia="Times New Roman" w:hAnsi="Times New Roman" w:cs="Times New Roman"/>
          <w:i/>
          <w:iCs/>
          <w:color w:val="000000"/>
          <w:spacing w:val="0"/>
          <w:w w:val="100"/>
          <w:position w:val="0"/>
          <w:sz w:val="18"/>
          <w:szCs w:val="18"/>
          <w:u w:val="single"/>
        </w:rPr>
        <w:t>3</w:t>
      </w:r>
      <w:bookmarkEnd w:id="206"/>
      <w:r>
        <w:rPr>
          <w:i/>
          <w:iCs/>
          <w:color w:val="000000"/>
          <w:spacing w:val="0"/>
          <w:w w:val="100"/>
          <w:position w:val="0"/>
          <w:sz w:val="18"/>
          <w:szCs w:val="18"/>
          <w:u w:val="single"/>
        </w:rPr>
        <w:t>、物联网与通信业务</w:t>
      </w:r>
      <w:bookmarkEnd w:id="204"/>
      <w:bookmarkEnd w:id="205"/>
      <w:bookmarkEnd w:id="207"/>
    </w:p>
    <w:p>
      <w:pPr>
        <w:pStyle w:val="Style41"/>
        <w:keepNext w:val="0"/>
        <w:keepLines w:val="0"/>
        <w:widowControl w:val="0"/>
        <w:shd w:val="clear" w:color="auto" w:fill="auto"/>
        <w:tabs>
          <w:tab w:pos="718" w:val="left"/>
        </w:tabs>
        <w:bidi w:val="0"/>
        <w:spacing w:before="0" w:after="0" w:line="542" w:lineRule="auto"/>
        <w:ind w:left="0" w:right="0"/>
        <w:jc w:val="both"/>
      </w:pPr>
      <w:bookmarkStart w:id="208" w:name="bookmark208"/>
      <w:r>
        <w:rPr>
          <w:rFonts w:ascii="Times New Roman" w:eastAsia="Times New Roman" w:hAnsi="Times New Roman" w:cs="Times New Roman"/>
          <w:b/>
          <w:bCs/>
          <w:color w:val="000000"/>
          <w:spacing w:val="0"/>
          <w:w w:val="100"/>
          <w:position w:val="0"/>
          <w:sz w:val="18"/>
          <w:szCs w:val="18"/>
        </w:rPr>
        <w:t>A</w:t>
      </w:r>
      <w:bookmarkEnd w:id="208"/>
      <w:r>
        <w:rPr>
          <w:b/>
          <w:bCs/>
          <w:color w:val="000000"/>
          <w:spacing w:val="0"/>
          <w:w w:val="100"/>
          <w:position w:val="0"/>
        </w:rPr>
        <w:t>、</w:t>
        <w:tab/>
      </w:r>
      <w:r>
        <w:rPr>
          <w:b/>
          <w:bCs/>
          <w:color w:val="000000"/>
          <w:spacing w:val="0"/>
          <w:w w:val="100"/>
          <w:position w:val="0"/>
        </w:rPr>
        <w:t>再次获得核电领域客户认可</w:t>
      </w:r>
    </w:p>
    <w:p>
      <w:pPr>
        <w:pStyle w:val="Style41"/>
        <w:keepNext w:val="0"/>
        <w:keepLines w:val="0"/>
        <w:widowControl w:val="0"/>
        <w:shd w:val="clear" w:color="auto" w:fill="auto"/>
        <w:bidi w:val="0"/>
        <w:spacing w:before="0" w:after="40" w:line="470" w:lineRule="exact"/>
        <w:ind w:left="0" w:right="0"/>
        <w:jc w:val="both"/>
      </w:pPr>
      <w:r>
        <w:rPr>
          <w:color w:val="000000"/>
          <w:spacing w:val="0"/>
          <w:w w:val="100"/>
          <w:position w:val="0"/>
        </w:rPr>
        <w:t>继中核田湾核电</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6</w:t>
      </w:r>
      <w:r>
        <w:rPr>
          <w:color w:val="000000"/>
          <w:spacing w:val="0"/>
          <w:w w:val="100"/>
          <w:position w:val="0"/>
        </w:rPr>
        <w:t>号机组无线通信系统建设、中广核防城港核电</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号机组无线通信系统改造工程后，报告期内, 公司再次陆续实施了防城港二期</w:t>
      </w:r>
      <w:r>
        <w:rPr>
          <w:rFonts w:ascii="Times New Roman" w:eastAsia="Times New Roman" w:hAnsi="Times New Roman" w:cs="Times New Roman"/>
          <w:color w:val="000000"/>
          <w:spacing w:val="0"/>
          <w:w w:val="100"/>
          <w:position w:val="0"/>
          <w:sz w:val="18"/>
          <w:szCs w:val="18"/>
        </w:rPr>
        <w:t>LOT78G</w:t>
      </w:r>
      <w:r>
        <w:rPr>
          <w:color w:val="000000"/>
          <w:spacing w:val="0"/>
          <w:w w:val="100"/>
          <w:position w:val="0"/>
        </w:rPr>
        <w:t>无线通信系统项目、阳江核电无线通讯系统项目、台山核电基地融合通讯系统平 台项目、核动力运行研究所天网系统项目，新核电站项目的陆续签约落地，也是对公司智慧核电产品能力的认可，进一步夯 实了公司智慧核电的品牌实力。</w:t>
      </w:r>
    </w:p>
    <w:p>
      <w:pPr>
        <w:pStyle w:val="Style41"/>
        <w:keepNext w:val="0"/>
        <w:keepLines w:val="0"/>
        <w:widowControl w:val="0"/>
        <w:shd w:val="clear" w:color="auto" w:fill="auto"/>
        <w:tabs>
          <w:tab w:pos="718" w:val="left"/>
        </w:tabs>
        <w:bidi w:val="0"/>
        <w:spacing w:before="0" w:after="0" w:line="468" w:lineRule="exact"/>
        <w:ind w:left="0" w:right="0"/>
        <w:jc w:val="both"/>
      </w:pPr>
      <w:bookmarkStart w:id="209" w:name="bookmark209"/>
      <w:r>
        <w:rPr>
          <w:rFonts w:ascii="Times New Roman" w:eastAsia="Times New Roman" w:hAnsi="Times New Roman" w:cs="Times New Roman"/>
          <w:b/>
          <w:bCs/>
          <w:color w:val="000000"/>
          <w:spacing w:val="0"/>
          <w:w w:val="100"/>
          <w:position w:val="0"/>
          <w:sz w:val="18"/>
          <w:szCs w:val="18"/>
        </w:rPr>
        <w:t>B</w:t>
      </w:r>
      <w:bookmarkEnd w:id="209"/>
      <w:r>
        <w:rPr>
          <w:b/>
          <w:bCs/>
          <w:color w:val="000000"/>
          <w:spacing w:val="0"/>
          <w:w w:val="100"/>
          <w:position w:val="0"/>
        </w:rPr>
        <w:t>、</w:t>
        <w:tab/>
      </w:r>
      <w:r>
        <w:rPr>
          <w:b/>
          <w:bCs/>
          <w:color w:val="000000"/>
          <w:spacing w:val="0"/>
          <w:w w:val="100"/>
          <w:position w:val="0"/>
        </w:rPr>
        <w:t>牵头共建</w:t>
      </w:r>
      <w:r>
        <w:rPr>
          <w:rFonts w:ascii="Times New Roman" w:eastAsia="Times New Roman" w:hAnsi="Times New Roman" w:cs="Times New Roman"/>
          <w:b/>
          <w:bCs/>
          <w:color w:val="000000"/>
          <w:spacing w:val="0"/>
          <w:w w:val="100"/>
          <w:position w:val="0"/>
          <w:sz w:val="18"/>
          <w:szCs w:val="18"/>
        </w:rPr>
        <w:t>“5G+</w:t>
      </w:r>
      <w:r>
        <w:rPr>
          <w:b/>
          <w:bCs/>
          <w:color w:val="000000"/>
          <w:spacing w:val="0"/>
          <w:w w:val="100"/>
          <w:position w:val="0"/>
        </w:rPr>
        <w:t>工业互联网联合研究与实验</w:t>
      </w:r>
      <w:r>
        <w:rPr>
          <w:rFonts w:ascii="Times New Roman" w:eastAsia="Times New Roman" w:hAnsi="Times New Roman" w:cs="Times New Roman"/>
          <w:b/>
          <w:bCs/>
          <w:color w:val="000000"/>
          <w:spacing w:val="0"/>
          <w:w w:val="100"/>
          <w:position w:val="0"/>
          <w:sz w:val="18"/>
          <w:szCs w:val="18"/>
        </w:rPr>
        <w:t>”</w:t>
      </w:r>
      <w:r>
        <w:rPr>
          <w:b/>
          <w:bCs/>
          <w:color w:val="000000"/>
          <w:spacing w:val="0"/>
          <w:w w:val="100"/>
          <w:position w:val="0"/>
        </w:rPr>
        <w:t>联合体</w:t>
      </w:r>
    </w:p>
    <w:p>
      <w:pPr>
        <w:pStyle w:val="Style41"/>
        <w:keepNext w:val="0"/>
        <w:keepLines w:val="0"/>
        <w:widowControl w:val="0"/>
        <w:shd w:val="clear" w:color="auto" w:fill="auto"/>
        <w:bidi w:val="0"/>
        <w:spacing w:before="0" w:after="380" w:line="468" w:lineRule="exact"/>
        <w:ind w:left="0" w:right="0"/>
        <w:jc w:val="both"/>
        <w:sectPr>
          <w:footnotePr>
            <w:pos w:val="pageBottom"/>
            <w:numFmt w:val="decimal"/>
            <w:numRestart w:val="continuous"/>
          </w:footnotePr>
          <w:type w:val="continuous"/>
          <w:pgSz w:w="11904" w:h="17375"/>
          <w:pgMar w:top="1857" w:right="1023" w:bottom="1809" w:left="1109" w:header="0" w:footer="3" w:gutter="0"/>
          <w:cols w:space="720"/>
          <w:noEndnote/>
          <w:rtlGutter w:val="0"/>
          <w:docGrid w:linePitch="360"/>
        </w:sectPr>
      </w:pPr>
      <w:r>
        <w:rPr>
          <w:color w:val="000000"/>
          <w:spacing w:val="0"/>
          <w:w w:val="100"/>
          <w:position w:val="0"/>
        </w:rPr>
        <w:t>由公司牵头，联合中核武汉核电运行技术股份有限公司、中国移动通信集团北京有限公司、中国科学院声学研究所（国 际</w:t>
      </w:r>
      <w:r>
        <w:rPr>
          <w:rFonts w:ascii="Times New Roman" w:eastAsia="Times New Roman" w:hAnsi="Times New Roman" w:cs="Times New Roman"/>
          <w:color w:val="000000"/>
          <w:spacing w:val="0"/>
          <w:w w:val="100"/>
          <w:position w:val="0"/>
          <w:sz w:val="18"/>
          <w:szCs w:val="18"/>
        </w:rPr>
        <w:t>3GPP</w:t>
      </w:r>
      <w:r>
        <w:rPr>
          <w:color w:val="000000"/>
          <w:spacing w:val="0"/>
          <w:w w:val="100"/>
          <w:position w:val="0"/>
        </w:rPr>
        <w:t>组织</w:t>
      </w:r>
      <w:r>
        <w:rPr>
          <w:rFonts w:ascii="Times New Roman" w:eastAsia="Times New Roman" w:hAnsi="Times New Roman" w:cs="Times New Roman"/>
          <w:color w:val="000000"/>
          <w:spacing w:val="0"/>
          <w:w w:val="100"/>
          <w:position w:val="0"/>
          <w:sz w:val="18"/>
          <w:szCs w:val="18"/>
        </w:rPr>
        <w:t>5G</w:t>
      </w:r>
      <w:r>
        <w:rPr>
          <w:color w:val="000000"/>
          <w:spacing w:val="0"/>
          <w:w w:val="100"/>
          <w:position w:val="0"/>
        </w:rPr>
        <w:t>标准组成员单位）等单位共同组成的</w:t>
      </w:r>
      <w:r>
        <w:rPr>
          <w:rFonts w:ascii="Times New Roman" w:eastAsia="Times New Roman" w:hAnsi="Times New Roman" w:cs="Times New Roman"/>
          <w:color w:val="000000"/>
          <w:spacing w:val="0"/>
          <w:w w:val="100"/>
          <w:position w:val="0"/>
          <w:sz w:val="18"/>
          <w:szCs w:val="18"/>
        </w:rPr>
        <w:t>“5G+</w:t>
      </w:r>
      <w:r>
        <w:rPr>
          <w:color w:val="000000"/>
          <w:spacing w:val="0"/>
          <w:w w:val="100"/>
          <w:position w:val="0"/>
        </w:rPr>
        <w:t>工业互联网联合研究与实验</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联合体，成功中标国家工业和信息 化部</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年工业互联网创新发展工程</w:t>
      </w:r>
      <w:r>
        <w:rPr>
          <w:rFonts w:ascii="Times New Roman" w:eastAsia="Times New Roman" w:hAnsi="Times New Roman" w:cs="Times New Roman"/>
          <w:color w:val="000000"/>
          <w:spacing w:val="0"/>
          <w:w w:val="100"/>
          <w:position w:val="0"/>
          <w:sz w:val="18"/>
          <w:szCs w:val="18"/>
        </w:rPr>
        <w:t>-5G+</w:t>
      </w:r>
      <w:r>
        <w:rPr>
          <w:color w:val="000000"/>
          <w:spacing w:val="0"/>
          <w:w w:val="100"/>
          <w:position w:val="0"/>
        </w:rPr>
        <w:t>工业互联网高质量网络和公共服务平台项目</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 xml:space="preserve">。该项目将在北京、武汉分别建设 </w:t>
      </w:r>
      <w:r>
        <w:rPr>
          <w:rFonts w:ascii="Times New Roman" w:eastAsia="Times New Roman" w:hAnsi="Times New Roman" w:cs="Times New Roman"/>
          <w:color w:val="000000"/>
          <w:spacing w:val="0"/>
          <w:w w:val="100"/>
          <w:position w:val="0"/>
          <w:sz w:val="18"/>
          <w:szCs w:val="18"/>
        </w:rPr>
        <w:t>5G</w:t>
      </w:r>
      <w:r>
        <w:rPr>
          <w:color w:val="000000"/>
          <w:spacing w:val="0"/>
          <w:w w:val="100"/>
          <w:position w:val="0"/>
        </w:rPr>
        <w:t>专网，涵盖了企业办公、生产制造、教学演示等多个场景，并基于云平台技术打造</w:t>
      </w:r>
      <w:r>
        <w:rPr>
          <w:rFonts w:ascii="Times New Roman" w:eastAsia="Times New Roman" w:hAnsi="Times New Roman" w:cs="Times New Roman"/>
          <w:color w:val="000000"/>
          <w:spacing w:val="0"/>
          <w:w w:val="100"/>
          <w:position w:val="0"/>
          <w:sz w:val="18"/>
          <w:szCs w:val="18"/>
        </w:rPr>
        <w:t>“5G+</w:t>
      </w:r>
      <w:r>
        <w:rPr>
          <w:color w:val="000000"/>
          <w:spacing w:val="0"/>
          <w:w w:val="100"/>
          <w:position w:val="0"/>
        </w:rPr>
        <w:t>工业互联网</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专网实验环境和开 放的公共服务平台，对外提供</w:t>
      </w:r>
      <w:r>
        <w:rPr>
          <w:rFonts w:ascii="Times New Roman" w:eastAsia="Times New Roman" w:hAnsi="Times New Roman" w:cs="Times New Roman"/>
          <w:color w:val="000000"/>
          <w:spacing w:val="0"/>
          <w:w w:val="100"/>
          <w:position w:val="0"/>
          <w:sz w:val="18"/>
          <w:szCs w:val="18"/>
        </w:rPr>
        <w:t>5G</w:t>
      </w:r>
      <w:r>
        <w:rPr>
          <w:color w:val="000000"/>
          <w:spacing w:val="0"/>
          <w:w w:val="100"/>
          <w:position w:val="0"/>
        </w:rPr>
        <w:t>技术相关的测试、体验和培训环境。保障企业只需通过公共服务平台，即可远程获得</w:t>
      </w:r>
      <w:r>
        <w:rPr>
          <w:rFonts w:ascii="Times New Roman" w:eastAsia="Times New Roman" w:hAnsi="Times New Roman" w:cs="Times New Roman"/>
          <w:color w:val="000000"/>
          <w:spacing w:val="0"/>
          <w:w w:val="100"/>
          <w:position w:val="0"/>
          <w:sz w:val="18"/>
          <w:szCs w:val="18"/>
        </w:rPr>
        <w:t xml:space="preserve">5G+ </w:t>
      </w:r>
      <w:r>
        <w:rPr>
          <w:color w:val="000000"/>
          <w:spacing w:val="0"/>
          <w:w w:val="100"/>
          <w:position w:val="0"/>
        </w:rPr>
        <w:t>工业互联网相关专业技术的培训，为企业建设规划人员扫清技术盲区，并且根据解决方案库和融合建设知识库中的信息激发</w:t>
      </w:r>
    </w:p>
    <w:p>
      <w:pPr>
        <w:pStyle w:val="Style2"/>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41"/>
        <w:keepNext w:val="0"/>
        <w:keepLines w:val="0"/>
        <w:widowControl w:val="0"/>
        <w:pBdr>
          <w:top w:val="single" w:sz="4" w:space="0" w:color="auto"/>
        </w:pBdr>
        <w:shd w:val="clear" w:color="auto" w:fill="auto"/>
        <w:bidi w:val="0"/>
        <w:spacing w:before="0" w:after="0" w:line="446" w:lineRule="exact"/>
        <w:ind w:left="0" w:right="0" w:firstLine="820"/>
        <w:jc w:val="both"/>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 企业建设的热情，通过典型应用场景的学习，促进</w:t>
      </w:r>
      <w:r>
        <w:rPr>
          <w:rFonts w:ascii="Times New Roman" w:eastAsia="Times New Roman" w:hAnsi="Times New Roman" w:cs="Times New Roman"/>
          <w:color w:val="000000"/>
          <w:spacing w:val="0"/>
          <w:w w:val="100"/>
          <w:position w:val="0"/>
          <w:sz w:val="18"/>
          <w:szCs w:val="18"/>
        </w:rPr>
        <w:t>5G</w:t>
      </w:r>
      <w:r>
        <w:rPr>
          <w:color w:val="000000"/>
          <w:spacing w:val="0"/>
          <w:w w:val="100"/>
          <w:position w:val="0"/>
        </w:rPr>
        <w:t>技术与工业应用的创新结合。</w:t>
      </w:r>
    </w:p>
    <w:p>
      <w:pPr>
        <w:pStyle w:val="Style41"/>
        <w:keepNext w:val="0"/>
        <w:keepLines w:val="0"/>
        <w:widowControl w:val="0"/>
        <w:shd w:val="clear" w:color="auto" w:fill="auto"/>
        <w:tabs>
          <w:tab w:pos="707" w:val="left"/>
        </w:tabs>
        <w:bidi w:val="0"/>
        <w:spacing w:before="0" w:after="0" w:line="446" w:lineRule="exact"/>
        <w:ind w:left="0" w:right="0"/>
        <w:jc w:val="both"/>
      </w:pPr>
      <w:bookmarkStart w:id="210" w:name="bookmark210"/>
      <w:r>
        <w:rPr>
          <w:rFonts w:ascii="Times New Roman" w:eastAsia="Times New Roman" w:hAnsi="Times New Roman" w:cs="Times New Roman"/>
          <w:b/>
          <w:bCs/>
          <w:color w:val="000000"/>
          <w:spacing w:val="0"/>
          <w:w w:val="100"/>
          <w:position w:val="0"/>
          <w:sz w:val="18"/>
          <w:szCs w:val="18"/>
        </w:rPr>
        <w:t>C</w:t>
      </w:r>
      <w:bookmarkEnd w:id="210"/>
      <w:r>
        <w:rPr>
          <w:b/>
          <w:bCs/>
          <w:color w:val="000000"/>
          <w:spacing w:val="0"/>
          <w:w w:val="100"/>
          <w:position w:val="0"/>
        </w:rPr>
        <w:t>、</w:t>
        <w:tab/>
      </w:r>
      <w:r>
        <w:rPr>
          <w:b/>
          <w:bCs/>
          <w:color w:val="000000"/>
          <w:spacing w:val="0"/>
          <w:w w:val="100"/>
          <w:position w:val="0"/>
        </w:rPr>
        <w:t>顺应发展浪潮，深入研究电力行业需求</w:t>
      </w:r>
    </w:p>
    <w:p>
      <w:pPr>
        <w:pStyle w:val="Style41"/>
        <w:keepNext w:val="0"/>
        <w:keepLines w:val="0"/>
        <w:widowControl w:val="0"/>
        <w:shd w:val="clear" w:color="auto" w:fill="auto"/>
        <w:bidi w:val="0"/>
        <w:spacing w:before="0" w:after="0" w:line="470" w:lineRule="exact"/>
        <w:ind w:left="0" w:right="0"/>
        <w:jc w:val="both"/>
      </w:pPr>
      <w:r>
        <w:rPr>
          <w:color w:val="000000"/>
          <w:spacing w:val="0"/>
          <w:w w:val="100"/>
          <w:position w:val="0"/>
        </w:rPr>
        <w:t>报告期内，公司响应国家及物联网产业化政策，顺应物联网发展浪潮，深入研究电力物联网业务需求，正式推出变电站 智能监测系统解决方案，深度挖掘电力大数据价值，实现大数据价值增值变现，助力电力行业客户加快推进电网向能源互联 网升级，并陆续在江苏徐州供电公司、江苏南京供电公司，江苏泰州供电公司项目上实施合作。</w:t>
      </w:r>
    </w:p>
    <w:p>
      <w:pPr>
        <w:pStyle w:val="Style41"/>
        <w:keepNext w:val="0"/>
        <w:keepLines w:val="0"/>
        <w:widowControl w:val="0"/>
        <w:shd w:val="clear" w:color="auto" w:fill="auto"/>
        <w:tabs>
          <w:tab w:pos="717" w:val="left"/>
        </w:tabs>
        <w:bidi w:val="0"/>
        <w:spacing w:before="0" w:after="0" w:line="458" w:lineRule="exact"/>
        <w:ind w:left="0" w:right="0"/>
        <w:jc w:val="both"/>
      </w:pPr>
      <w:bookmarkStart w:id="211" w:name="bookmark211"/>
      <w:r>
        <w:rPr>
          <w:rFonts w:ascii="Times New Roman" w:eastAsia="Times New Roman" w:hAnsi="Times New Roman" w:cs="Times New Roman"/>
          <w:b/>
          <w:bCs/>
          <w:color w:val="000000"/>
          <w:spacing w:val="0"/>
          <w:w w:val="100"/>
          <w:position w:val="0"/>
          <w:sz w:val="18"/>
          <w:szCs w:val="18"/>
        </w:rPr>
        <w:t>D</w:t>
      </w:r>
      <w:bookmarkEnd w:id="211"/>
      <w:r>
        <w:rPr>
          <w:b/>
          <w:bCs/>
          <w:color w:val="000000"/>
          <w:spacing w:val="0"/>
          <w:w w:val="100"/>
          <w:position w:val="0"/>
        </w:rPr>
        <w:t>、</w:t>
        <w:tab/>
      </w:r>
      <w:r>
        <w:rPr>
          <w:b/>
          <w:bCs/>
          <w:color w:val="000000"/>
          <w:spacing w:val="0"/>
          <w:w w:val="100"/>
          <w:position w:val="0"/>
        </w:rPr>
        <w:t>不断斩获奖项，提升市场品牌力</w:t>
      </w:r>
    </w:p>
    <w:p>
      <w:pPr>
        <w:pStyle w:val="Style41"/>
        <w:keepNext w:val="0"/>
        <w:keepLines w:val="0"/>
        <w:widowControl w:val="0"/>
        <w:shd w:val="clear" w:color="auto" w:fill="auto"/>
        <w:bidi w:val="0"/>
        <w:spacing w:before="0" w:after="180" w:line="469" w:lineRule="exact"/>
        <w:ind w:left="0" w:right="0"/>
        <w:jc w:val="both"/>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年，公司继续深耕物联网</w:t>
      </w:r>
      <w:r>
        <w:rPr>
          <w:rFonts w:ascii="Times New Roman" w:eastAsia="Times New Roman" w:hAnsi="Times New Roman" w:cs="Times New Roman"/>
          <w:color w:val="000000"/>
          <w:spacing w:val="0"/>
          <w:w w:val="100"/>
          <w:position w:val="0"/>
          <w:sz w:val="18"/>
          <w:szCs w:val="18"/>
        </w:rPr>
        <w:t>+5G</w:t>
      </w:r>
      <w:r>
        <w:rPr>
          <w:color w:val="000000"/>
          <w:spacing w:val="0"/>
          <w:w w:val="100"/>
          <w:position w:val="0"/>
        </w:rPr>
        <w:t>工业互联网场景，相关产品和方案均在中关村</w:t>
      </w:r>
      <w:r>
        <w:rPr>
          <w:rFonts w:ascii="Times New Roman" w:eastAsia="Times New Roman" w:hAnsi="Times New Roman" w:cs="Times New Roman"/>
          <w:color w:val="000000"/>
          <w:spacing w:val="0"/>
          <w:w w:val="100"/>
          <w:position w:val="0"/>
          <w:sz w:val="18"/>
          <w:szCs w:val="18"/>
        </w:rPr>
        <w:t>5G</w:t>
      </w:r>
      <w:r>
        <w:rPr>
          <w:color w:val="000000"/>
          <w:spacing w:val="0"/>
          <w:w w:val="100"/>
          <w:position w:val="0"/>
        </w:rPr>
        <w:t>创新应用大赛及中国工业互联网大 赛等各类赛事中斩获奖项，例如</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面向核电远程运维的</w:t>
      </w:r>
      <w:r>
        <w:rPr>
          <w:rFonts w:ascii="Times New Roman" w:eastAsia="Times New Roman" w:hAnsi="Times New Roman" w:cs="Times New Roman"/>
          <w:color w:val="000000"/>
          <w:spacing w:val="0"/>
          <w:w w:val="100"/>
          <w:position w:val="0"/>
          <w:sz w:val="18"/>
          <w:szCs w:val="18"/>
        </w:rPr>
        <w:t>Nu-Comm 5G</w:t>
      </w:r>
      <w:r>
        <w:rPr>
          <w:color w:val="000000"/>
          <w:spacing w:val="0"/>
          <w:w w:val="100"/>
          <w:position w:val="0"/>
        </w:rPr>
        <w:t>融合通信系统</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荣获</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年中关村</w:t>
      </w:r>
      <w:r>
        <w:rPr>
          <w:rFonts w:ascii="Times New Roman" w:eastAsia="Times New Roman" w:hAnsi="Times New Roman" w:cs="Times New Roman"/>
          <w:color w:val="000000"/>
          <w:spacing w:val="0"/>
          <w:w w:val="100"/>
          <w:position w:val="0"/>
          <w:sz w:val="18"/>
          <w:szCs w:val="18"/>
        </w:rPr>
        <w:t>5G</w:t>
      </w:r>
      <w:r>
        <w:rPr>
          <w:color w:val="000000"/>
          <w:spacing w:val="0"/>
          <w:w w:val="100"/>
          <w:position w:val="0"/>
        </w:rPr>
        <w:t>创新应用暨中关 村软件园工业互联网专题赛</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大赛三等奖；凭借在机场行业的深厚技术积累及物联网、人工智能与大数据等技术的创新，荣 获</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年第二届全国民航安保科技展</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最佳创新奖</w:t>
      </w:r>
      <w:r>
        <w:rPr>
          <w:rFonts w:ascii="Times New Roman" w:eastAsia="Times New Roman" w:hAnsi="Times New Roman" w:cs="Times New Roman"/>
          <w:color w:val="000000"/>
          <w:spacing w:val="0"/>
          <w:w w:val="100"/>
          <w:position w:val="0"/>
          <w:sz w:val="18"/>
          <w:szCs w:val="18"/>
        </w:rPr>
        <w:t>” “</w:t>
      </w:r>
      <w:r>
        <w:rPr>
          <w:color w:val="000000"/>
          <w:spacing w:val="0"/>
          <w:w w:val="100"/>
          <w:position w:val="0"/>
        </w:rPr>
        <w:t>灵巧型</w:t>
      </w:r>
      <w:r>
        <w:rPr>
          <w:rFonts w:ascii="Times New Roman" w:eastAsia="Times New Roman" w:hAnsi="Times New Roman" w:cs="Times New Roman"/>
          <w:color w:val="000000"/>
          <w:spacing w:val="0"/>
          <w:w w:val="100"/>
          <w:position w:val="0"/>
          <w:sz w:val="18"/>
          <w:szCs w:val="18"/>
        </w:rPr>
        <w:t>5G</w:t>
      </w:r>
      <w:r>
        <w:rPr>
          <w:color w:val="000000"/>
          <w:spacing w:val="0"/>
          <w:w w:val="100"/>
          <w:position w:val="0"/>
        </w:rPr>
        <w:t>核心网</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在中关村</w:t>
      </w:r>
      <w:r>
        <w:rPr>
          <w:rFonts w:ascii="Times New Roman" w:eastAsia="Times New Roman" w:hAnsi="Times New Roman" w:cs="Times New Roman"/>
          <w:color w:val="000000"/>
          <w:spacing w:val="0"/>
          <w:w w:val="100"/>
          <w:position w:val="0"/>
          <w:sz w:val="18"/>
          <w:szCs w:val="18"/>
        </w:rPr>
        <w:t>5G</w:t>
      </w:r>
      <w:r>
        <w:rPr>
          <w:color w:val="000000"/>
          <w:spacing w:val="0"/>
          <w:w w:val="100"/>
          <w:position w:val="0"/>
        </w:rPr>
        <w:t>创新应用大赛核心技术专题赛中获得 三等奖；公司联合中核武汉、江苏核电共同成立的</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智</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同道</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核</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团队申报的《核电机组运维智能化解决方案》在由工业和信 息化部、浙江省人民政府联合主办的第二届中国工业互联网大赛上荣获全国三等奖，也是核工业领域唯一总决赛获奖项目。</w:t>
      </w:r>
    </w:p>
    <w:p>
      <w:pPr>
        <w:widowControl w:val="0"/>
        <w:jc w:val="center"/>
        <w:rPr>
          <w:sz w:val="2"/>
          <w:szCs w:val="2"/>
        </w:rPr>
      </w:pPr>
      <w:r>
        <w:drawing>
          <wp:inline>
            <wp:extent cx="7559040" cy="2127250"/>
            <wp:docPr id="373" name="Picutre 373"/>
            <a:graphic xmlns:a="http://schemas.openxmlformats.org/drawingml/2006/main">
              <a:graphicData uri="http://schemas.openxmlformats.org/drawingml/2006/picture">
                <pic:pic xmlns:pic="http://schemas.openxmlformats.org/drawingml/2006/picture">
                  <pic:nvPicPr>
                    <pic:cNvPr id="373" name="Picture 373"/>
                    <pic:cNvPicPr/>
                  </pic:nvPicPr>
                  <pic:blipFill>
                    <a:blip r:embed="rId117"/>
                    <a:stretch/>
                  </pic:blipFill>
                  <pic:spPr>
                    <a:xfrm>
                      <a:ext cx="7559040" cy="2127250"/>
                    </a:xfrm>
                    <a:prstGeom prst="rect"/>
                  </pic:spPr>
                </pic:pic>
              </a:graphicData>
            </a:graphic>
          </wp:inline>
        </w:drawing>
      </w:r>
    </w:p>
    <w:p>
      <w:pPr>
        <w:pStyle w:val="Style65"/>
        <w:keepNext w:val="0"/>
        <w:keepLines w:val="0"/>
        <w:widowControl w:val="0"/>
        <w:shd w:val="clear" w:color="auto" w:fill="auto"/>
        <w:bidi w:val="0"/>
        <w:spacing w:before="0" w:after="0" w:line="240" w:lineRule="auto"/>
        <w:ind w:left="5126" w:right="0" w:firstLine="0"/>
        <w:jc w:val="left"/>
        <w:rPr>
          <w:sz w:val="17"/>
          <w:szCs w:val="17"/>
        </w:rPr>
      </w:pPr>
      <w:r>
        <w:rPr>
          <w:rFonts w:ascii="SimSun" w:eastAsia="SimSun" w:hAnsi="SimSun" w:cs="SimSun"/>
          <w:b/>
          <w:bCs/>
          <w:color w:val="000000"/>
          <w:spacing w:val="0"/>
          <w:w w:val="100"/>
          <w:position w:val="0"/>
          <w:sz w:val="17"/>
          <w:szCs w:val="17"/>
        </w:rPr>
        <w:t>（“智</w:t>
      </w:r>
      <w:r>
        <w:rPr>
          <w:rFonts w:ascii="Times New Roman" w:eastAsia="Times New Roman" w:hAnsi="Times New Roman" w:cs="Times New Roman"/>
          <w:b/>
          <w:bCs/>
          <w:color w:val="000000"/>
          <w:spacing w:val="0"/>
          <w:w w:val="100"/>
          <w:position w:val="0"/>
          <w:sz w:val="18"/>
          <w:szCs w:val="18"/>
        </w:rPr>
        <w:t>”</w:t>
      </w:r>
      <w:r>
        <w:rPr>
          <w:rFonts w:ascii="SimSun" w:eastAsia="SimSun" w:hAnsi="SimSun" w:cs="SimSun"/>
          <w:b/>
          <w:bCs/>
          <w:color w:val="000000"/>
          <w:spacing w:val="0"/>
          <w:w w:val="100"/>
          <w:position w:val="0"/>
          <w:sz w:val="17"/>
          <w:szCs w:val="17"/>
        </w:rPr>
        <w:t>同道</w:t>
      </w:r>
      <w:r>
        <w:rPr>
          <w:rFonts w:ascii="Times New Roman" w:eastAsia="Times New Roman" w:hAnsi="Times New Roman" w:cs="Times New Roman"/>
          <w:b/>
          <w:bCs/>
          <w:color w:val="000000"/>
          <w:spacing w:val="0"/>
          <w:w w:val="100"/>
          <w:position w:val="0"/>
          <w:sz w:val="18"/>
          <w:szCs w:val="18"/>
        </w:rPr>
        <w:t>“</w:t>
      </w:r>
      <w:r>
        <w:rPr>
          <w:rFonts w:ascii="SimSun" w:eastAsia="SimSun" w:hAnsi="SimSun" w:cs="SimSun"/>
          <w:b/>
          <w:bCs/>
          <w:color w:val="000000"/>
          <w:spacing w:val="0"/>
          <w:w w:val="100"/>
          <w:position w:val="0"/>
          <w:sz w:val="17"/>
          <w:szCs w:val="17"/>
        </w:rPr>
        <w:t>核</w:t>
      </w:r>
      <w:r>
        <w:rPr>
          <w:rFonts w:ascii="Times New Roman" w:eastAsia="Times New Roman" w:hAnsi="Times New Roman" w:cs="Times New Roman"/>
          <w:b/>
          <w:bCs/>
          <w:color w:val="000000"/>
          <w:spacing w:val="0"/>
          <w:w w:val="100"/>
          <w:position w:val="0"/>
          <w:sz w:val="18"/>
          <w:szCs w:val="18"/>
        </w:rPr>
        <w:t>”</w:t>
      </w:r>
      <w:r>
        <w:rPr>
          <w:rFonts w:ascii="SimSun" w:eastAsia="SimSun" w:hAnsi="SimSun" w:cs="SimSun"/>
          <w:b/>
          <w:bCs/>
          <w:color w:val="000000"/>
          <w:spacing w:val="0"/>
          <w:w w:val="100"/>
          <w:position w:val="0"/>
          <w:sz w:val="17"/>
          <w:szCs w:val="17"/>
        </w:rPr>
        <w:t>团队获奖）</w:t>
      </w:r>
    </w:p>
    <w:p>
      <w:pPr>
        <w:pStyle w:val="Style39"/>
        <w:keepNext/>
        <w:keepLines/>
        <w:widowControl w:val="0"/>
        <w:shd w:val="clear" w:color="auto" w:fill="auto"/>
        <w:bidi w:val="0"/>
        <w:spacing w:before="0" w:after="0" w:line="466" w:lineRule="exact"/>
        <w:ind w:left="0" w:right="0" w:firstLine="380"/>
        <w:jc w:val="both"/>
        <w:rPr>
          <w:sz w:val="18"/>
          <w:szCs w:val="18"/>
        </w:rPr>
      </w:pPr>
      <w:bookmarkStart w:id="212" w:name="bookmark212"/>
      <w:bookmarkStart w:id="213" w:name="bookmark213"/>
      <w:bookmarkStart w:id="214" w:name="bookmark214"/>
      <w:bookmarkStart w:id="215" w:name="bookmark215"/>
      <w:r>
        <w:rPr>
          <w:rFonts w:ascii="Times New Roman" w:eastAsia="Times New Roman" w:hAnsi="Times New Roman" w:cs="Times New Roman"/>
          <w:i/>
          <w:iCs/>
          <w:color w:val="000000"/>
          <w:spacing w:val="0"/>
          <w:w w:val="100"/>
          <w:position w:val="0"/>
          <w:sz w:val="18"/>
          <w:szCs w:val="18"/>
          <w:u w:val="single"/>
        </w:rPr>
        <w:t>4</w:t>
      </w:r>
      <w:bookmarkEnd w:id="214"/>
      <w:r>
        <w:rPr>
          <w:i/>
          <w:iCs/>
          <w:color w:val="000000"/>
          <w:spacing w:val="0"/>
          <w:w w:val="100"/>
          <w:position w:val="0"/>
          <w:sz w:val="18"/>
          <w:szCs w:val="18"/>
          <w:u w:val="single"/>
        </w:rPr>
        <w:t>、人工智能与大数据业务</w:t>
      </w:r>
      <w:bookmarkEnd w:id="212"/>
      <w:bookmarkEnd w:id="213"/>
      <w:bookmarkEnd w:id="215"/>
    </w:p>
    <w:p>
      <w:pPr>
        <w:pStyle w:val="Style41"/>
        <w:keepNext w:val="0"/>
        <w:keepLines w:val="0"/>
        <w:widowControl w:val="0"/>
        <w:shd w:val="clear" w:color="auto" w:fill="auto"/>
        <w:bidi w:val="0"/>
        <w:spacing w:before="0" w:after="0" w:line="466" w:lineRule="exact"/>
        <w:ind w:left="0" w:right="0"/>
        <w:jc w:val="both"/>
      </w:pPr>
      <w:bookmarkStart w:id="216" w:name="bookmark216"/>
      <w:r>
        <w:rPr>
          <w:rFonts w:ascii="Times New Roman" w:eastAsia="Times New Roman" w:hAnsi="Times New Roman" w:cs="Times New Roman"/>
          <w:b/>
          <w:bCs/>
          <w:color w:val="000000"/>
          <w:spacing w:val="0"/>
          <w:w w:val="100"/>
          <w:position w:val="0"/>
          <w:sz w:val="18"/>
          <w:szCs w:val="18"/>
        </w:rPr>
        <w:t>A</w:t>
      </w:r>
      <w:bookmarkEnd w:id="216"/>
      <w:r>
        <w:rPr>
          <w:b/>
          <w:bCs/>
          <w:color w:val="000000"/>
          <w:spacing w:val="0"/>
          <w:w w:val="100"/>
          <w:position w:val="0"/>
        </w:rPr>
        <w:t>、</w:t>
      </w:r>
      <w:r>
        <w:rPr>
          <w:b/>
          <w:bCs/>
          <w:color w:val="000000"/>
          <w:spacing w:val="0"/>
          <w:w w:val="100"/>
          <w:position w:val="0"/>
        </w:rPr>
        <w:t>获得多地公安机构认可</w:t>
      </w:r>
    </w:p>
    <w:p>
      <w:pPr>
        <w:pStyle w:val="Style41"/>
        <w:keepNext w:val="0"/>
        <w:keepLines w:val="0"/>
        <w:widowControl w:val="0"/>
        <w:shd w:val="clear" w:color="auto" w:fill="auto"/>
        <w:bidi w:val="0"/>
        <w:spacing w:before="0" w:after="0" w:line="466" w:lineRule="exact"/>
        <w:ind w:left="0" w:right="0"/>
        <w:jc w:val="both"/>
      </w:pPr>
      <w:r>
        <w:rPr>
          <w:color w:val="000000"/>
          <w:spacing w:val="0"/>
          <w:w w:val="100"/>
          <w:position w:val="0"/>
        </w:rPr>
        <w:t>报告期内，公司持续迭代优化</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智脑</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平台，充分发挥</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智脑</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平台数据开放共享、算法持续优化、交付成本不断降低的特 点，建设</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统一数据空间</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中央智能体</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及智慧化应用，尤其是公安、金融、气象及环保等领域应用解决方案以及大数据智 能化建设。持续深挖人工智能结合大数据的行业价值，充分利用智脑产品的低成本及快速构造能力，同合作伙伴一起打造产 业化应用场景。报告期内，持续与北京市公安局、深圳市公安局、广州市公安局、安徽省公安厅、山东省公安厅、云南省公 安厅、石家庄市公安局、太原市公安局、贵阳市公安局等多地公安机构积极开展战略合作；在由国家工业信息安全发展研究 中心指导，计世传媒集团（中国计算机世界出版服务公司）主办，《计算机世界》、计世研究院、新金融研究院等多家媒体 单位联合主办的</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中国</w:t>
      </w:r>
      <w:r>
        <w:rPr>
          <w:rFonts w:ascii="Times New Roman" w:eastAsia="Times New Roman" w:hAnsi="Times New Roman" w:cs="Times New Roman"/>
          <w:color w:val="000000"/>
          <w:spacing w:val="0"/>
          <w:w w:val="100"/>
          <w:position w:val="0"/>
          <w:sz w:val="18"/>
          <w:szCs w:val="18"/>
        </w:rPr>
        <w:t>CIO</w:t>
      </w:r>
      <w:r>
        <w:rPr>
          <w:color w:val="000000"/>
          <w:spacing w:val="0"/>
          <w:w w:val="100"/>
          <w:position w:val="0"/>
        </w:rPr>
        <w:t>高峰论坛暨</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年度中国优秀</w:t>
      </w:r>
      <w:r>
        <w:rPr>
          <w:rFonts w:ascii="Times New Roman" w:eastAsia="Times New Roman" w:hAnsi="Times New Roman" w:cs="Times New Roman"/>
          <w:color w:val="000000"/>
          <w:spacing w:val="0"/>
          <w:w w:val="100"/>
          <w:position w:val="0"/>
          <w:sz w:val="18"/>
          <w:szCs w:val="18"/>
        </w:rPr>
        <w:t>CIO</w:t>
      </w:r>
      <w:r>
        <w:rPr>
          <w:color w:val="000000"/>
          <w:spacing w:val="0"/>
          <w:w w:val="100"/>
          <w:position w:val="0"/>
        </w:rPr>
        <w:t>颁奖典礼</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上，公司</w:t>
      </w:r>
      <w:r>
        <w:rPr>
          <w:rFonts w:ascii="Times New Roman" w:eastAsia="Times New Roman" w:hAnsi="Times New Roman" w:cs="Times New Roman"/>
          <w:color w:val="000000"/>
          <w:spacing w:val="0"/>
          <w:w w:val="100"/>
          <w:position w:val="0"/>
          <w:sz w:val="18"/>
          <w:szCs w:val="18"/>
        </w:rPr>
        <w:t>“110</w:t>
      </w:r>
      <w:r>
        <w:rPr>
          <w:color w:val="000000"/>
          <w:spacing w:val="0"/>
          <w:w w:val="100"/>
          <w:position w:val="0"/>
        </w:rPr>
        <w:t>警情分析系统</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荣获</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年度中国人工智</w:t>
      </w:r>
    </w:p>
    <w:p>
      <w:pPr>
        <w:pStyle w:val="Style2"/>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41"/>
        <w:keepNext w:val="0"/>
        <w:keepLines w:val="0"/>
        <w:widowControl w:val="0"/>
        <w:shd w:val="clear" w:color="auto" w:fill="auto"/>
        <w:bidi w:val="0"/>
        <w:spacing w:before="0" w:after="0" w:line="466" w:lineRule="exact"/>
        <w:ind w:left="0" w:right="0" w:firstLine="900"/>
        <w:jc w:val="both"/>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 能优秀解决方案奖。</w:t>
      </w:r>
    </w:p>
    <w:p>
      <w:pPr>
        <w:pStyle w:val="Style41"/>
        <w:keepNext w:val="0"/>
        <w:keepLines w:val="0"/>
        <w:widowControl w:val="0"/>
        <w:shd w:val="clear" w:color="auto" w:fill="auto"/>
        <w:bidi w:val="0"/>
        <w:spacing w:before="0" w:after="0" w:line="466" w:lineRule="exact"/>
        <w:ind w:left="0" w:right="0" w:firstLine="460"/>
        <w:jc w:val="left"/>
      </w:pPr>
      <w:r>
        <w:rPr>
          <w:color w:val="000000"/>
          <w:spacing w:val="0"/>
          <w:w w:val="100"/>
          <w:position w:val="0"/>
        </w:rPr>
        <w:t>疫情爆发后，公司</w:t>
      </w:r>
      <w:r>
        <w:rPr>
          <w:rFonts w:ascii="Times New Roman" w:eastAsia="Times New Roman" w:hAnsi="Times New Roman" w:cs="Times New Roman"/>
          <w:color w:val="000000"/>
          <w:spacing w:val="0"/>
          <w:w w:val="100"/>
          <w:position w:val="0"/>
          <w:sz w:val="18"/>
          <w:szCs w:val="18"/>
        </w:rPr>
        <w:t>AI</w:t>
      </w:r>
      <w:r>
        <w:rPr>
          <w:color w:val="000000"/>
          <w:spacing w:val="0"/>
          <w:w w:val="100"/>
          <w:position w:val="0"/>
        </w:rPr>
        <w:t>团队应贵阳市相关政府部门要求，建设</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疫情防控信息采集平台</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，短时间内，基于实有人口疫情预 警监测系统的</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贵阳市疫情登记平台</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以及</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智享民生便民服务平台</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正式上线，得到了贵阳市有关部门的高度评价。</w:t>
      </w:r>
    </w:p>
    <w:p>
      <w:pPr>
        <w:pStyle w:val="Style41"/>
        <w:keepNext w:val="0"/>
        <w:keepLines w:val="0"/>
        <w:widowControl w:val="0"/>
        <w:shd w:val="clear" w:color="auto" w:fill="auto"/>
        <w:tabs>
          <w:tab w:pos="842" w:val="left"/>
        </w:tabs>
        <w:bidi w:val="0"/>
        <w:spacing w:before="0" w:after="0" w:line="466" w:lineRule="exact"/>
        <w:ind w:left="0" w:right="0" w:firstLine="460"/>
        <w:jc w:val="left"/>
      </w:pPr>
      <w:bookmarkStart w:id="217" w:name="bookmark217"/>
      <w:r>
        <w:rPr>
          <w:rFonts w:ascii="Times New Roman" w:eastAsia="Times New Roman" w:hAnsi="Times New Roman" w:cs="Times New Roman"/>
          <w:b/>
          <w:bCs/>
          <w:color w:val="000000"/>
          <w:spacing w:val="0"/>
          <w:w w:val="100"/>
          <w:position w:val="0"/>
          <w:sz w:val="18"/>
          <w:szCs w:val="18"/>
        </w:rPr>
        <w:t>B</w:t>
      </w:r>
      <w:bookmarkEnd w:id="217"/>
      <w:r>
        <w:rPr>
          <w:b/>
          <w:bCs/>
          <w:color w:val="000000"/>
          <w:spacing w:val="0"/>
          <w:w w:val="100"/>
          <w:position w:val="0"/>
        </w:rPr>
        <w:t>、</w:t>
        <w:tab/>
      </w:r>
      <w:r>
        <w:rPr>
          <w:b/>
          <w:bCs/>
          <w:color w:val="000000"/>
          <w:spacing w:val="0"/>
          <w:w w:val="100"/>
          <w:position w:val="0"/>
        </w:rPr>
        <w:t>加强外部合作，贡献自身力量</w:t>
      </w:r>
    </w:p>
    <w:p>
      <w:pPr>
        <w:pStyle w:val="Style41"/>
        <w:keepNext w:val="0"/>
        <w:keepLines w:val="0"/>
        <w:widowControl w:val="0"/>
        <w:shd w:val="clear" w:color="auto" w:fill="auto"/>
        <w:bidi w:val="0"/>
        <w:spacing w:before="0" w:after="0" w:line="466" w:lineRule="exact"/>
        <w:ind w:left="0" w:right="0" w:firstLine="460"/>
        <w:jc w:val="left"/>
      </w:pPr>
      <w:r>
        <w:rPr>
          <w:color w:val="000000"/>
          <w:spacing w:val="0"/>
          <w:w w:val="100"/>
          <w:position w:val="0"/>
        </w:rPr>
        <w:t>进一步深入加强与中国中文信息学会、计算机学会等的合作，继续全面深入推进中文信息（深度）处理开放创新平台， 扩大影响力。同时作为新一代人工智能产业技术创新战略联盟发起成员及</w:t>
      </w:r>
      <w:r>
        <w:rPr>
          <w:rFonts w:ascii="Times New Roman" w:eastAsia="Times New Roman" w:hAnsi="Times New Roman" w:cs="Times New Roman"/>
          <w:color w:val="000000"/>
          <w:spacing w:val="0"/>
          <w:w w:val="100"/>
          <w:position w:val="0"/>
          <w:sz w:val="18"/>
          <w:szCs w:val="18"/>
        </w:rPr>
        <w:t>NLP</w:t>
      </w:r>
      <w:r>
        <w:rPr>
          <w:color w:val="000000"/>
          <w:spacing w:val="0"/>
          <w:w w:val="100"/>
          <w:position w:val="0"/>
        </w:rPr>
        <w:t>推进组组长，也将为新一代人工智能开源开放 平台一</w:t>
      </w:r>
      <w:r>
        <w:rPr>
          <w:rFonts w:ascii="Times New Roman" w:eastAsia="Times New Roman" w:hAnsi="Times New Roman" w:cs="Times New Roman"/>
          <w:color w:val="000000"/>
          <w:spacing w:val="0"/>
          <w:w w:val="100"/>
          <w:position w:val="0"/>
          <w:sz w:val="18"/>
          <w:szCs w:val="18"/>
        </w:rPr>
        <w:t>Openl</w:t>
      </w:r>
      <w:r>
        <w:rPr>
          <w:color w:val="000000"/>
          <w:spacing w:val="0"/>
          <w:w w:val="100"/>
          <w:position w:val="0"/>
        </w:rPr>
        <w:t>启智新一代人工智能开源开放平台贡献力量。</w:t>
      </w:r>
    </w:p>
    <w:p>
      <w:pPr>
        <w:pStyle w:val="Style41"/>
        <w:keepNext w:val="0"/>
        <w:keepLines w:val="0"/>
        <w:widowControl w:val="0"/>
        <w:shd w:val="clear" w:color="auto" w:fill="auto"/>
        <w:tabs>
          <w:tab w:pos="847" w:val="left"/>
        </w:tabs>
        <w:bidi w:val="0"/>
        <w:spacing w:before="0" w:after="0" w:line="466" w:lineRule="exact"/>
        <w:ind w:left="0" w:right="0" w:firstLine="460"/>
        <w:jc w:val="both"/>
      </w:pPr>
      <w:bookmarkStart w:id="218" w:name="bookmark218"/>
      <w:r>
        <w:rPr>
          <w:rFonts w:ascii="Times New Roman" w:eastAsia="Times New Roman" w:hAnsi="Times New Roman" w:cs="Times New Roman"/>
          <w:b/>
          <w:bCs/>
          <w:color w:val="000000"/>
          <w:spacing w:val="0"/>
          <w:w w:val="100"/>
          <w:position w:val="0"/>
          <w:sz w:val="18"/>
          <w:szCs w:val="18"/>
        </w:rPr>
        <w:t>C</w:t>
      </w:r>
      <w:bookmarkEnd w:id="218"/>
      <w:r>
        <w:rPr>
          <w:b/>
          <w:bCs/>
          <w:color w:val="000000"/>
          <w:spacing w:val="0"/>
          <w:w w:val="100"/>
          <w:position w:val="0"/>
        </w:rPr>
        <w:t>、</w:t>
        <w:tab/>
      </w:r>
      <w:r>
        <w:rPr>
          <w:b/>
          <w:bCs/>
          <w:color w:val="000000"/>
          <w:spacing w:val="0"/>
          <w:w w:val="100"/>
          <w:position w:val="0"/>
        </w:rPr>
        <w:t>聚焦核心业务，积极探索整合</w:t>
      </w:r>
    </w:p>
    <w:p>
      <w:pPr>
        <w:pStyle w:val="Style41"/>
        <w:keepNext w:val="0"/>
        <w:keepLines w:val="0"/>
        <w:widowControl w:val="0"/>
        <w:shd w:val="clear" w:color="auto" w:fill="auto"/>
        <w:bidi w:val="0"/>
        <w:spacing w:before="0" w:after="440" w:line="466" w:lineRule="exact"/>
        <w:ind w:left="0" w:right="0" w:firstLine="460"/>
        <w:jc w:val="both"/>
      </w:pPr>
      <w:r>
        <w:rPr>
          <w:color w:val="000000"/>
          <w:spacing w:val="0"/>
          <w:w w:val="100"/>
          <w:position w:val="0"/>
        </w:rPr>
        <w:t>为加强业务转型力度，进一步聚焦核心业务，</w:t>
      </w:r>
      <w:r>
        <w:rPr>
          <w:b/>
          <w:bCs/>
          <w:color w:val="000000"/>
          <w:spacing w:val="0"/>
          <w:w w:val="100"/>
          <w:position w:val="0"/>
        </w:rPr>
        <w:t>公司以鼎富智能科技有限公司（原名为：中科鼎富（北京）科技发展有 限公司）为载体，对人工智能相关的技术、产品、业务、团队等进行整合，完善产业布局，</w:t>
      </w:r>
      <w:r>
        <w:rPr>
          <w:color w:val="000000"/>
          <w:spacing w:val="0"/>
          <w:w w:val="100"/>
          <w:position w:val="0"/>
        </w:rPr>
        <w:t>并在此基础上努力促进公司战 略投资的引入，以更深入、更有效地推进人工智能</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大数据业务的发展，</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年初引入</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家战略投资者，并完成人工智能板块 迁址安徽省合肥高新技术产业开发区的工作。</w:t>
      </w:r>
    </w:p>
    <w:p>
      <w:pPr>
        <w:pStyle w:val="Style39"/>
        <w:keepNext/>
        <w:keepLines/>
        <w:widowControl w:val="0"/>
        <w:shd w:val="clear" w:color="auto" w:fill="auto"/>
        <w:bidi w:val="0"/>
        <w:spacing w:before="0" w:after="380" w:line="240" w:lineRule="auto"/>
        <w:ind w:left="0" w:right="0" w:firstLine="0"/>
        <w:jc w:val="left"/>
      </w:pPr>
      <w:bookmarkStart w:id="219" w:name="bookmark219"/>
      <w:bookmarkStart w:id="220" w:name="bookmark220"/>
      <w:bookmarkStart w:id="221" w:name="bookmark221"/>
      <w:bookmarkStart w:id="222" w:name="bookmark222"/>
      <w:r>
        <w:rPr>
          <w:color w:val="000000"/>
          <w:spacing w:val="0"/>
          <w:w w:val="100"/>
          <w:position w:val="0"/>
          <w:sz w:val="24"/>
          <w:szCs w:val="24"/>
        </w:rPr>
        <w:t>二</w:t>
      </w:r>
      <w:bookmarkEnd w:id="221"/>
      <w:r>
        <w:rPr>
          <w:color w:val="000000"/>
          <w:spacing w:val="0"/>
          <w:w w:val="100"/>
          <w:position w:val="0"/>
          <w:sz w:val="24"/>
          <w:szCs w:val="24"/>
        </w:rPr>
        <w:t>、主营业务分析</w:t>
      </w:r>
      <w:bookmarkEnd w:id="219"/>
      <w:bookmarkEnd w:id="220"/>
      <w:bookmarkEnd w:id="222"/>
    </w:p>
    <w:p>
      <w:pPr>
        <w:pStyle w:val="Style47"/>
        <w:keepNext/>
        <w:keepLines/>
        <w:widowControl w:val="0"/>
        <w:shd w:val="clear" w:color="auto" w:fill="auto"/>
        <w:tabs>
          <w:tab w:pos="368" w:val="left"/>
        </w:tabs>
        <w:bidi w:val="0"/>
        <w:spacing w:before="0" w:after="160" w:line="240" w:lineRule="auto"/>
        <w:ind w:left="0" w:right="0" w:firstLine="0"/>
        <w:jc w:val="left"/>
      </w:pPr>
      <w:bookmarkStart w:id="223" w:name="bookmark223"/>
      <w:bookmarkStart w:id="224" w:name="bookmark224"/>
      <w:bookmarkStart w:id="225" w:name="bookmark225"/>
      <w:bookmarkStart w:id="226" w:name="bookmark226"/>
      <w:r>
        <w:rPr>
          <w:color w:val="000000"/>
          <w:spacing w:val="0"/>
          <w:w w:val="100"/>
          <w:position w:val="0"/>
        </w:rPr>
        <w:t>1</w:t>
      </w:r>
      <w:bookmarkEnd w:id="225"/>
      <w:r>
        <w:rPr>
          <w:color w:val="000000"/>
          <w:spacing w:val="0"/>
          <w:w w:val="100"/>
          <w:position w:val="0"/>
        </w:rPr>
        <w:t>、</w:t>
        <w:tab/>
        <w:t>概述</w:t>
      </w:r>
      <w:bookmarkEnd w:id="223"/>
      <w:bookmarkEnd w:id="224"/>
      <w:bookmarkEnd w:id="226"/>
    </w:p>
    <w:p>
      <w:pPr>
        <w:pStyle w:val="Style41"/>
        <w:keepNext w:val="0"/>
        <w:keepLines w:val="0"/>
        <w:widowControl w:val="0"/>
        <w:shd w:val="clear" w:color="auto" w:fill="auto"/>
        <w:bidi w:val="0"/>
        <w:spacing w:before="0" w:after="380" w:line="466" w:lineRule="exact"/>
        <w:ind w:left="0" w:right="0" w:firstLine="0"/>
        <w:jc w:val="left"/>
      </w:pPr>
      <w:r>
        <w:rPr>
          <w:color w:val="000000"/>
          <w:spacing w:val="0"/>
          <w:w w:val="100"/>
          <w:position w:val="0"/>
        </w:rPr>
        <w:t>参见</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第四节经营情况讨论与分析</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中的</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一、概述</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相关内容。</w:t>
      </w:r>
    </w:p>
    <w:p>
      <w:pPr>
        <w:pStyle w:val="Style47"/>
        <w:keepNext/>
        <w:keepLines/>
        <w:widowControl w:val="0"/>
        <w:shd w:val="clear" w:color="auto" w:fill="auto"/>
        <w:tabs>
          <w:tab w:pos="378" w:val="left"/>
        </w:tabs>
        <w:bidi w:val="0"/>
        <w:spacing w:before="0" w:after="380" w:line="240" w:lineRule="auto"/>
        <w:ind w:left="0" w:right="0" w:firstLine="0"/>
        <w:jc w:val="left"/>
      </w:pPr>
      <w:bookmarkStart w:id="227" w:name="bookmark227"/>
      <w:bookmarkStart w:id="228" w:name="bookmark228"/>
      <w:bookmarkStart w:id="229" w:name="bookmark229"/>
      <w:bookmarkStart w:id="230" w:name="bookmark230"/>
      <w:r>
        <w:rPr>
          <w:color w:val="000000"/>
          <w:spacing w:val="0"/>
          <w:w w:val="100"/>
          <w:position w:val="0"/>
        </w:rPr>
        <w:t>2</w:t>
      </w:r>
      <w:bookmarkEnd w:id="229"/>
      <w:r>
        <w:rPr>
          <w:color w:val="000000"/>
          <w:spacing w:val="0"/>
          <w:w w:val="100"/>
          <w:position w:val="0"/>
        </w:rPr>
        <w:t>、</w:t>
        <w:tab/>
        <w:t>收入与成本</w:t>
      </w:r>
      <w:bookmarkEnd w:id="227"/>
      <w:bookmarkEnd w:id="228"/>
      <w:bookmarkEnd w:id="230"/>
    </w:p>
    <w:p>
      <w:pPr>
        <w:pStyle w:val="Style58"/>
        <w:keepNext/>
        <w:keepLines/>
        <w:widowControl w:val="0"/>
        <w:shd w:val="clear" w:color="auto" w:fill="auto"/>
        <w:bidi w:val="0"/>
        <w:spacing w:before="0" w:after="380" w:line="240" w:lineRule="auto"/>
        <w:ind w:left="0" w:right="0" w:firstLine="0"/>
        <w:jc w:val="left"/>
        <w:rPr>
          <w:sz w:val="20"/>
          <w:szCs w:val="20"/>
        </w:rPr>
      </w:pPr>
      <w:bookmarkStart w:id="231" w:name="bookmark231"/>
      <w:bookmarkStart w:id="232" w:name="bookmark232"/>
      <w:bookmarkStart w:id="233" w:name="bookmark233"/>
      <w:bookmarkStart w:id="234" w:name="bookmark234"/>
      <w:r>
        <w:rPr>
          <w:b/>
          <w:bCs/>
          <w:color w:val="000000"/>
          <w:spacing w:val="0"/>
          <w:w w:val="100"/>
          <w:position w:val="0"/>
          <w:sz w:val="20"/>
          <w:szCs w:val="20"/>
        </w:rPr>
        <w:t>（</w:t>
      </w:r>
      <w:bookmarkEnd w:id="233"/>
      <w:r>
        <w:rPr>
          <w:b/>
          <w:bCs/>
          <w:color w:val="000000"/>
          <w:spacing w:val="0"/>
          <w:w w:val="100"/>
          <w:position w:val="0"/>
          <w:sz w:val="20"/>
          <w:szCs w:val="20"/>
        </w:rPr>
        <w:t>1）营业收入构成</w:t>
      </w:r>
      <w:bookmarkEnd w:id="231"/>
      <w:bookmarkEnd w:id="232"/>
      <w:bookmarkEnd w:id="234"/>
    </w:p>
    <w:p>
      <w:pPr>
        <w:pStyle w:val="Style41"/>
        <w:keepNext w:val="0"/>
        <w:keepLines w:val="0"/>
        <w:widowControl w:val="0"/>
        <w:shd w:val="clear" w:color="auto" w:fill="auto"/>
        <w:bidi w:val="0"/>
        <w:spacing w:before="0" w:after="160" w:line="240" w:lineRule="auto"/>
        <w:ind w:left="0" w:right="0" w:firstLine="0"/>
        <w:jc w:val="both"/>
      </w:pPr>
      <w:r>
        <w:rPr>
          <w:color w:val="000000"/>
          <w:spacing w:val="0"/>
          <w:w w:val="100"/>
          <w:position w:val="0"/>
        </w:rPr>
        <w:t>营业收入整体情况</w:t>
      </w:r>
    </w:p>
    <w:p>
      <w:pPr>
        <w:pStyle w:val="Style41"/>
        <w:keepNext w:val="0"/>
        <w:keepLines w:val="0"/>
        <w:widowControl w:val="0"/>
        <w:shd w:val="clear" w:color="auto" w:fill="auto"/>
        <w:bidi w:val="0"/>
        <w:spacing w:before="0" w:after="440" w:line="240" w:lineRule="auto"/>
        <w:ind w:left="0" w:right="0" w:firstLine="0"/>
        <w:jc w:val="right"/>
      </w:pPr>
      <w:r>
        <w:rPr>
          <w:color w:val="000000"/>
          <w:spacing w:val="0"/>
          <w:w w:val="100"/>
          <w:position w:val="0"/>
        </w:rPr>
        <w:t>单位：元</w:t>
      </w:r>
    </w:p>
    <w:tbl>
      <w:tblPr>
        <w:tblOverlap w:val="never"/>
        <w:jc w:val="center"/>
        <w:tblLayout w:type="fixed"/>
      </w:tblPr>
      <w:tblGrid>
        <w:gridCol w:w="1651"/>
        <w:gridCol w:w="1642"/>
        <w:gridCol w:w="1642"/>
        <w:gridCol w:w="1642"/>
        <w:gridCol w:w="1642"/>
        <w:gridCol w:w="1651"/>
      </w:tblGrid>
      <w:tr>
        <w:trPr>
          <w:trHeight w:val="408" w:hRule="exact"/>
        </w:trPr>
        <w:tc>
          <w:tcPr>
            <w:vMerge w:val="restart"/>
            <w:tcBorders>
              <w:top w:val="single" w:sz="4"/>
              <w:left w:val="single" w:sz="4"/>
            </w:tcBorders>
            <w:shd w:val="clear" w:color="auto" w:fill="D7D7D7"/>
            <w:vAlign w:val="top"/>
          </w:tcPr>
          <w:p>
            <w:pPr>
              <w:widowControl w:val="0"/>
              <w:rPr>
                <w:sz w:val="10"/>
                <w:szCs w:val="10"/>
              </w:rPr>
            </w:pPr>
          </w:p>
        </w:tc>
        <w:tc>
          <w:tcPr>
            <w:gridSpan w:val="2"/>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b/>
                <w:bCs/>
                <w:color w:val="000000"/>
                <w:spacing w:val="0"/>
                <w:w w:val="100"/>
                <w:position w:val="0"/>
                <w:sz w:val="18"/>
                <w:szCs w:val="18"/>
              </w:rPr>
              <w:t xml:space="preserve">2020 </w:t>
            </w:r>
            <w:r>
              <w:rPr>
                <w:b/>
                <w:bCs/>
                <w:color w:val="000000"/>
                <w:spacing w:val="0"/>
                <w:w w:val="100"/>
                <w:position w:val="0"/>
              </w:rPr>
              <w:t>年</w:t>
            </w:r>
          </w:p>
        </w:tc>
        <w:tc>
          <w:tcPr>
            <w:gridSpan w:val="2"/>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b/>
                <w:bCs/>
                <w:color w:val="000000"/>
                <w:spacing w:val="0"/>
                <w:w w:val="100"/>
                <w:position w:val="0"/>
                <w:sz w:val="18"/>
                <w:szCs w:val="18"/>
              </w:rPr>
              <w:t xml:space="preserve">2019 </w:t>
            </w:r>
            <w:r>
              <w:rPr>
                <w:b/>
                <w:bCs/>
                <w:color w:val="000000"/>
                <w:spacing w:val="0"/>
                <w:w w:val="100"/>
                <w:position w:val="0"/>
              </w:rPr>
              <w:t>年</w:t>
            </w:r>
          </w:p>
        </w:tc>
        <w:tc>
          <w:tcPr>
            <w:vMerge w:val="restart"/>
            <w:tcBorders>
              <w:top w:val="single" w:sz="4"/>
              <w:left w:val="single" w:sz="4"/>
              <w:right w:val="single" w:sz="4"/>
            </w:tcBorders>
            <w:shd w:val="clear" w:color="auto" w:fill="D7D7D7"/>
            <w:vAlign w:val="top"/>
          </w:tcPr>
          <w:p>
            <w:pPr>
              <w:pStyle w:val="Style2"/>
              <w:keepNext w:val="0"/>
              <w:keepLines w:val="0"/>
              <w:widowControl w:val="0"/>
              <w:shd w:val="clear" w:color="auto" w:fill="auto"/>
              <w:bidi w:val="0"/>
              <w:spacing w:before="120" w:after="0" w:line="240" w:lineRule="auto"/>
              <w:ind w:left="0" w:right="0" w:firstLine="460"/>
              <w:jc w:val="left"/>
            </w:pPr>
            <w:r>
              <w:rPr>
                <w:b/>
                <w:bCs/>
                <w:color w:val="000000"/>
                <w:spacing w:val="0"/>
                <w:w w:val="100"/>
                <w:position w:val="0"/>
              </w:rPr>
              <w:t>同比增减</w:t>
            </w:r>
          </w:p>
        </w:tc>
      </w:tr>
      <w:tr>
        <w:trPr>
          <w:trHeight w:val="403" w:hRule="exact"/>
        </w:trPr>
        <w:tc>
          <w:tcPr>
            <w:vMerge/>
            <w:tcBorders>
              <w:left w:val="single" w:sz="4"/>
            </w:tcBorders>
            <w:shd w:val="clear" w:color="auto" w:fill="D7D7D7"/>
            <w:vAlign w:val="top"/>
          </w:tcPr>
          <w:p>
            <w:pP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金额</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180"/>
              <w:jc w:val="left"/>
            </w:pPr>
            <w:r>
              <w:rPr>
                <w:b/>
                <w:bCs/>
                <w:color w:val="000000"/>
                <w:spacing w:val="0"/>
                <w:w w:val="100"/>
                <w:position w:val="0"/>
              </w:rPr>
              <w:t>占营业收入比重</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金额</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180"/>
              <w:jc w:val="left"/>
            </w:pPr>
            <w:r>
              <w:rPr>
                <w:b/>
                <w:bCs/>
                <w:color w:val="000000"/>
                <w:spacing w:val="0"/>
                <w:w w:val="100"/>
                <w:position w:val="0"/>
              </w:rPr>
              <w:t>占营业收入比重</w:t>
            </w:r>
          </w:p>
        </w:tc>
        <w:tc>
          <w:tcPr>
            <w:vMerge/>
            <w:tcBorders>
              <w:left w:val="single" w:sz="4"/>
              <w:right w:val="single" w:sz="4"/>
            </w:tcBorders>
            <w:shd w:val="clear" w:color="auto" w:fill="D7D7D7"/>
            <w:vAlign w:val="top"/>
          </w:tcPr>
          <w:p>
            <w:pP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营业收入合计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rPr>
                <w:sz w:val="18"/>
                <w:szCs w:val="18"/>
              </w:rPr>
            </w:pPr>
            <w:r>
              <w:rPr>
                <w:rFonts w:ascii="Times New Roman" w:eastAsia="Times New Roman" w:hAnsi="Times New Roman" w:cs="Times New Roman"/>
                <w:color w:val="000000"/>
                <w:spacing w:val="0"/>
                <w:w w:val="100"/>
                <w:position w:val="0"/>
                <w:sz w:val="18"/>
                <w:szCs w:val="18"/>
              </w:rPr>
              <w:t>3,595,794,691.29</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1,777,248,241.56</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102.32%</w:t>
            </w:r>
          </w:p>
        </w:tc>
      </w:tr>
      <w:tr>
        <w:trPr>
          <w:trHeight w:val="403" w:hRule="exact"/>
        </w:trPr>
        <w:tc>
          <w:tcPr>
            <w:gridSpan w:val="6"/>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分行业</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软件与信息技术 服务业</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rPr>
                <w:sz w:val="18"/>
                <w:szCs w:val="18"/>
              </w:rPr>
            </w:pPr>
            <w:r>
              <w:rPr>
                <w:rFonts w:ascii="Times New Roman" w:eastAsia="Times New Roman" w:hAnsi="Times New Roman" w:cs="Times New Roman"/>
                <w:color w:val="000000"/>
                <w:spacing w:val="0"/>
                <w:w w:val="100"/>
                <w:position w:val="0"/>
                <w:sz w:val="18"/>
                <w:szCs w:val="18"/>
              </w:rPr>
              <w:t>1,188,066,369.20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60"/>
              <w:jc w:val="left"/>
              <w:rPr>
                <w:sz w:val="18"/>
                <w:szCs w:val="18"/>
              </w:rPr>
            </w:pPr>
            <w:r>
              <w:rPr>
                <w:rFonts w:ascii="Times New Roman" w:eastAsia="Times New Roman" w:hAnsi="Times New Roman" w:cs="Times New Roman"/>
                <w:color w:val="000000"/>
                <w:spacing w:val="0"/>
                <w:w w:val="100"/>
                <w:position w:val="0"/>
                <w:sz w:val="18"/>
                <w:szCs w:val="18"/>
              </w:rPr>
              <w:t>33.04%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917,195,584.75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80"/>
              <w:jc w:val="left"/>
              <w:rPr>
                <w:sz w:val="18"/>
                <w:szCs w:val="18"/>
              </w:rPr>
            </w:pPr>
            <w:r>
              <w:rPr>
                <w:rFonts w:ascii="Times New Roman" w:eastAsia="Times New Roman" w:hAnsi="Times New Roman" w:cs="Times New Roman"/>
                <w:color w:val="000000"/>
                <w:spacing w:val="0"/>
                <w:w w:val="100"/>
                <w:position w:val="0"/>
                <w:sz w:val="18"/>
                <w:szCs w:val="18"/>
              </w:rPr>
              <w:t>51.61%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29.53%</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互联网游戏业</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rPr>
                <w:sz w:val="18"/>
                <w:szCs w:val="18"/>
              </w:rPr>
            </w:pPr>
            <w:r>
              <w:rPr>
                <w:rFonts w:ascii="Times New Roman" w:eastAsia="Times New Roman" w:hAnsi="Times New Roman" w:cs="Times New Roman"/>
                <w:color w:val="000000"/>
                <w:spacing w:val="0"/>
                <w:w w:val="100"/>
                <w:position w:val="0"/>
                <w:sz w:val="18"/>
                <w:szCs w:val="18"/>
              </w:rPr>
              <w:t>2,407,728,322.09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60"/>
              <w:jc w:val="left"/>
              <w:rPr>
                <w:sz w:val="18"/>
                <w:szCs w:val="18"/>
              </w:rPr>
            </w:pPr>
            <w:r>
              <w:rPr>
                <w:rFonts w:ascii="Times New Roman" w:eastAsia="Times New Roman" w:hAnsi="Times New Roman" w:cs="Times New Roman"/>
                <w:color w:val="000000"/>
                <w:spacing w:val="0"/>
                <w:w w:val="100"/>
                <w:position w:val="0"/>
                <w:sz w:val="18"/>
                <w:szCs w:val="18"/>
              </w:rPr>
              <w:t>66.96%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860,052,656.81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80"/>
              <w:jc w:val="left"/>
              <w:rPr>
                <w:sz w:val="18"/>
                <w:szCs w:val="18"/>
              </w:rPr>
            </w:pPr>
            <w:r>
              <w:rPr>
                <w:rFonts w:ascii="Times New Roman" w:eastAsia="Times New Roman" w:hAnsi="Times New Roman" w:cs="Times New Roman"/>
                <w:color w:val="000000"/>
                <w:spacing w:val="0"/>
                <w:w w:val="100"/>
                <w:position w:val="0"/>
                <w:sz w:val="18"/>
                <w:szCs w:val="18"/>
              </w:rPr>
              <w:t>48.39%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179.95%</w:t>
            </w:r>
          </w:p>
        </w:tc>
      </w:tr>
      <w:tr>
        <w:trPr>
          <w:trHeight w:val="398" w:hRule="exact"/>
        </w:trPr>
        <w:tc>
          <w:tcPr>
            <w:gridSpan w:val="6"/>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分产品</w:t>
            </w:r>
          </w:p>
        </w:tc>
      </w:tr>
      <w:tr>
        <w:trPr>
          <w:trHeight w:val="41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sz w:val="18"/>
                <w:szCs w:val="18"/>
              </w:rPr>
              <w:t>AI/ICT</w:t>
            </w:r>
            <w:r>
              <w:rPr>
                <w:color w:val="000000"/>
                <w:spacing w:val="0"/>
                <w:w w:val="100"/>
                <w:position w:val="0"/>
              </w:rPr>
              <w:t>运营管理</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rPr>
                <w:sz w:val="18"/>
                <w:szCs w:val="18"/>
              </w:rPr>
            </w:pPr>
            <w:r>
              <w:rPr>
                <w:rFonts w:ascii="Times New Roman" w:eastAsia="Times New Roman" w:hAnsi="Times New Roman" w:cs="Times New Roman"/>
                <w:color w:val="000000"/>
                <w:spacing w:val="0"/>
                <w:w w:val="100"/>
                <w:position w:val="0"/>
                <w:sz w:val="18"/>
                <w:szCs w:val="18"/>
              </w:rPr>
              <w:t>1,056,666,382.77</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60"/>
              <w:jc w:val="left"/>
              <w:rPr>
                <w:sz w:val="18"/>
                <w:szCs w:val="18"/>
              </w:rPr>
            </w:pPr>
            <w:r>
              <w:rPr>
                <w:rFonts w:ascii="Times New Roman" w:eastAsia="Times New Roman" w:hAnsi="Times New Roman" w:cs="Times New Roman"/>
                <w:color w:val="000000"/>
                <w:spacing w:val="0"/>
                <w:w w:val="100"/>
                <w:position w:val="0"/>
                <w:sz w:val="18"/>
                <w:szCs w:val="18"/>
              </w:rPr>
              <w:t>29.38%</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603,690,331.81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80"/>
              <w:jc w:val="left"/>
              <w:rPr>
                <w:sz w:val="18"/>
                <w:szCs w:val="18"/>
              </w:rPr>
            </w:pPr>
            <w:r>
              <w:rPr>
                <w:rFonts w:ascii="Times New Roman" w:eastAsia="Times New Roman" w:hAnsi="Times New Roman" w:cs="Times New Roman"/>
                <w:color w:val="000000"/>
                <w:spacing w:val="0"/>
                <w:w w:val="100"/>
                <w:position w:val="0"/>
                <w:sz w:val="18"/>
                <w:szCs w:val="18"/>
              </w:rPr>
              <w:t>33.97%</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75.03%</w:t>
            </w:r>
          </w:p>
        </w:tc>
      </w:tr>
    </w:tbl>
    <w:p>
      <w:pPr>
        <w:sectPr>
          <w:headerReference w:type="default" r:id="rId119"/>
          <w:footerReference w:type="default" r:id="rId120"/>
          <w:headerReference w:type="even" r:id="rId121"/>
          <w:footerReference w:type="even" r:id="rId122"/>
          <w:footnotePr>
            <w:pos w:val="pageBottom"/>
            <w:numFmt w:val="decimal"/>
            <w:numRestart w:val="continuous"/>
          </w:footnotePr>
          <w:pgSz w:w="11904" w:h="17375"/>
          <w:pgMar w:top="1070" w:right="1000" w:bottom="1720" w:left="1036" w:header="642" w:footer="3" w:gutter="0"/>
          <w:cols w:space="720"/>
          <w:noEndnote/>
          <w:rtlGutter w:val="0"/>
          <w:docGrid w:linePitch="360"/>
        </w:sectPr>
      </w:pPr>
    </w:p>
    <w:tbl>
      <w:tblPr>
        <w:tblOverlap w:val="never"/>
        <w:jc w:val="center"/>
        <w:tblLayout w:type="fixed"/>
      </w:tblPr>
      <w:tblGrid>
        <w:gridCol w:w="1651"/>
        <w:gridCol w:w="1642"/>
        <w:gridCol w:w="1642"/>
        <w:gridCol w:w="1642"/>
        <w:gridCol w:w="1642"/>
        <w:gridCol w:w="1651"/>
      </w:tblGrid>
      <w:tr>
        <w:trPr>
          <w:trHeight w:val="48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游戏</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rPr>
                <w:sz w:val="18"/>
                <w:szCs w:val="18"/>
              </w:rPr>
            </w:pPr>
            <w:r>
              <w:rPr>
                <w:rFonts w:ascii="Times New Roman" w:eastAsia="Times New Roman" w:hAnsi="Times New Roman" w:cs="Times New Roman"/>
                <w:color w:val="000000"/>
                <w:spacing w:val="0"/>
                <w:w w:val="100"/>
                <w:position w:val="0"/>
                <w:sz w:val="18"/>
                <w:szCs w:val="18"/>
              </w:rPr>
              <w:t>2,407,728,322.09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60"/>
              <w:jc w:val="left"/>
              <w:rPr>
                <w:sz w:val="18"/>
                <w:szCs w:val="18"/>
              </w:rPr>
            </w:pPr>
            <w:r>
              <w:rPr>
                <w:rFonts w:ascii="Times New Roman" w:eastAsia="Times New Roman" w:hAnsi="Times New Roman" w:cs="Times New Roman"/>
                <w:color w:val="000000"/>
                <w:spacing w:val="0"/>
                <w:w w:val="100"/>
                <w:position w:val="0"/>
                <w:sz w:val="18"/>
                <w:szCs w:val="18"/>
              </w:rPr>
              <w:t>66.96%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860,052,656.81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80"/>
              <w:jc w:val="left"/>
              <w:rPr>
                <w:sz w:val="18"/>
                <w:szCs w:val="18"/>
              </w:rPr>
            </w:pPr>
            <w:r>
              <w:rPr>
                <w:rFonts w:ascii="Times New Roman" w:eastAsia="Times New Roman" w:hAnsi="Times New Roman" w:cs="Times New Roman"/>
                <w:color w:val="000000"/>
                <w:spacing w:val="0"/>
                <w:w w:val="100"/>
                <w:position w:val="0"/>
                <w:sz w:val="18"/>
                <w:szCs w:val="18"/>
              </w:rPr>
              <w:t>48.39%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179.95%</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物联网</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通讯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left"/>
              <w:rPr>
                <w:sz w:val="18"/>
                <w:szCs w:val="18"/>
              </w:rPr>
            </w:pPr>
            <w:r>
              <w:rPr>
                <w:rFonts w:ascii="Times New Roman" w:eastAsia="Times New Roman" w:hAnsi="Times New Roman" w:cs="Times New Roman"/>
                <w:color w:val="000000"/>
                <w:spacing w:val="0"/>
                <w:w w:val="100"/>
                <w:position w:val="0"/>
                <w:sz w:val="18"/>
                <w:szCs w:val="18"/>
              </w:rPr>
              <w:t>26,707,267.24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60" w:right="0" w:firstLine="0"/>
              <w:jc w:val="left"/>
              <w:rPr>
                <w:sz w:val="18"/>
                <w:szCs w:val="18"/>
              </w:rPr>
            </w:pPr>
            <w:r>
              <w:rPr>
                <w:rFonts w:ascii="Times New Roman" w:eastAsia="Times New Roman" w:hAnsi="Times New Roman" w:cs="Times New Roman"/>
                <w:color w:val="000000"/>
                <w:spacing w:val="0"/>
                <w:w w:val="100"/>
                <w:position w:val="0"/>
                <w:sz w:val="18"/>
                <w:szCs w:val="18"/>
              </w:rPr>
              <w:t>0.74%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left"/>
              <w:rPr>
                <w:sz w:val="18"/>
                <w:szCs w:val="18"/>
              </w:rPr>
            </w:pPr>
            <w:r>
              <w:rPr>
                <w:rFonts w:ascii="Times New Roman" w:eastAsia="Times New Roman" w:hAnsi="Times New Roman" w:cs="Times New Roman"/>
                <w:color w:val="000000"/>
                <w:spacing w:val="0"/>
                <w:w w:val="100"/>
                <w:position w:val="0"/>
                <w:sz w:val="18"/>
                <w:szCs w:val="18"/>
              </w:rPr>
              <w:t>83,203,376.18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4.68%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-67.90%</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创新服务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left"/>
              <w:rPr>
                <w:sz w:val="18"/>
                <w:szCs w:val="18"/>
              </w:rPr>
            </w:pPr>
            <w:r>
              <w:rPr>
                <w:rFonts w:ascii="Times New Roman" w:eastAsia="Times New Roman" w:hAnsi="Times New Roman" w:cs="Times New Roman"/>
                <w:color w:val="000000"/>
                <w:spacing w:val="0"/>
                <w:w w:val="100"/>
                <w:position w:val="0"/>
                <w:sz w:val="18"/>
                <w:szCs w:val="18"/>
              </w:rPr>
              <w:t>64,581,163.82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60" w:right="0" w:firstLine="0"/>
              <w:jc w:val="left"/>
              <w:rPr>
                <w:sz w:val="18"/>
                <w:szCs w:val="18"/>
              </w:rPr>
            </w:pPr>
            <w:r>
              <w:rPr>
                <w:rFonts w:ascii="Times New Roman" w:eastAsia="Times New Roman" w:hAnsi="Times New Roman" w:cs="Times New Roman"/>
                <w:color w:val="000000"/>
                <w:spacing w:val="0"/>
                <w:w w:val="100"/>
                <w:position w:val="0"/>
                <w:sz w:val="18"/>
                <w:szCs w:val="18"/>
              </w:rPr>
              <w:t>1.80%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189,833,902.79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80"/>
              <w:jc w:val="left"/>
              <w:rPr>
                <w:sz w:val="18"/>
                <w:szCs w:val="18"/>
              </w:rPr>
            </w:pPr>
            <w:r>
              <w:rPr>
                <w:rFonts w:ascii="Times New Roman" w:eastAsia="Times New Roman" w:hAnsi="Times New Roman" w:cs="Times New Roman"/>
                <w:color w:val="000000"/>
                <w:spacing w:val="0"/>
                <w:w w:val="100"/>
                <w:position w:val="0"/>
                <w:sz w:val="18"/>
                <w:szCs w:val="18"/>
              </w:rPr>
              <w:t>10.68%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-65.98%</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其他业务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left"/>
              <w:rPr>
                <w:sz w:val="18"/>
                <w:szCs w:val="18"/>
              </w:rPr>
            </w:pPr>
            <w:r>
              <w:rPr>
                <w:rFonts w:ascii="Times New Roman" w:eastAsia="Times New Roman" w:hAnsi="Times New Roman" w:cs="Times New Roman"/>
                <w:color w:val="000000"/>
                <w:spacing w:val="0"/>
                <w:w w:val="100"/>
                <w:position w:val="0"/>
                <w:sz w:val="18"/>
                <w:szCs w:val="18"/>
              </w:rPr>
              <w:t>40,111,555.37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60" w:right="0" w:firstLine="0"/>
              <w:jc w:val="left"/>
              <w:rPr>
                <w:sz w:val="18"/>
                <w:szCs w:val="18"/>
              </w:rPr>
            </w:pPr>
            <w:r>
              <w:rPr>
                <w:rFonts w:ascii="Times New Roman" w:eastAsia="Times New Roman" w:hAnsi="Times New Roman" w:cs="Times New Roman"/>
                <w:color w:val="000000"/>
                <w:spacing w:val="0"/>
                <w:w w:val="100"/>
                <w:position w:val="0"/>
                <w:sz w:val="18"/>
                <w:szCs w:val="18"/>
              </w:rPr>
              <w:t>1.12%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left"/>
              <w:rPr>
                <w:sz w:val="18"/>
                <w:szCs w:val="18"/>
              </w:rPr>
            </w:pPr>
            <w:r>
              <w:rPr>
                <w:rFonts w:ascii="Times New Roman" w:eastAsia="Times New Roman" w:hAnsi="Times New Roman" w:cs="Times New Roman"/>
                <w:color w:val="000000"/>
                <w:spacing w:val="0"/>
                <w:w w:val="100"/>
                <w:position w:val="0"/>
                <w:sz w:val="18"/>
                <w:szCs w:val="18"/>
              </w:rPr>
              <w:t>40,467,973.97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2.28%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-0.88%</w:t>
            </w:r>
          </w:p>
        </w:tc>
      </w:tr>
      <w:tr>
        <w:trPr>
          <w:trHeight w:val="403" w:hRule="exact"/>
        </w:trPr>
        <w:tc>
          <w:tcPr>
            <w:gridSpan w:val="6"/>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分地区</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大陆地区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rPr>
                <w:sz w:val="18"/>
                <w:szCs w:val="18"/>
              </w:rPr>
            </w:pPr>
            <w:r>
              <w:rPr>
                <w:rFonts w:ascii="Times New Roman" w:eastAsia="Times New Roman" w:hAnsi="Times New Roman" w:cs="Times New Roman"/>
                <w:color w:val="000000"/>
                <w:spacing w:val="0"/>
                <w:w w:val="100"/>
                <w:position w:val="0"/>
                <w:sz w:val="18"/>
                <w:szCs w:val="18"/>
              </w:rPr>
              <w:t>1,270,031,774.66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60"/>
              <w:jc w:val="left"/>
              <w:rPr>
                <w:sz w:val="18"/>
                <w:szCs w:val="18"/>
              </w:rPr>
            </w:pPr>
            <w:r>
              <w:rPr>
                <w:rFonts w:ascii="Times New Roman" w:eastAsia="Times New Roman" w:hAnsi="Times New Roman" w:cs="Times New Roman"/>
                <w:color w:val="000000"/>
                <w:spacing w:val="0"/>
                <w:w w:val="100"/>
                <w:position w:val="0"/>
                <w:sz w:val="18"/>
                <w:szCs w:val="18"/>
              </w:rPr>
              <w:t>35.32%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913,571,814.43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80"/>
              <w:jc w:val="left"/>
              <w:rPr>
                <w:sz w:val="18"/>
                <w:szCs w:val="18"/>
              </w:rPr>
            </w:pPr>
            <w:r>
              <w:rPr>
                <w:rFonts w:ascii="Times New Roman" w:eastAsia="Times New Roman" w:hAnsi="Times New Roman" w:cs="Times New Roman"/>
                <w:color w:val="000000"/>
                <w:spacing w:val="0"/>
                <w:w w:val="100"/>
                <w:position w:val="0"/>
                <w:sz w:val="18"/>
                <w:szCs w:val="18"/>
              </w:rPr>
              <w:t>51.40%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39.02%</w:t>
            </w:r>
          </w:p>
        </w:tc>
      </w:tr>
      <w:tr>
        <w:trPr>
          <w:trHeight w:val="41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海外地区</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rPr>
                <w:sz w:val="18"/>
                <w:szCs w:val="18"/>
              </w:rPr>
            </w:pPr>
            <w:r>
              <w:rPr>
                <w:rFonts w:ascii="Times New Roman" w:eastAsia="Times New Roman" w:hAnsi="Times New Roman" w:cs="Times New Roman"/>
                <w:color w:val="000000"/>
                <w:spacing w:val="0"/>
                <w:w w:val="100"/>
                <w:position w:val="0"/>
                <w:sz w:val="18"/>
                <w:szCs w:val="18"/>
              </w:rPr>
              <w:t>2,325,762,916.63</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60"/>
              <w:jc w:val="left"/>
              <w:rPr>
                <w:sz w:val="18"/>
                <w:szCs w:val="18"/>
              </w:rPr>
            </w:pPr>
            <w:r>
              <w:rPr>
                <w:rFonts w:ascii="Times New Roman" w:eastAsia="Times New Roman" w:hAnsi="Times New Roman" w:cs="Times New Roman"/>
                <w:color w:val="000000"/>
                <w:spacing w:val="0"/>
                <w:w w:val="100"/>
                <w:position w:val="0"/>
                <w:sz w:val="18"/>
                <w:szCs w:val="18"/>
              </w:rPr>
              <w:t>64.68%</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863,676,427.13</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80"/>
              <w:jc w:val="left"/>
              <w:rPr>
                <w:sz w:val="18"/>
                <w:szCs w:val="18"/>
              </w:rPr>
            </w:pPr>
            <w:r>
              <w:rPr>
                <w:rFonts w:ascii="Times New Roman" w:eastAsia="Times New Roman" w:hAnsi="Times New Roman" w:cs="Times New Roman"/>
                <w:color w:val="000000"/>
                <w:spacing w:val="0"/>
                <w:w w:val="100"/>
                <w:position w:val="0"/>
                <w:sz w:val="18"/>
                <w:szCs w:val="18"/>
              </w:rPr>
              <w:t>48.60%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169.29%</w:t>
            </w:r>
          </w:p>
        </w:tc>
      </w:tr>
    </w:tbl>
    <w:p>
      <w:pPr>
        <w:pStyle w:val="Style20"/>
        <w:keepNext w:val="0"/>
        <w:keepLines w:val="0"/>
        <w:widowControl w:val="0"/>
        <w:shd w:val="clear" w:color="auto" w:fill="auto"/>
        <w:bidi w:val="0"/>
        <w:spacing w:before="0" w:after="0" w:line="240" w:lineRule="auto"/>
        <w:ind w:left="101" w:right="0" w:firstLine="0"/>
        <w:jc w:val="left"/>
        <w:rPr>
          <w:sz w:val="17"/>
          <w:szCs w:val="17"/>
        </w:rPr>
      </w:pPr>
      <w:r>
        <w:rPr>
          <w:rFonts w:ascii="SimSun" w:eastAsia="SimSun" w:hAnsi="SimSun" w:cs="SimSun"/>
          <w:color w:val="000000"/>
          <w:spacing w:val="0"/>
          <w:w w:val="100"/>
          <w:position w:val="0"/>
          <w:sz w:val="17"/>
          <w:szCs w:val="17"/>
        </w:rPr>
        <w:t>公司需遵守《深圳证券交易所行业信息披露指引第</w:t>
      </w:r>
      <w:r>
        <w:rPr>
          <w:rFonts w:ascii="Times New Roman" w:eastAsia="Times New Roman" w:hAnsi="Times New Roman" w:cs="Times New Roman"/>
          <w:color w:val="000000"/>
          <w:spacing w:val="0"/>
          <w:w w:val="100"/>
          <w:position w:val="0"/>
          <w:sz w:val="18"/>
          <w:szCs w:val="18"/>
        </w:rPr>
        <w:t>12</w:t>
      </w:r>
      <w:r>
        <w:rPr>
          <w:rFonts w:ascii="SimSun" w:eastAsia="SimSun" w:hAnsi="SimSun" w:cs="SimSun"/>
          <w:color w:val="000000"/>
          <w:spacing w:val="0"/>
          <w:w w:val="100"/>
          <w:position w:val="0"/>
          <w:sz w:val="17"/>
          <w:szCs w:val="17"/>
        </w:rPr>
        <w:t>号——上市公司从事软件与信息技术服务业务》的披露要求</w:t>
      </w:r>
    </w:p>
    <w:p>
      <w:pPr>
        <w:widowControl w:val="0"/>
        <w:spacing w:after="239" w:line="1" w:lineRule="exact"/>
      </w:pPr>
    </w:p>
    <w:p>
      <w:pPr>
        <w:pStyle w:val="Style20"/>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单位：元</w:t>
      </w:r>
    </w:p>
    <w:tbl>
      <w:tblPr>
        <w:tblOverlap w:val="never"/>
        <w:jc w:val="center"/>
        <w:tblLayout w:type="fixed"/>
      </w:tblPr>
      <w:tblGrid>
        <w:gridCol w:w="715"/>
        <w:gridCol w:w="1133"/>
        <w:gridCol w:w="1138"/>
        <w:gridCol w:w="1133"/>
        <w:gridCol w:w="1277"/>
        <w:gridCol w:w="1133"/>
        <w:gridCol w:w="1186"/>
        <w:gridCol w:w="1085"/>
        <w:gridCol w:w="1282"/>
      </w:tblGrid>
      <w:tr>
        <w:trPr>
          <w:trHeight w:val="408" w:hRule="exact"/>
        </w:trPr>
        <w:tc>
          <w:tcPr>
            <w:vMerge w:val="restart"/>
            <w:tcBorders>
              <w:top w:val="single" w:sz="4"/>
              <w:left w:val="single" w:sz="4"/>
            </w:tcBorders>
            <w:shd w:val="clear" w:color="auto" w:fill="D7D7D7"/>
            <w:vAlign w:val="top"/>
          </w:tcPr>
          <w:p>
            <w:pPr>
              <w:widowControl w:val="0"/>
              <w:rPr>
                <w:sz w:val="10"/>
                <w:szCs w:val="10"/>
              </w:rPr>
            </w:pPr>
          </w:p>
        </w:tc>
        <w:tc>
          <w:tcPr>
            <w:gridSpan w:val="4"/>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年度</w:t>
            </w:r>
          </w:p>
        </w:tc>
        <w:tc>
          <w:tcPr>
            <w:gridSpan w:val="4"/>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2019</w:t>
            </w:r>
            <w:r>
              <w:rPr>
                <w:color w:val="000000"/>
                <w:spacing w:val="0"/>
                <w:w w:val="100"/>
                <w:position w:val="0"/>
              </w:rPr>
              <w:t>年度</w:t>
            </w:r>
          </w:p>
        </w:tc>
      </w:tr>
      <w:tr>
        <w:trPr>
          <w:trHeight w:val="403" w:hRule="exact"/>
        </w:trPr>
        <w:tc>
          <w:tcPr>
            <w:vMerge/>
            <w:tcBorders>
              <w:left w:val="single" w:sz="4"/>
            </w:tcBorders>
            <w:shd w:val="clear" w:color="auto" w:fill="D7D7D7"/>
            <w:vAlign w:val="top"/>
          </w:tcPr>
          <w:p>
            <w:pP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第一季度</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第二季度</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第三季度</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第四季度</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第一季度</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260"/>
              <w:jc w:val="left"/>
              <w:rPr>
                <w:sz w:val="15"/>
                <w:szCs w:val="15"/>
              </w:rPr>
            </w:pPr>
            <w:r>
              <w:rPr>
                <w:color w:val="000000"/>
                <w:spacing w:val="0"/>
                <w:w w:val="100"/>
                <w:position w:val="0"/>
                <w:sz w:val="15"/>
                <w:szCs w:val="15"/>
              </w:rPr>
              <w:t>第二季度</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第三季度</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第四季度</w:t>
            </w: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120" w:line="240" w:lineRule="auto"/>
              <w:ind w:left="0" w:right="0" w:firstLine="0"/>
              <w:jc w:val="center"/>
              <w:rPr>
                <w:sz w:val="15"/>
                <w:szCs w:val="15"/>
              </w:rPr>
            </w:pPr>
            <w:r>
              <w:rPr>
                <w:color w:val="000000"/>
                <w:spacing w:val="0"/>
                <w:w w:val="100"/>
                <w:position w:val="0"/>
                <w:sz w:val="15"/>
                <w:szCs w:val="15"/>
              </w:rPr>
              <w:t>营业收</w:t>
            </w:r>
          </w:p>
          <w:p>
            <w:pPr>
              <w:pStyle w:val="Style2"/>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3"/>
                <w:szCs w:val="13"/>
              </w:rPr>
            </w:pPr>
            <w:r>
              <w:rPr>
                <w:rFonts w:ascii="Times New Roman" w:eastAsia="Times New Roman" w:hAnsi="Times New Roman" w:cs="Times New Roman"/>
                <w:color w:val="000000"/>
                <w:spacing w:val="0"/>
                <w:w w:val="100"/>
                <w:position w:val="0"/>
                <w:sz w:val="13"/>
                <w:szCs w:val="13"/>
              </w:rPr>
              <w:t>553,190,018.01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3"/>
                <w:szCs w:val="13"/>
              </w:rPr>
            </w:pPr>
            <w:r>
              <w:rPr>
                <w:rFonts w:ascii="Times New Roman" w:eastAsia="Times New Roman" w:hAnsi="Times New Roman" w:cs="Times New Roman"/>
                <w:color w:val="000000"/>
                <w:spacing w:val="0"/>
                <w:w w:val="100"/>
                <w:position w:val="0"/>
                <w:sz w:val="13"/>
                <w:szCs w:val="13"/>
              </w:rPr>
              <w:t>742,558,644.00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3"/>
                <w:szCs w:val="13"/>
              </w:rPr>
            </w:pPr>
            <w:r>
              <w:rPr>
                <w:rFonts w:ascii="Times New Roman" w:eastAsia="Times New Roman" w:hAnsi="Times New Roman" w:cs="Times New Roman"/>
                <w:color w:val="000000"/>
                <w:spacing w:val="0"/>
                <w:w w:val="100"/>
                <w:position w:val="0"/>
                <w:sz w:val="13"/>
                <w:szCs w:val="13"/>
              </w:rPr>
              <w:t>962,261,173.41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3"/>
                <w:szCs w:val="13"/>
              </w:rPr>
            </w:pPr>
            <w:r>
              <w:rPr>
                <w:rFonts w:ascii="Times New Roman" w:eastAsia="Times New Roman" w:hAnsi="Times New Roman" w:cs="Times New Roman"/>
                <w:color w:val="000000"/>
                <w:spacing w:val="0"/>
                <w:w w:val="100"/>
                <w:position w:val="0"/>
                <w:sz w:val="13"/>
                <w:szCs w:val="13"/>
              </w:rPr>
              <w:t>1,337,784,855.87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color w:val="000000"/>
                <w:spacing w:val="0"/>
                <w:w w:val="100"/>
                <w:position w:val="0"/>
                <w:sz w:val="13"/>
                <w:szCs w:val="13"/>
              </w:rPr>
              <w:t>301,313,149.95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rPr>
                <w:sz w:val="13"/>
                <w:szCs w:val="13"/>
              </w:rPr>
            </w:pPr>
            <w:r>
              <w:rPr>
                <w:rFonts w:ascii="Times New Roman" w:eastAsia="Times New Roman" w:hAnsi="Times New Roman" w:cs="Times New Roman"/>
                <w:color w:val="000000"/>
                <w:spacing w:val="0"/>
                <w:w w:val="100"/>
                <w:position w:val="0"/>
                <w:sz w:val="13"/>
                <w:szCs w:val="13"/>
              </w:rPr>
              <w:t>351,320,916.35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rPr>
                <w:sz w:val="13"/>
                <w:szCs w:val="13"/>
              </w:rPr>
            </w:pPr>
            <w:r>
              <w:rPr>
                <w:rFonts w:ascii="Times New Roman" w:eastAsia="Times New Roman" w:hAnsi="Times New Roman" w:cs="Times New Roman"/>
                <w:color w:val="000000"/>
                <w:spacing w:val="0"/>
                <w:w w:val="100"/>
                <w:position w:val="0"/>
                <w:sz w:val="13"/>
                <w:szCs w:val="13"/>
              </w:rPr>
              <w:t>428,037,343.57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color w:val="000000"/>
                <w:spacing w:val="0"/>
                <w:w w:val="100"/>
                <w:position w:val="0"/>
                <w:sz w:val="13"/>
                <w:szCs w:val="13"/>
              </w:rPr>
              <w:t>696,576,831.69</w:t>
            </w:r>
          </w:p>
        </w:tc>
      </w:tr>
      <w:tr>
        <w:trPr>
          <w:trHeight w:val="1656"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313" w:lineRule="exact"/>
              <w:ind w:left="0" w:right="0" w:firstLine="0"/>
              <w:jc w:val="center"/>
              <w:rPr>
                <w:sz w:val="15"/>
                <w:szCs w:val="15"/>
              </w:rPr>
            </w:pPr>
            <w:r>
              <w:rPr>
                <w:color w:val="000000"/>
                <w:spacing w:val="0"/>
                <w:w w:val="100"/>
                <w:position w:val="0"/>
                <w:sz w:val="15"/>
                <w:szCs w:val="15"/>
              </w:rPr>
              <w:t>归属于 上市公 司股东 的净利 润</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rPr>
                <w:sz w:val="13"/>
                <w:szCs w:val="13"/>
              </w:rPr>
            </w:pPr>
            <w:r>
              <w:rPr>
                <w:rFonts w:ascii="Times New Roman" w:eastAsia="Times New Roman" w:hAnsi="Times New Roman" w:cs="Times New Roman"/>
                <w:color w:val="000000"/>
                <w:spacing w:val="0"/>
                <w:w w:val="100"/>
                <w:position w:val="0"/>
                <w:sz w:val="13"/>
                <w:szCs w:val="13"/>
              </w:rPr>
              <w:t>14,481,926.65</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rPr>
                <w:sz w:val="13"/>
                <w:szCs w:val="13"/>
              </w:rPr>
            </w:pPr>
            <w:r>
              <w:rPr>
                <w:rFonts w:ascii="Times New Roman" w:eastAsia="Times New Roman" w:hAnsi="Times New Roman" w:cs="Times New Roman"/>
                <w:color w:val="000000"/>
                <w:spacing w:val="0"/>
                <w:w w:val="100"/>
                <w:position w:val="0"/>
                <w:sz w:val="13"/>
                <w:szCs w:val="13"/>
              </w:rPr>
              <w:t>72,732,638.95</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3"/>
                <w:szCs w:val="13"/>
              </w:rPr>
            </w:pPr>
            <w:r>
              <w:rPr>
                <w:rFonts w:ascii="Times New Roman" w:eastAsia="Times New Roman" w:hAnsi="Times New Roman" w:cs="Times New Roman"/>
                <w:color w:val="000000"/>
                <w:spacing w:val="0"/>
                <w:w w:val="100"/>
                <w:position w:val="0"/>
                <w:sz w:val="13"/>
                <w:szCs w:val="13"/>
              </w:rPr>
              <w:t>119,461,796.35</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3"/>
                <w:szCs w:val="13"/>
              </w:rPr>
            </w:pPr>
            <w:r>
              <w:rPr>
                <w:rFonts w:ascii="Times New Roman" w:eastAsia="Times New Roman" w:hAnsi="Times New Roman" w:cs="Times New Roman"/>
                <w:color w:val="000000"/>
                <w:spacing w:val="0"/>
                <w:w w:val="100"/>
                <w:position w:val="0"/>
                <w:sz w:val="13"/>
                <w:szCs w:val="13"/>
              </w:rPr>
              <w:t>144,476,129.90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color w:val="000000"/>
                <w:spacing w:val="0"/>
                <w:w w:val="100"/>
                <w:position w:val="0"/>
                <w:sz w:val="13"/>
                <w:szCs w:val="13"/>
              </w:rPr>
              <w:t>-105,702,992.32</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color w:val="000000"/>
                <w:spacing w:val="0"/>
                <w:w w:val="100"/>
                <w:position w:val="0"/>
                <w:sz w:val="13"/>
                <w:szCs w:val="13"/>
              </w:rPr>
              <w:t>-111,782,198.36</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rPr>
                <w:sz w:val="13"/>
                <w:szCs w:val="13"/>
              </w:rPr>
            </w:pPr>
            <w:r>
              <w:rPr>
                <w:rFonts w:ascii="Times New Roman" w:eastAsia="Times New Roman" w:hAnsi="Times New Roman" w:cs="Times New Roman"/>
                <w:color w:val="000000"/>
                <w:spacing w:val="0"/>
                <w:w w:val="100"/>
                <w:position w:val="0"/>
                <w:sz w:val="13"/>
                <w:szCs w:val="13"/>
              </w:rPr>
              <w:t>-79,081,712.96</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color w:val="000000"/>
                <w:spacing w:val="0"/>
                <w:w w:val="100"/>
                <w:position w:val="0"/>
                <w:sz w:val="13"/>
                <w:szCs w:val="13"/>
              </w:rPr>
              <w:t>-1,177,611,034.73</w:t>
            </w:r>
          </w:p>
        </w:tc>
      </w:tr>
    </w:tbl>
    <w:p>
      <w:pPr>
        <w:pStyle w:val="Style41"/>
        <w:keepNext w:val="0"/>
        <w:keepLines w:val="0"/>
        <w:widowControl w:val="0"/>
        <w:shd w:val="clear" w:color="auto" w:fill="auto"/>
        <w:bidi w:val="0"/>
        <w:spacing w:before="0" w:after="0" w:line="466" w:lineRule="exact"/>
        <w:ind w:left="0" w:right="0" w:firstLine="0"/>
        <w:jc w:val="left"/>
      </w:pPr>
      <w:r>
        <w:rPr>
          <w:b/>
          <w:bCs/>
          <w:color w:val="000000"/>
          <w:spacing w:val="0"/>
          <w:w w:val="100"/>
          <w:position w:val="0"/>
        </w:rPr>
        <w:t>说明经营季节性（或周期性）发生的原因及波动风险</w:t>
      </w:r>
    </w:p>
    <w:p>
      <w:pPr>
        <w:pStyle w:val="Style41"/>
        <w:keepNext w:val="0"/>
        <w:keepLines w:val="0"/>
        <w:widowControl w:val="0"/>
        <w:shd w:val="clear" w:color="auto" w:fill="auto"/>
        <w:bidi w:val="0"/>
        <w:spacing w:before="0" w:after="0" w:line="466" w:lineRule="exact"/>
        <w:ind w:left="0" w:right="0" w:firstLine="0"/>
        <w:jc w:val="left"/>
      </w:pPr>
      <w:r>
        <w:rPr>
          <w:color w:val="000000"/>
          <w:spacing w:val="0"/>
          <w:w w:val="100"/>
          <w:position w:val="0"/>
        </w:rPr>
        <w:t>公司四大业务板块中除游戏业务外，主要客户为大型企业集团，通常集中于下半年、尤其是第四季度完成项目验收等相关工 作，导致经营上呈现前低后高的周期性特征。一般而言，第四季度较前三季度增长幅度较大，敬请投资者关注。</w:t>
      </w:r>
    </w:p>
    <w:p>
      <w:pPr>
        <w:pStyle w:val="Style41"/>
        <w:keepNext w:val="0"/>
        <w:keepLines w:val="0"/>
        <w:widowControl w:val="0"/>
        <w:shd w:val="clear" w:color="auto" w:fill="auto"/>
        <w:bidi w:val="0"/>
        <w:spacing w:before="0" w:after="0" w:line="466" w:lineRule="exact"/>
        <w:ind w:left="0" w:right="0" w:firstLine="0"/>
        <w:jc w:val="left"/>
      </w:pPr>
      <w:r>
        <w:rPr>
          <w:b/>
          <w:bCs/>
          <w:color w:val="000000"/>
          <w:spacing w:val="0"/>
          <w:w w:val="100"/>
          <w:position w:val="0"/>
        </w:rPr>
        <w:t>公司需遵守《深圳证券交易所创业板行业信息披露指引第</w:t>
      </w:r>
      <w:r>
        <w:rPr>
          <w:rFonts w:ascii="Times New Roman" w:eastAsia="Times New Roman" w:hAnsi="Times New Roman" w:cs="Times New Roman"/>
          <w:b/>
          <w:bCs/>
          <w:color w:val="000000"/>
          <w:spacing w:val="0"/>
          <w:w w:val="100"/>
          <w:position w:val="0"/>
          <w:sz w:val="18"/>
          <w:szCs w:val="18"/>
        </w:rPr>
        <w:t>5</w:t>
      </w:r>
      <w:r>
        <w:rPr>
          <w:b/>
          <w:bCs/>
          <w:color w:val="000000"/>
          <w:spacing w:val="0"/>
          <w:w w:val="100"/>
          <w:position w:val="0"/>
        </w:rPr>
        <w:t>号一上市公司从事互联网游戏业务》的披露要求：</w:t>
      </w:r>
    </w:p>
    <w:p>
      <w:pPr>
        <w:pStyle w:val="Style41"/>
        <w:keepNext w:val="0"/>
        <w:keepLines w:val="0"/>
        <w:widowControl w:val="0"/>
        <w:shd w:val="clear" w:color="auto" w:fill="auto"/>
        <w:bidi w:val="0"/>
        <w:spacing w:before="0" w:after="240" w:line="466" w:lineRule="exact"/>
        <w:ind w:left="0" w:right="0" w:firstLine="0"/>
        <w:jc w:val="left"/>
      </w:pPr>
      <w:r>
        <w:rPr>
          <w:color w:val="000000"/>
          <w:spacing w:val="0"/>
          <w:w w:val="100"/>
          <w:position w:val="0"/>
        </w:rPr>
        <w:t>报告期内公司新增运营游戏产品</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款，报告期末运营的游戏产品</w:t>
      </w:r>
      <w:r>
        <w:rPr>
          <w:rFonts w:ascii="Times New Roman" w:eastAsia="Times New Roman" w:hAnsi="Times New Roman" w:cs="Times New Roman"/>
          <w:color w:val="000000"/>
          <w:spacing w:val="0"/>
          <w:w w:val="100"/>
          <w:position w:val="0"/>
          <w:sz w:val="18"/>
          <w:szCs w:val="18"/>
        </w:rPr>
        <w:t>9</w:t>
      </w:r>
      <w:r>
        <w:rPr>
          <w:color w:val="000000"/>
          <w:spacing w:val="0"/>
          <w:w w:val="100"/>
          <w:position w:val="0"/>
        </w:rPr>
        <w:t>款；公司主要发行及运营的游戏类型为</w:t>
      </w:r>
      <w:r>
        <w:rPr>
          <w:rFonts w:ascii="Times New Roman" w:eastAsia="Times New Roman" w:hAnsi="Times New Roman" w:cs="Times New Roman"/>
          <w:color w:val="000000"/>
          <w:spacing w:val="0"/>
          <w:w w:val="100"/>
          <w:position w:val="0"/>
          <w:sz w:val="18"/>
          <w:szCs w:val="18"/>
        </w:rPr>
        <w:t>SLG</w:t>
      </w:r>
      <w:r>
        <w:rPr>
          <w:color w:val="000000"/>
          <w:spacing w:val="0"/>
          <w:w w:val="100"/>
          <w:position w:val="0"/>
        </w:rPr>
        <w:t xml:space="preserve">，截至本报 </w:t>
      </w:r>
      <w:r>
        <w:rPr>
          <w:color w:val="000000"/>
          <w:spacing w:val="0"/>
          <w:w w:val="100"/>
          <w:position w:val="0"/>
        </w:rPr>
        <w:t>告期末，活跃用户数量为</w:t>
      </w:r>
      <w:r>
        <w:rPr>
          <w:rFonts w:ascii="Times New Roman" w:eastAsia="Times New Roman" w:hAnsi="Times New Roman" w:cs="Times New Roman"/>
          <w:color w:val="000000"/>
          <w:spacing w:val="0"/>
          <w:w w:val="100"/>
          <w:position w:val="0"/>
          <w:sz w:val="18"/>
          <w:szCs w:val="18"/>
        </w:rPr>
        <w:t>3,574</w:t>
      </w:r>
      <w:r>
        <w:rPr>
          <w:color w:val="000000"/>
          <w:spacing w:val="0"/>
          <w:w w:val="100"/>
          <w:position w:val="0"/>
        </w:rPr>
        <w:t>万，新增总用户数量为</w:t>
      </w:r>
      <w:r>
        <w:rPr>
          <w:rFonts w:ascii="Times New Roman" w:eastAsia="Times New Roman" w:hAnsi="Times New Roman" w:cs="Times New Roman"/>
          <w:color w:val="000000"/>
          <w:spacing w:val="0"/>
          <w:w w:val="100"/>
          <w:position w:val="0"/>
          <w:sz w:val="18"/>
          <w:szCs w:val="18"/>
        </w:rPr>
        <w:t>3,316</w:t>
      </w:r>
      <w:r>
        <w:rPr>
          <w:color w:val="000000"/>
          <w:spacing w:val="0"/>
          <w:w w:val="100"/>
          <w:position w:val="0"/>
        </w:rPr>
        <w:t>万。</w:t>
      </w:r>
    </w:p>
    <w:p>
      <w:pPr>
        <w:pStyle w:val="Style41"/>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rPr>
        <w:t>主要游戏基本情况</w:t>
      </w:r>
    </w:p>
    <w:p>
      <w:pPr>
        <w:pStyle w:val="Style41"/>
        <w:keepNext w:val="0"/>
        <w:keepLines w:val="0"/>
        <w:widowControl w:val="0"/>
        <w:shd w:val="clear" w:color="auto" w:fill="auto"/>
        <w:bidi w:val="0"/>
        <w:spacing w:before="0" w:after="440" w:line="240" w:lineRule="auto"/>
        <w:ind w:left="0" w:right="280" w:firstLine="0"/>
        <w:jc w:val="right"/>
      </w:pPr>
      <w:r>
        <w:rPr>
          <w:color w:val="000000"/>
          <w:spacing w:val="0"/>
          <w:w w:val="100"/>
          <w:position w:val="0"/>
        </w:rPr>
        <w:t>单位：元</w:t>
      </w:r>
    </w:p>
    <w:tbl>
      <w:tblPr>
        <w:tblOverlap w:val="never"/>
        <w:jc w:val="center"/>
        <w:tblLayout w:type="fixed"/>
      </w:tblPr>
      <w:tblGrid>
        <w:gridCol w:w="1166"/>
        <w:gridCol w:w="859"/>
        <w:gridCol w:w="845"/>
        <w:gridCol w:w="566"/>
        <w:gridCol w:w="566"/>
        <w:gridCol w:w="835"/>
        <w:gridCol w:w="533"/>
        <w:gridCol w:w="1315"/>
        <w:gridCol w:w="610"/>
        <w:gridCol w:w="1181"/>
        <w:gridCol w:w="610"/>
        <w:gridCol w:w="624"/>
      </w:tblGrid>
      <w:tr>
        <w:trPr>
          <w:trHeight w:val="2280"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游戏名称</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240"/>
              <w:jc w:val="left"/>
            </w:pPr>
            <w:r>
              <w:rPr>
                <w:color w:val="000000"/>
                <w:spacing w:val="0"/>
                <w:w w:val="100"/>
                <w:position w:val="0"/>
              </w:rPr>
              <w:t>版号</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游戏类型</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运营 模式</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对应 运营 商名 称</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120" w:line="240" w:lineRule="auto"/>
              <w:ind w:left="0" w:right="0" w:firstLine="0"/>
              <w:jc w:val="center"/>
            </w:pPr>
            <w:r>
              <w:rPr>
                <w:color w:val="000000"/>
                <w:spacing w:val="0"/>
                <w:w w:val="100"/>
                <w:position w:val="0"/>
              </w:rPr>
              <w:t>游戏分发</w:t>
            </w:r>
          </w:p>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渠道</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收费 方式</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收入</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收入占 游戏业 务收入 的比例</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推广营销费用</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1" w:lineRule="exact"/>
              <w:ind w:left="0" w:right="0" w:firstLine="0"/>
              <w:jc w:val="both"/>
            </w:pPr>
            <w:r>
              <w:rPr>
                <w:color w:val="000000"/>
                <w:spacing w:val="0"/>
                <w:w w:val="100"/>
                <w:position w:val="0"/>
              </w:rPr>
              <w:t>推广营 销费用 占游戏 推广营 销费用 总额的 比例</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推广营 销费用 占主要 游戏收 入总额 的比例</w:t>
            </w:r>
          </w:p>
        </w:tc>
      </w:tr>
      <w:tr>
        <w:trPr>
          <w:trHeight w:val="720"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220"/>
              <w:jc w:val="left"/>
              <w:rPr>
                <w:sz w:val="18"/>
                <w:szCs w:val="18"/>
              </w:rPr>
            </w:pPr>
            <w:r>
              <w:rPr>
                <w:rFonts w:ascii="Times New Roman" w:eastAsia="Times New Roman" w:hAnsi="Times New Roman" w:cs="Times New Roman"/>
                <w:color w:val="000000"/>
                <w:spacing w:val="0"/>
                <w:w w:val="100"/>
                <w:position w:val="0"/>
                <w:sz w:val="18"/>
                <w:szCs w:val="18"/>
              </w:rPr>
              <w:t>Age of Z</w:t>
            </w:r>
          </w:p>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Origins</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手游</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自主 运营</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7"/>
                <w:szCs w:val="17"/>
              </w:rPr>
              <w:t>安卓</w:t>
            </w:r>
            <w:r>
              <w:rPr>
                <w:rFonts w:ascii="Times New Roman" w:eastAsia="Times New Roman" w:hAnsi="Times New Roman" w:cs="Times New Roman"/>
                <w:color w:val="000000"/>
                <w:spacing w:val="0"/>
                <w:w w:val="100"/>
                <w:position w:val="0"/>
                <w:sz w:val="18"/>
                <w:szCs w:val="18"/>
              </w:rPr>
              <w:t>/IOS</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道具 收费</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1,317,254,289.77</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54.71%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523,173,568.39</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63.97%</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21.81%</w:t>
            </w:r>
          </w:p>
        </w:tc>
      </w:tr>
    </w:tbl>
    <w:p>
      <w:pPr>
        <w:spacing w:lineRule="exact" w:line="1"/>
        <w:rPr>
          <w:sz w:val="2"/>
          <w:szCs w:val="2"/>
        </w:rPr>
      </w:pPr>
      <w:r>
        <w:br w:type="page"/>
      </w:r>
    </w:p>
    <w:tbl>
      <w:tblPr>
        <w:tblOverlap w:val="never"/>
        <w:jc w:val="center"/>
        <w:tblLayout w:type="fixed"/>
      </w:tblPr>
      <w:tblGrid>
        <w:gridCol w:w="1166"/>
        <w:gridCol w:w="859"/>
        <w:gridCol w:w="845"/>
        <w:gridCol w:w="566"/>
        <w:gridCol w:w="566"/>
        <w:gridCol w:w="835"/>
        <w:gridCol w:w="533"/>
        <w:gridCol w:w="1315"/>
        <w:gridCol w:w="610"/>
        <w:gridCol w:w="1181"/>
        <w:gridCol w:w="610"/>
        <w:gridCol w:w="624"/>
      </w:tblGrid>
      <w:tr>
        <w:trPr>
          <w:trHeight w:val="103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War and Order</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60" w:line="240" w:lineRule="auto"/>
              <w:ind w:left="0" w:right="0" w:firstLine="220"/>
              <w:jc w:val="left"/>
              <w:rPr>
                <w:sz w:val="18"/>
                <w:szCs w:val="18"/>
              </w:rPr>
            </w:pPr>
            <w:r>
              <w:rPr>
                <w:rFonts w:ascii="Times New Roman" w:eastAsia="Times New Roman" w:hAnsi="Times New Roman" w:cs="Times New Roman"/>
                <w:color w:val="000000"/>
                <w:spacing w:val="0"/>
                <w:w w:val="100"/>
                <w:position w:val="0"/>
                <w:sz w:val="18"/>
                <w:szCs w:val="18"/>
              </w:rPr>
              <w:t>ISBN</w:t>
            </w:r>
          </w:p>
          <w:p>
            <w:pPr>
              <w:pStyle w:val="Style2"/>
              <w:keepNext w:val="0"/>
              <w:keepLines w:val="0"/>
              <w:widowControl w:val="0"/>
              <w:shd w:val="clear" w:color="auto" w:fill="auto"/>
              <w:bidi w:val="0"/>
              <w:spacing w:before="0" w:after="14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978-7-797</w:t>
            </w:r>
          </w:p>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9-0922-8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pPr>
            <w:r>
              <w:rPr>
                <w:color w:val="000000"/>
                <w:spacing w:val="0"/>
                <w:w w:val="100"/>
                <w:position w:val="0"/>
              </w:rPr>
              <w:t>手游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自主 运营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7"/>
                <w:szCs w:val="17"/>
              </w:rPr>
              <w:t>安卓</w:t>
            </w:r>
            <w:r>
              <w:rPr>
                <w:rFonts w:ascii="Times New Roman" w:eastAsia="Times New Roman" w:hAnsi="Times New Roman" w:cs="Times New Roman"/>
                <w:color w:val="000000"/>
                <w:spacing w:val="0"/>
                <w:w w:val="100"/>
                <w:position w:val="0"/>
                <w:sz w:val="18"/>
                <w:szCs w:val="18"/>
              </w:rPr>
              <w:t>/IOS</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道具 收费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1,002,486,202.06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41.64%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248,475,477.03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30.38%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10.36%</w:t>
            </w: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War of Destiny</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pPr>
            <w:r>
              <w:rPr>
                <w:color w:val="000000"/>
                <w:spacing w:val="0"/>
                <w:w w:val="100"/>
                <w:position w:val="0"/>
              </w:rPr>
              <w:t>手游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自主 运营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7"/>
                <w:szCs w:val="17"/>
              </w:rPr>
              <w:t>安卓</w:t>
            </w:r>
            <w:r>
              <w:rPr>
                <w:rFonts w:ascii="Times New Roman" w:eastAsia="Times New Roman" w:hAnsi="Times New Roman" w:cs="Times New Roman"/>
                <w:color w:val="000000"/>
                <w:spacing w:val="0"/>
                <w:w w:val="100"/>
                <w:position w:val="0"/>
                <w:sz w:val="18"/>
                <w:szCs w:val="18"/>
              </w:rPr>
              <w:t>/IOS</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道具 收费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51,873,678.45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2.15%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30,742,710.07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3.76%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1.28%</w:t>
            </w:r>
          </w:p>
        </w:tc>
      </w:tr>
      <w:tr>
        <w:trPr>
          <w:trHeight w:val="102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Titan Throne</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60" w:line="240" w:lineRule="auto"/>
              <w:ind w:left="0" w:right="0" w:firstLine="220"/>
              <w:jc w:val="left"/>
              <w:rPr>
                <w:sz w:val="18"/>
                <w:szCs w:val="18"/>
              </w:rPr>
            </w:pPr>
            <w:r>
              <w:rPr>
                <w:rFonts w:ascii="Times New Roman" w:eastAsia="Times New Roman" w:hAnsi="Times New Roman" w:cs="Times New Roman"/>
                <w:color w:val="000000"/>
                <w:spacing w:val="0"/>
                <w:w w:val="100"/>
                <w:position w:val="0"/>
                <w:sz w:val="18"/>
                <w:szCs w:val="18"/>
              </w:rPr>
              <w:t>ISBN</w:t>
            </w:r>
          </w:p>
          <w:p>
            <w:pPr>
              <w:pStyle w:val="Style2"/>
              <w:keepNext w:val="0"/>
              <w:keepLines w:val="0"/>
              <w:widowControl w:val="0"/>
              <w:shd w:val="clear" w:color="auto" w:fill="auto"/>
              <w:bidi w:val="0"/>
              <w:spacing w:before="0" w:after="14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978-7-498</w:t>
            </w:r>
          </w:p>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-07133-0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pPr>
            <w:r>
              <w:rPr>
                <w:color w:val="000000"/>
                <w:spacing w:val="0"/>
                <w:w w:val="100"/>
                <w:position w:val="0"/>
              </w:rPr>
              <w:t>手游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left"/>
            </w:pPr>
            <w:r>
              <w:rPr>
                <w:color w:val="000000"/>
                <w:spacing w:val="0"/>
                <w:w w:val="100"/>
                <w:position w:val="0"/>
              </w:rPr>
              <w:t>联合</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运营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7"/>
                <w:szCs w:val="17"/>
              </w:rPr>
              <w:t>安卓</w:t>
            </w:r>
            <w:r>
              <w:rPr>
                <w:rFonts w:ascii="Times New Roman" w:eastAsia="Times New Roman" w:hAnsi="Times New Roman" w:cs="Times New Roman"/>
                <w:color w:val="000000"/>
                <w:spacing w:val="0"/>
                <w:w w:val="100"/>
                <w:position w:val="0"/>
                <w:sz w:val="18"/>
                <w:szCs w:val="18"/>
              </w:rPr>
              <w:t>/IOS</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道具 收费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22,915,195.26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0.95%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692.83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r>
      <w:tr>
        <w:trPr>
          <w:trHeight w:val="1037"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小小帝国</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220"/>
              <w:jc w:val="left"/>
              <w:rPr>
                <w:sz w:val="18"/>
                <w:szCs w:val="18"/>
              </w:rPr>
            </w:pPr>
            <w:r>
              <w:rPr>
                <w:rFonts w:ascii="Times New Roman" w:eastAsia="Times New Roman" w:hAnsi="Times New Roman" w:cs="Times New Roman"/>
                <w:color w:val="000000"/>
                <w:spacing w:val="0"/>
                <w:w w:val="100"/>
                <w:position w:val="0"/>
                <w:sz w:val="18"/>
                <w:szCs w:val="18"/>
              </w:rPr>
              <w:t>ISBN</w:t>
            </w:r>
          </w:p>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978-7-797</w:t>
            </w:r>
          </w:p>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9-0913-6</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pPr>
            <w:r>
              <w:rPr>
                <w:color w:val="000000"/>
                <w:spacing w:val="0"/>
                <w:w w:val="100"/>
                <w:position w:val="0"/>
              </w:rPr>
              <w:t>手游</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自主 运营</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7"/>
                <w:szCs w:val="17"/>
              </w:rPr>
              <w:t>安卓</w:t>
            </w:r>
            <w:r>
              <w:rPr>
                <w:rFonts w:ascii="Times New Roman" w:eastAsia="Times New Roman" w:hAnsi="Times New Roman" w:cs="Times New Roman"/>
                <w:color w:val="000000"/>
                <w:spacing w:val="0"/>
                <w:w w:val="100"/>
                <w:position w:val="0"/>
                <w:sz w:val="18"/>
                <w:szCs w:val="18"/>
              </w:rPr>
              <w:t>/IOS</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道具 收费</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4,169,667.95</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0.17%</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w:t>
            </w:r>
          </w:p>
        </w:tc>
      </w:tr>
    </w:tbl>
    <w:p>
      <w:pPr>
        <w:pStyle w:val="Style20"/>
        <w:keepNext w:val="0"/>
        <w:keepLines w:val="0"/>
        <w:widowControl w:val="0"/>
        <w:shd w:val="clear" w:color="auto" w:fill="auto"/>
        <w:bidi w:val="0"/>
        <w:spacing w:before="0" w:after="0" w:line="240" w:lineRule="auto"/>
        <w:ind w:left="10" w:right="0" w:firstLine="0"/>
        <w:jc w:val="left"/>
        <w:rPr>
          <w:sz w:val="17"/>
          <w:szCs w:val="17"/>
        </w:rPr>
      </w:pPr>
      <w:r>
        <w:rPr>
          <w:rFonts w:ascii="SimSun" w:eastAsia="SimSun" w:hAnsi="SimSun" w:cs="SimSun"/>
          <w:b/>
          <w:bCs/>
          <w:color w:val="000000"/>
          <w:spacing w:val="0"/>
          <w:w w:val="100"/>
          <w:position w:val="0"/>
          <w:sz w:val="17"/>
          <w:szCs w:val="17"/>
        </w:rPr>
        <w:t>主要游戏分季度运营数据</w:t>
      </w:r>
    </w:p>
    <w:p>
      <w:pPr>
        <w:widowControl w:val="0"/>
        <w:spacing w:after="99" w:line="1" w:lineRule="exact"/>
      </w:pPr>
    </w:p>
    <w:tbl>
      <w:tblPr>
        <w:tblOverlap w:val="never"/>
        <w:jc w:val="center"/>
        <w:tblLayout w:type="fixed"/>
      </w:tblPr>
      <w:tblGrid>
        <w:gridCol w:w="1392"/>
        <w:gridCol w:w="1387"/>
        <w:gridCol w:w="1382"/>
        <w:gridCol w:w="1387"/>
        <w:gridCol w:w="1382"/>
        <w:gridCol w:w="1382"/>
        <w:gridCol w:w="1397"/>
      </w:tblGrid>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游戏名称</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季度</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用户数量</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240"/>
              <w:jc w:val="left"/>
            </w:pPr>
            <w:r>
              <w:rPr>
                <w:color w:val="000000"/>
                <w:spacing w:val="0"/>
                <w:w w:val="100"/>
                <w:position w:val="0"/>
              </w:rPr>
              <w:t>活跃用户数</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付费用户数量</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000000"/>
                <w:spacing w:val="0"/>
                <w:w w:val="100"/>
                <w:position w:val="0"/>
                <w:sz w:val="18"/>
                <w:szCs w:val="18"/>
              </w:rPr>
              <w:t xml:space="preserve">ARPU </w:t>
            </w:r>
            <w:r>
              <w:rPr>
                <w:color w:val="000000"/>
                <w:spacing w:val="0"/>
                <w:w w:val="100"/>
                <w:position w:val="0"/>
              </w:rPr>
              <w:t>值</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充值流水（元）</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Age of Z Origins</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left"/>
            </w:pPr>
            <w:r>
              <w:rPr>
                <w:color w:val="000000"/>
                <w:spacing w:val="0"/>
                <w:w w:val="100"/>
                <w:position w:val="0"/>
              </w:rPr>
              <w:t>一季度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3,910,370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1,817,194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141,144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189,798,105</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War and Order</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left"/>
            </w:pPr>
            <w:r>
              <w:rPr>
                <w:color w:val="000000"/>
                <w:spacing w:val="0"/>
                <w:w w:val="100"/>
                <w:position w:val="0"/>
              </w:rPr>
              <w:t>一季度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2,513,898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1,847,163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176,503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219,301,204</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War of Destiny</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left"/>
            </w:pPr>
            <w:r>
              <w:rPr>
                <w:color w:val="000000"/>
                <w:spacing w:val="0"/>
                <w:w w:val="100"/>
                <w:position w:val="0"/>
              </w:rPr>
              <w:t>一季度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372,499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198,851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12,961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12,307,477</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rFonts w:ascii="Times New Roman" w:eastAsia="Times New Roman" w:hAnsi="Times New Roman" w:cs="Times New Roman"/>
                <w:color w:val="000000"/>
                <w:spacing w:val="0"/>
                <w:w w:val="100"/>
                <w:position w:val="0"/>
                <w:sz w:val="18"/>
                <w:szCs w:val="18"/>
              </w:rPr>
              <w:t>Titan Throne</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left"/>
            </w:pPr>
            <w:r>
              <w:rPr>
                <w:color w:val="000000"/>
                <w:spacing w:val="0"/>
                <w:w w:val="100"/>
                <w:position w:val="0"/>
              </w:rPr>
              <w:t>一季度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38,020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33,608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6,653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7,949,677</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小小帝国</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left"/>
            </w:pPr>
            <w:r>
              <w:rPr>
                <w:color w:val="000000"/>
                <w:spacing w:val="0"/>
                <w:w w:val="100"/>
                <w:position w:val="0"/>
              </w:rPr>
              <w:t>一季度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66,561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59,560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1,771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1,411,553</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Age of Z Origins</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left"/>
            </w:pPr>
            <w:r>
              <w:rPr>
                <w:color w:val="000000"/>
                <w:spacing w:val="0"/>
                <w:w w:val="100"/>
                <w:position w:val="0"/>
              </w:rPr>
              <w:t>二季度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5,285,345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2,507,625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194,550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303,902,660</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War and Order</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left"/>
            </w:pPr>
            <w:r>
              <w:rPr>
                <w:color w:val="000000"/>
                <w:spacing w:val="0"/>
                <w:w w:val="100"/>
                <w:position w:val="0"/>
              </w:rPr>
              <w:t>二季度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2,800,951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1,981,697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194,320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259,299,337</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War of Destiny</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left"/>
            </w:pPr>
            <w:r>
              <w:rPr>
                <w:color w:val="000000"/>
                <w:spacing w:val="0"/>
                <w:w w:val="100"/>
                <w:position w:val="0"/>
              </w:rPr>
              <w:t>二季度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444,502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227,835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12,270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13,779,222.00</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rFonts w:ascii="Times New Roman" w:eastAsia="Times New Roman" w:hAnsi="Times New Roman" w:cs="Times New Roman"/>
                <w:color w:val="000000"/>
                <w:spacing w:val="0"/>
                <w:w w:val="100"/>
                <w:position w:val="0"/>
                <w:sz w:val="18"/>
                <w:szCs w:val="18"/>
              </w:rPr>
              <w:t>Titan Throne</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left"/>
            </w:pPr>
            <w:r>
              <w:rPr>
                <w:color w:val="000000"/>
                <w:spacing w:val="0"/>
                <w:w w:val="100"/>
                <w:position w:val="0"/>
              </w:rPr>
              <w:t>二季度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17,796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25,549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5,316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6,191,836</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小小帝国</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left"/>
            </w:pPr>
            <w:r>
              <w:rPr>
                <w:color w:val="000000"/>
                <w:spacing w:val="0"/>
                <w:w w:val="100"/>
                <w:position w:val="0"/>
              </w:rPr>
              <w:t>二季度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50,075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51,294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1,475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1,107,619</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Age of Z Origins</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left"/>
            </w:pPr>
            <w:r>
              <w:rPr>
                <w:color w:val="000000"/>
                <w:spacing w:val="0"/>
                <w:w w:val="100"/>
                <w:position w:val="0"/>
              </w:rPr>
              <w:t>三季度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4,575,183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2,405,466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220,720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382,826,074</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War and Order</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left"/>
            </w:pPr>
            <w:r>
              <w:rPr>
                <w:color w:val="000000"/>
                <w:spacing w:val="0"/>
                <w:w w:val="100"/>
                <w:position w:val="0"/>
              </w:rPr>
              <w:t>三季度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2,839,825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2,019,905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195,480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275,773,061</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War of Destiny</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left"/>
            </w:pPr>
            <w:r>
              <w:rPr>
                <w:color w:val="000000"/>
                <w:spacing w:val="0"/>
                <w:w w:val="100"/>
                <w:position w:val="0"/>
              </w:rPr>
              <w:t>三季度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394,823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203,702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12,374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12,194,637</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rFonts w:ascii="Times New Roman" w:eastAsia="Times New Roman" w:hAnsi="Times New Roman" w:cs="Times New Roman"/>
                <w:color w:val="000000"/>
                <w:spacing w:val="0"/>
                <w:w w:val="100"/>
                <w:position w:val="0"/>
                <w:sz w:val="18"/>
                <w:szCs w:val="18"/>
              </w:rPr>
              <w:t>Titan Throne</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left"/>
            </w:pPr>
            <w:r>
              <w:rPr>
                <w:color w:val="000000"/>
                <w:spacing w:val="0"/>
                <w:w w:val="100"/>
                <w:position w:val="0"/>
              </w:rPr>
              <w:t>三季度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17,404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24,371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4,665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4,934,458</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小小帝国</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left"/>
            </w:pPr>
            <w:r>
              <w:rPr>
                <w:color w:val="000000"/>
                <w:spacing w:val="0"/>
                <w:w w:val="100"/>
                <w:position w:val="0"/>
              </w:rPr>
              <w:t>三季度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39,060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55,893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1,265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963,988</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Age of Z Origins</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left"/>
            </w:pPr>
            <w:r>
              <w:rPr>
                <w:color w:val="000000"/>
                <w:spacing w:val="0"/>
                <w:w w:val="100"/>
                <w:position w:val="0"/>
              </w:rPr>
              <w:t>四季度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4,892,628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2,612,148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233,469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415,366,475</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War and Order</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left"/>
            </w:pPr>
            <w:r>
              <w:rPr>
                <w:color w:val="000000"/>
                <w:spacing w:val="0"/>
                <w:w w:val="100"/>
                <w:position w:val="0"/>
              </w:rPr>
              <w:t>四季度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2,929,067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2,028,759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282,338,374</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War of Destiny</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left"/>
            </w:pPr>
            <w:r>
              <w:rPr>
                <w:color w:val="000000"/>
                <w:spacing w:val="0"/>
                <w:w w:val="100"/>
                <w:position w:val="0"/>
              </w:rPr>
              <w:t>四季度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287,007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159,297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11,445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13,464,821</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rFonts w:ascii="Times New Roman" w:eastAsia="Times New Roman" w:hAnsi="Times New Roman" w:cs="Times New Roman"/>
                <w:color w:val="000000"/>
                <w:spacing w:val="0"/>
                <w:w w:val="100"/>
                <w:position w:val="0"/>
                <w:sz w:val="18"/>
                <w:szCs w:val="18"/>
              </w:rPr>
              <w:t>Titan Throne</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left"/>
            </w:pPr>
            <w:r>
              <w:rPr>
                <w:color w:val="000000"/>
                <w:spacing w:val="0"/>
                <w:w w:val="100"/>
                <w:position w:val="0"/>
              </w:rPr>
              <w:t>四季度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13,058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20,444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3,838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3,598,327.00</w:t>
            </w:r>
          </w:p>
        </w:tc>
      </w:tr>
      <w:tr>
        <w:trPr>
          <w:trHeight w:val="40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小小帝国</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left"/>
            </w:pPr>
            <w:r>
              <w:rPr>
                <w:color w:val="000000"/>
                <w:spacing w:val="0"/>
                <w:w w:val="100"/>
                <w:position w:val="0"/>
              </w:rPr>
              <w:t>四季度</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32,594</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37,484</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1,185</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856,527</w:t>
            </w:r>
          </w:p>
        </w:tc>
      </w:tr>
    </w:tbl>
    <w:p>
      <w:pPr>
        <w:sectPr>
          <w:headerReference w:type="default" r:id="rId123"/>
          <w:footerReference w:type="default" r:id="rId124"/>
          <w:headerReference w:type="even" r:id="rId125"/>
          <w:footerReference w:type="even" r:id="rId126"/>
          <w:headerReference w:type="first" r:id="rId127"/>
          <w:footerReference w:type="first" r:id="rId128"/>
          <w:footnotePr>
            <w:pos w:val="pageBottom"/>
            <w:numFmt w:val="decimal"/>
            <w:numRestart w:val="continuous"/>
          </w:footnotePr>
          <w:pgSz w:w="11904" w:h="17375"/>
          <w:pgMar w:top="1665" w:right="841" w:bottom="1637" w:left="983" w:header="0" w:footer="3" w:gutter="0"/>
          <w:cols w:space="720"/>
          <w:noEndnote/>
          <w:titlePg/>
          <w:rtlGutter w:val="0"/>
          <w:docGrid w:linePitch="360"/>
        </w:sectPr>
      </w:pPr>
    </w:p>
    <w:p>
      <w:pPr>
        <w:pStyle w:val="Style58"/>
        <w:keepNext/>
        <w:keepLines/>
        <w:widowControl w:val="0"/>
        <w:shd w:val="clear" w:color="auto" w:fill="auto"/>
        <w:bidi w:val="0"/>
        <w:spacing w:before="0" w:after="460" w:line="240" w:lineRule="auto"/>
        <w:ind w:left="0" w:right="0" w:firstLine="0"/>
        <w:jc w:val="both"/>
        <w:rPr>
          <w:sz w:val="20"/>
          <w:szCs w:val="20"/>
        </w:rPr>
      </w:pPr>
      <w:bookmarkStart w:id="235" w:name="bookmark235"/>
      <w:bookmarkStart w:id="236" w:name="bookmark236"/>
      <w:bookmarkStart w:id="237" w:name="bookmark237"/>
      <w:bookmarkStart w:id="238" w:name="bookmark238"/>
      <w:r>
        <w:rPr>
          <w:b/>
          <w:bCs/>
          <w:color w:val="000000"/>
          <w:spacing w:val="0"/>
          <w:w w:val="100"/>
          <w:position w:val="0"/>
          <w:sz w:val="20"/>
          <w:szCs w:val="20"/>
        </w:rPr>
        <w:t>（</w:t>
      </w:r>
      <w:bookmarkEnd w:id="237"/>
      <w:r>
        <w:rPr>
          <w:b/>
          <w:bCs/>
          <w:color w:val="000000"/>
          <w:spacing w:val="0"/>
          <w:w w:val="100"/>
          <w:position w:val="0"/>
          <w:sz w:val="20"/>
          <w:szCs w:val="20"/>
        </w:rPr>
        <w:t>2）占公司营业收入或营业利润10%以上的行业、产品或地区情况</w:t>
      </w:r>
      <w:bookmarkEnd w:id="235"/>
      <w:bookmarkEnd w:id="236"/>
      <w:bookmarkEnd w:id="238"/>
    </w:p>
    <w:p>
      <w:pPr>
        <w:pStyle w:val="Style41"/>
        <w:keepNext w:val="0"/>
        <w:keepLines w:val="0"/>
        <w:widowControl w:val="0"/>
        <w:shd w:val="clear" w:color="auto" w:fill="auto"/>
        <w:bidi w:val="0"/>
        <w:spacing w:before="0" w:after="200" w:line="240" w:lineRule="auto"/>
        <w:ind w:left="0" w:right="0" w:firstLine="0"/>
        <w:jc w:val="both"/>
      </w:pPr>
      <w:r>
        <w:rPr>
          <w:rFonts w:ascii="Times New Roman" w:eastAsia="Times New Roman" w:hAnsi="Times New Roman" w:cs="Times New Roman"/>
          <w:b/>
          <w:bCs/>
          <w:color w:val="000000"/>
          <w:spacing w:val="0"/>
          <w:w w:val="100"/>
          <w:position w:val="0"/>
          <w:sz w:val="18"/>
          <w:szCs w:val="18"/>
        </w:rPr>
        <w:t>V</w:t>
      </w:r>
      <w:r>
        <w:rPr>
          <w:b/>
          <w:bCs/>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20"/>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单位：元</w:t>
      </w:r>
    </w:p>
    <w:tbl>
      <w:tblPr>
        <w:tblOverlap w:val="never"/>
        <w:jc w:val="center"/>
        <w:tblLayout w:type="fixed"/>
      </w:tblPr>
      <w:tblGrid>
        <w:gridCol w:w="1675"/>
        <w:gridCol w:w="1478"/>
        <w:gridCol w:w="1474"/>
        <w:gridCol w:w="874"/>
        <w:gridCol w:w="1560"/>
        <w:gridCol w:w="1382"/>
        <w:gridCol w:w="1426"/>
      </w:tblGrid>
      <w:tr>
        <w:trPr>
          <w:trHeight w:val="720" w:hRule="exact"/>
        </w:trPr>
        <w:tc>
          <w:tcPr>
            <w:tcBorders>
              <w:top w:val="single" w:sz="4"/>
              <w:left w:val="single" w:sz="4"/>
            </w:tcBorders>
            <w:shd w:val="clear" w:color="auto" w:fill="D7D7D7"/>
            <w:vAlign w:val="top"/>
          </w:tcPr>
          <w:p>
            <w:pPr>
              <w:widowControl w:val="0"/>
              <w:rPr>
                <w:sz w:val="10"/>
                <w:szCs w:val="10"/>
              </w:rPr>
            </w:pP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营业收入</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营业成本</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毛利率</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22" w:lineRule="exact"/>
              <w:ind w:left="0" w:right="0" w:firstLine="0"/>
              <w:jc w:val="center"/>
            </w:pPr>
            <w:r>
              <w:rPr>
                <w:color w:val="000000"/>
                <w:spacing w:val="0"/>
                <w:w w:val="100"/>
                <w:position w:val="0"/>
              </w:rPr>
              <w:t>营业收入比上年 同期增减</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22" w:lineRule="exact"/>
              <w:ind w:left="0" w:right="0" w:firstLine="0"/>
              <w:jc w:val="center"/>
            </w:pPr>
            <w:r>
              <w:rPr>
                <w:color w:val="000000"/>
                <w:spacing w:val="0"/>
                <w:w w:val="100"/>
                <w:position w:val="0"/>
              </w:rPr>
              <w:t>营业成本比上 年同期增减</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322" w:lineRule="exact"/>
              <w:ind w:left="0" w:right="0" w:firstLine="0"/>
              <w:jc w:val="center"/>
            </w:pPr>
            <w:r>
              <w:rPr>
                <w:color w:val="000000"/>
                <w:spacing w:val="0"/>
                <w:w w:val="100"/>
                <w:position w:val="0"/>
              </w:rPr>
              <w:t>毛利率比上年 同期增减</w:t>
            </w:r>
          </w:p>
        </w:tc>
      </w:tr>
      <w:tr>
        <w:trPr>
          <w:trHeight w:val="398" w:hRule="exact"/>
        </w:trPr>
        <w:tc>
          <w:tcPr>
            <w:gridSpan w:val="7"/>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分行业</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电信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8"/>
                <w:szCs w:val="18"/>
              </w:rPr>
            </w:pPr>
            <w:r>
              <w:rPr>
                <w:rFonts w:ascii="Times New Roman" w:eastAsia="Times New Roman" w:hAnsi="Times New Roman" w:cs="Times New Roman"/>
                <w:color w:val="000000"/>
                <w:spacing w:val="0"/>
                <w:w w:val="100"/>
                <w:position w:val="0"/>
                <w:sz w:val="18"/>
                <w:szCs w:val="18"/>
              </w:rPr>
              <w:t>722,946,249.22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8"/>
                <w:szCs w:val="18"/>
              </w:rPr>
            </w:pPr>
            <w:r>
              <w:rPr>
                <w:rFonts w:ascii="Times New Roman" w:eastAsia="Times New Roman" w:hAnsi="Times New Roman" w:cs="Times New Roman"/>
                <w:color w:val="000000"/>
                <w:spacing w:val="0"/>
                <w:w w:val="100"/>
                <w:position w:val="0"/>
                <w:sz w:val="18"/>
                <w:szCs w:val="18"/>
              </w:rPr>
              <w:t>307,129,101.37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000000"/>
                <w:spacing w:val="0"/>
                <w:w w:val="100"/>
                <w:position w:val="0"/>
                <w:sz w:val="18"/>
                <w:szCs w:val="18"/>
              </w:rPr>
              <w:t>57.52%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156.19%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132.99%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4.23%</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政府及事业单位</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rPr>
                <w:sz w:val="18"/>
                <w:szCs w:val="18"/>
              </w:rPr>
            </w:pPr>
            <w:r>
              <w:rPr>
                <w:rFonts w:ascii="Times New Roman" w:eastAsia="Times New Roman" w:hAnsi="Times New Roman" w:cs="Times New Roman"/>
                <w:color w:val="000000"/>
                <w:spacing w:val="0"/>
                <w:w w:val="100"/>
                <w:position w:val="0"/>
                <w:sz w:val="18"/>
                <w:szCs w:val="18"/>
              </w:rPr>
              <w:t>73,106,737.13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rPr>
                <w:sz w:val="18"/>
                <w:szCs w:val="18"/>
              </w:rPr>
            </w:pPr>
            <w:r>
              <w:rPr>
                <w:rFonts w:ascii="Times New Roman" w:eastAsia="Times New Roman" w:hAnsi="Times New Roman" w:cs="Times New Roman"/>
                <w:color w:val="000000"/>
                <w:spacing w:val="0"/>
                <w:w w:val="100"/>
                <w:position w:val="0"/>
                <w:sz w:val="18"/>
                <w:szCs w:val="18"/>
              </w:rPr>
              <w:t>34,853,927.16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000000"/>
                <w:spacing w:val="0"/>
                <w:w w:val="100"/>
                <w:position w:val="0"/>
                <w:sz w:val="18"/>
                <w:szCs w:val="18"/>
              </w:rPr>
              <w:t>52.32%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-44.50%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-56.08%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12.56%</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金融</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8"/>
                <w:szCs w:val="18"/>
              </w:rPr>
            </w:pPr>
            <w:r>
              <w:rPr>
                <w:rFonts w:ascii="Times New Roman" w:eastAsia="Times New Roman" w:hAnsi="Times New Roman" w:cs="Times New Roman"/>
                <w:color w:val="000000"/>
                <w:spacing w:val="0"/>
                <w:w w:val="100"/>
                <w:position w:val="0"/>
                <w:sz w:val="18"/>
                <w:szCs w:val="18"/>
              </w:rPr>
              <w:t>102,405,288.79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rPr>
                <w:sz w:val="18"/>
                <w:szCs w:val="18"/>
              </w:rPr>
            </w:pPr>
            <w:r>
              <w:rPr>
                <w:rFonts w:ascii="Times New Roman" w:eastAsia="Times New Roman" w:hAnsi="Times New Roman" w:cs="Times New Roman"/>
                <w:color w:val="000000"/>
                <w:spacing w:val="0"/>
                <w:w w:val="100"/>
                <w:position w:val="0"/>
                <w:sz w:val="18"/>
                <w:szCs w:val="18"/>
              </w:rPr>
              <w:t>55,138,620.95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000000"/>
                <w:spacing w:val="0"/>
                <w:w w:val="100"/>
                <w:position w:val="0"/>
                <w:sz w:val="18"/>
                <w:szCs w:val="18"/>
              </w:rPr>
              <w:t>46.16%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18.45%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20"/>
              <w:jc w:val="both"/>
              <w:rPr>
                <w:sz w:val="18"/>
                <w:szCs w:val="18"/>
              </w:rPr>
            </w:pPr>
            <w:r>
              <w:rPr>
                <w:rFonts w:ascii="Times New Roman" w:eastAsia="Times New Roman" w:hAnsi="Times New Roman" w:cs="Times New Roman"/>
                <w:color w:val="000000"/>
                <w:spacing w:val="0"/>
                <w:w w:val="100"/>
                <w:position w:val="0"/>
                <w:sz w:val="18"/>
                <w:szCs w:val="18"/>
              </w:rPr>
              <w:t>20.17%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left"/>
              <w:rPr>
                <w:sz w:val="18"/>
                <w:szCs w:val="18"/>
              </w:rPr>
            </w:pPr>
            <w:r>
              <w:rPr>
                <w:rFonts w:ascii="Times New Roman" w:eastAsia="Times New Roman" w:hAnsi="Times New Roman" w:cs="Times New Roman"/>
                <w:color w:val="000000"/>
                <w:spacing w:val="0"/>
                <w:w w:val="100"/>
                <w:position w:val="0"/>
                <w:sz w:val="18"/>
                <w:szCs w:val="18"/>
              </w:rPr>
              <w:t>-0.77%</w:t>
            </w: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center"/>
            </w:pPr>
            <w:r>
              <w:rPr>
                <w:color w:val="000000"/>
                <w:spacing w:val="0"/>
                <w:w w:val="100"/>
                <w:position w:val="0"/>
              </w:rPr>
              <w:t>交通、能源及其他</w:t>
            </w:r>
          </w:p>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行业</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8"/>
                <w:szCs w:val="18"/>
              </w:rPr>
            </w:pPr>
            <w:r>
              <w:rPr>
                <w:rFonts w:ascii="Times New Roman" w:eastAsia="Times New Roman" w:hAnsi="Times New Roman" w:cs="Times New Roman"/>
                <w:color w:val="000000"/>
                <w:spacing w:val="0"/>
                <w:w w:val="100"/>
                <w:position w:val="0"/>
                <w:sz w:val="18"/>
                <w:szCs w:val="18"/>
              </w:rPr>
              <w:t>289,608,094.06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8"/>
                <w:szCs w:val="18"/>
              </w:rPr>
            </w:pPr>
            <w:r>
              <w:rPr>
                <w:rFonts w:ascii="Times New Roman" w:eastAsia="Times New Roman" w:hAnsi="Times New Roman" w:cs="Times New Roman"/>
                <w:color w:val="000000"/>
                <w:spacing w:val="0"/>
                <w:w w:val="100"/>
                <w:position w:val="0"/>
                <w:sz w:val="18"/>
                <w:szCs w:val="18"/>
              </w:rPr>
              <w:t>223,693,738.68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000000"/>
                <w:spacing w:val="0"/>
                <w:w w:val="100"/>
                <w:position w:val="0"/>
                <w:sz w:val="18"/>
                <w:szCs w:val="18"/>
              </w:rPr>
              <w:t>22.76%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-28.69%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-5.27%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-19.09%</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游戏</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2,407,728,322.09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8"/>
                <w:szCs w:val="18"/>
              </w:rPr>
            </w:pPr>
            <w:r>
              <w:rPr>
                <w:rFonts w:ascii="Times New Roman" w:eastAsia="Times New Roman" w:hAnsi="Times New Roman" w:cs="Times New Roman"/>
                <w:color w:val="000000"/>
                <w:spacing w:val="0"/>
                <w:w w:val="100"/>
                <w:position w:val="0"/>
                <w:sz w:val="18"/>
                <w:szCs w:val="18"/>
              </w:rPr>
              <w:t>808,742,549.16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000000"/>
                <w:spacing w:val="0"/>
                <w:w w:val="100"/>
                <w:position w:val="0"/>
                <w:sz w:val="18"/>
                <w:szCs w:val="18"/>
              </w:rPr>
              <w:t>66.41%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176.50%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527.59%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-18.79%</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3,595,794,691.29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1,429,557,937.32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000000"/>
                <w:spacing w:val="0"/>
                <w:w w:val="100"/>
                <w:position w:val="0"/>
                <w:sz w:val="18"/>
                <w:szCs w:val="18"/>
              </w:rPr>
              <w:t>60.24%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102.32%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129.81%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left"/>
              <w:rPr>
                <w:sz w:val="18"/>
                <w:szCs w:val="18"/>
              </w:rPr>
            </w:pPr>
            <w:r>
              <w:rPr>
                <w:rFonts w:ascii="Times New Roman" w:eastAsia="Times New Roman" w:hAnsi="Times New Roman" w:cs="Times New Roman"/>
                <w:color w:val="000000"/>
                <w:spacing w:val="0"/>
                <w:w w:val="100"/>
                <w:position w:val="0"/>
                <w:sz w:val="18"/>
                <w:szCs w:val="18"/>
              </w:rPr>
              <w:t>-4.76%</w:t>
            </w:r>
          </w:p>
        </w:tc>
      </w:tr>
      <w:tr>
        <w:trPr>
          <w:trHeight w:val="403" w:hRule="exact"/>
        </w:trPr>
        <w:tc>
          <w:tcPr>
            <w:gridSpan w:val="7"/>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分产品</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AI/ICT</w:t>
            </w:r>
            <w:r>
              <w:rPr>
                <w:color w:val="000000"/>
                <w:spacing w:val="0"/>
                <w:w w:val="100"/>
                <w:position w:val="0"/>
              </w:rPr>
              <w:t>运营管理</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1,056,666,382.77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8"/>
                <w:szCs w:val="18"/>
              </w:rPr>
            </w:pPr>
            <w:r>
              <w:rPr>
                <w:rFonts w:ascii="Times New Roman" w:eastAsia="Times New Roman" w:hAnsi="Times New Roman" w:cs="Times New Roman"/>
                <w:color w:val="000000"/>
                <w:spacing w:val="0"/>
                <w:w w:val="100"/>
                <w:position w:val="0"/>
                <w:sz w:val="18"/>
                <w:szCs w:val="18"/>
              </w:rPr>
              <w:t>558,481,276.04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000000"/>
                <w:spacing w:val="0"/>
                <w:w w:val="100"/>
                <w:position w:val="0"/>
                <w:sz w:val="18"/>
                <w:szCs w:val="18"/>
              </w:rPr>
              <w:t>47.15%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75.03%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20"/>
              <w:jc w:val="both"/>
              <w:rPr>
                <w:sz w:val="18"/>
                <w:szCs w:val="18"/>
              </w:rPr>
            </w:pPr>
            <w:r>
              <w:rPr>
                <w:rFonts w:ascii="Times New Roman" w:eastAsia="Times New Roman" w:hAnsi="Times New Roman" w:cs="Times New Roman"/>
                <w:color w:val="000000"/>
                <w:spacing w:val="0"/>
                <w:w w:val="100"/>
                <w:position w:val="0"/>
                <w:sz w:val="18"/>
                <w:szCs w:val="18"/>
              </w:rPr>
              <w:t>58.02%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5.69%</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游戏</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2,407,728,322.09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8"/>
                <w:szCs w:val="18"/>
              </w:rPr>
            </w:pPr>
            <w:r>
              <w:rPr>
                <w:rFonts w:ascii="Times New Roman" w:eastAsia="Times New Roman" w:hAnsi="Times New Roman" w:cs="Times New Roman"/>
                <w:color w:val="000000"/>
                <w:spacing w:val="0"/>
                <w:w w:val="100"/>
                <w:position w:val="0"/>
                <w:sz w:val="18"/>
                <w:szCs w:val="18"/>
              </w:rPr>
              <w:t>808,742,549.16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000000"/>
                <w:spacing w:val="0"/>
                <w:w w:val="100"/>
                <w:position w:val="0"/>
                <w:sz w:val="18"/>
                <w:szCs w:val="18"/>
              </w:rPr>
              <w:t>66.41%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179.95%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583.37%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-19.83%</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物联网</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通讯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rPr>
                <w:sz w:val="18"/>
                <w:szCs w:val="18"/>
              </w:rPr>
            </w:pPr>
            <w:r>
              <w:rPr>
                <w:rFonts w:ascii="Times New Roman" w:eastAsia="Times New Roman" w:hAnsi="Times New Roman" w:cs="Times New Roman"/>
                <w:color w:val="000000"/>
                <w:spacing w:val="0"/>
                <w:w w:val="100"/>
                <w:position w:val="0"/>
                <w:sz w:val="18"/>
                <w:szCs w:val="18"/>
              </w:rPr>
              <w:t>26,707,267.24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rPr>
                <w:sz w:val="18"/>
                <w:szCs w:val="18"/>
              </w:rPr>
            </w:pPr>
            <w:r>
              <w:rPr>
                <w:rFonts w:ascii="Times New Roman" w:eastAsia="Times New Roman" w:hAnsi="Times New Roman" w:cs="Times New Roman"/>
                <w:color w:val="000000"/>
                <w:spacing w:val="0"/>
                <w:w w:val="100"/>
                <w:position w:val="0"/>
                <w:sz w:val="18"/>
                <w:szCs w:val="18"/>
              </w:rPr>
              <w:t>11,615,262.79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000000"/>
                <w:spacing w:val="0"/>
                <w:w w:val="100"/>
                <w:position w:val="0"/>
                <w:sz w:val="18"/>
                <w:szCs w:val="18"/>
              </w:rPr>
              <w:t>56.51%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-67.90%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-68.17%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0.37%</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创新服务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rPr>
                <w:sz w:val="18"/>
                <w:szCs w:val="18"/>
              </w:rPr>
            </w:pPr>
            <w:r>
              <w:rPr>
                <w:rFonts w:ascii="Times New Roman" w:eastAsia="Times New Roman" w:hAnsi="Times New Roman" w:cs="Times New Roman"/>
                <w:color w:val="000000"/>
                <w:spacing w:val="0"/>
                <w:w w:val="100"/>
                <w:position w:val="0"/>
                <w:sz w:val="18"/>
                <w:szCs w:val="18"/>
              </w:rPr>
              <w:t>64,581,163.82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rPr>
                <w:sz w:val="18"/>
                <w:szCs w:val="18"/>
              </w:rPr>
            </w:pPr>
            <w:r>
              <w:rPr>
                <w:rFonts w:ascii="Times New Roman" w:eastAsia="Times New Roman" w:hAnsi="Times New Roman" w:cs="Times New Roman"/>
                <w:color w:val="000000"/>
                <w:spacing w:val="0"/>
                <w:w w:val="100"/>
                <w:position w:val="0"/>
                <w:sz w:val="18"/>
                <w:szCs w:val="18"/>
              </w:rPr>
              <w:t>38,443,367.61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000000"/>
                <w:spacing w:val="0"/>
                <w:w w:val="100"/>
                <w:position w:val="0"/>
                <w:sz w:val="18"/>
                <w:szCs w:val="18"/>
              </w:rPr>
              <w:t>40.47%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-65.98%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-62.35%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left"/>
              <w:rPr>
                <w:sz w:val="18"/>
                <w:szCs w:val="18"/>
              </w:rPr>
            </w:pPr>
            <w:r>
              <w:rPr>
                <w:rFonts w:ascii="Times New Roman" w:eastAsia="Times New Roman" w:hAnsi="Times New Roman" w:cs="Times New Roman"/>
                <w:color w:val="000000"/>
                <w:spacing w:val="0"/>
                <w:w w:val="100"/>
                <w:position w:val="0"/>
                <w:sz w:val="18"/>
                <w:szCs w:val="18"/>
              </w:rPr>
              <w:t>-5.75%</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其他业务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rPr>
                <w:sz w:val="18"/>
                <w:szCs w:val="18"/>
              </w:rPr>
            </w:pPr>
            <w:r>
              <w:rPr>
                <w:rFonts w:ascii="Times New Roman" w:eastAsia="Times New Roman" w:hAnsi="Times New Roman" w:cs="Times New Roman"/>
                <w:color w:val="000000"/>
                <w:spacing w:val="0"/>
                <w:w w:val="100"/>
                <w:position w:val="0"/>
                <w:sz w:val="18"/>
                <w:szCs w:val="18"/>
              </w:rPr>
              <w:t>40,111,555.37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rPr>
                <w:sz w:val="18"/>
                <w:szCs w:val="18"/>
              </w:rPr>
            </w:pPr>
            <w:r>
              <w:rPr>
                <w:rFonts w:ascii="Times New Roman" w:eastAsia="Times New Roman" w:hAnsi="Times New Roman" w:cs="Times New Roman"/>
                <w:color w:val="000000"/>
                <w:spacing w:val="0"/>
                <w:w w:val="100"/>
                <w:position w:val="0"/>
                <w:sz w:val="18"/>
                <w:szCs w:val="18"/>
              </w:rPr>
              <w:t>12,275,481.72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000000"/>
                <w:spacing w:val="0"/>
                <w:w w:val="100"/>
                <w:position w:val="0"/>
                <w:sz w:val="18"/>
                <w:szCs w:val="18"/>
              </w:rPr>
              <w:t>69.40%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-0.88%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4.91%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left"/>
              <w:rPr>
                <w:sz w:val="18"/>
                <w:szCs w:val="18"/>
              </w:rPr>
            </w:pPr>
            <w:r>
              <w:rPr>
                <w:rFonts w:ascii="Times New Roman" w:eastAsia="Times New Roman" w:hAnsi="Times New Roman" w:cs="Times New Roman"/>
                <w:color w:val="000000"/>
                <w:spacing w:val="0"/>
                <w:w w:val="100"/>
                <w:position w:val="0"/>
                <w:sz w:val="18"/>
                <w:szCs w:val="18"/>
              </w:rPr>
              <w:t>-1.69%</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3,595,794,691.29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1,429,557,937.32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000000"/>
                <w:spacing w:val="0"/>
                <w:w w:val="100"/>
                <w:position w:val="0"/>
                <w:sz w:val="18"/>
                <w:szCs w:val="18"/>
              </w:rPr>
              <w:t>60.24%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102.32%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129.81%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left"/>
              <w:rPr>
                <w:sz w:val="18"/>
                <w:szCs w:val="18"/>
              </w:rPr>
            </w:pPr>
            <w:r>
              <w:rPr>
                <w:rFonts w:ascii="Times New Roman" w:eastAsia="Times New Roman" w:hAnsi="Times New Roman" w:cs="Times New Roman"/>
                <w:color w:val="000000"/>
                <w:spacing w:val="0"/>
                <w:w w:val="100"/>
                <w:position w:val="0"/>
                <w:sz w:val="18"/>
                <w:szCs w:val="18"/>
              </w:rPr>
              <w:t>-4.76%</w:t>
            </w:r>
          </w:p>
        </w:tc>
      </w:tr>
      <w:tr>
        <w:trPr>
          <w:trHeight w:val="403" w:hRule="exact"/>
        </w:trPr>
        <w:tc>
          <w:tcPr>
            <w:gridSpan w:val="7"/>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分地区</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大陆地区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1,270,031,774.66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8"/>
                <w:szCs w:val="18"/>
              </w:rPr>
            </w:pPr>
            <w:r>
              <w:rPr>
                <w:rFonts w:ascii="Times New Roman" w:eastAsia="Times New Roman" w:hAnsi="Times New Roman" w:cs="Times New Roman"/>
                <w:color w:val="000000"/>
                <w:spacing w:val="0"/>
                <w:w w:val="100"/>
                <w:position w:val="0"/>
                <w:sz w:val="18"/>
                <w:szCs w:val="18"/>
              </w:rPr>
              <w:t>652,374,147.16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000000"/>
                <w:spacing w:val="0"/>
                <w:w w:val="100"/>
                <w:position w:val="0"/>
                <w:sz w:val="18"/>
                <w:szCs w:val="18"/>
              </w:rPr>
              <w:t>48.63%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39.02%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20"/>
              <w:jc w:val="both"/>
              <w:rPr>
                <w:sz w:val="18"/>
                <w:szCs w:val="18"/>
              </w:rPr>
            </w:pPr>
            <w:r>
              <w:rPr>
                <w:rFonts w:ascii="Times New Roman" w:eastAsia="Times New Roman" w:hAnsi="Times New Roman" w:cs="Times New Roman"/>
                <w:color w:val="000000"/>
                <w:spacing w:val="0"/>
                <w:w w:val="100"/>
                <w:position w:val="0"/>
                <w:sz w:val="18"/>
                <w:szCs w:val="18"/>
              </w:rPr>
              <w:t>31.74%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2.83%</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海外地区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2,325,762,916.63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8"/>
                <w:szCs w:val="18"/>
              </w:rPr>
            </w:pPr>
            <w:r>
              <w:rPr>
                <w:rFonts w:ascii="Times New Roman" w:eastAsia="Times New Roman" w:hAnsi="Times New Roman" w:cs="Times New Roman"/>
                <w:color w:val="000000"/>
                <w:spacing w:val="0"/>
                <w:w w:val="100"/>
                <w:position w:val="0"/>
                <w:sz w:val="18"/>
                <w:szCs w:val="18"/>
              </w:rPr>
              <w:t>777,183,790.16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000000"/>
                <w:spacing w:val="0"/>
                <w:w w:val="100"/>
                <w:position w:val="0"/>
                <w:sz w:val="18"/>
                <w:szCs w:val="18"/>
              </w:rPr>
              <w:t>66.58%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169.29%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512.54%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-18.73%</w:t>
            </w:r>
          </w:p>
        </w:tc>
      </w:tr>
      <w:tr>
        <w:trPr>
          <w:trHeight w:val="41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3,595,794,691.29</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1,429,557,937.32</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000000"/>
                <w:spacing w:val="0"/>
                <w:w w:val="100"/>
                <w:position w:val="0"/>
                <w:sz w:val="18"/>
                <w:szCs w:val="18"/>
              </w:rPr>
              <w:t>60.24%</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102.32%</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129.81%</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left"/>
              <w:rPr>
                <w:sz w:val="18"/>
                <w:szCs w:val="18"/>
              </w:rPr>
            </w:pPr>
            <w:r>
              <w:rPr>
                <w:rFonts w:ascii="Times New Roman" w:eastAsia="Times New Roman" w:hAnsi="Times New Roman" w:cs="Times New Roman"/>
                <w:color w:val="000000"/>
                <w:spacing w:val="0"/>
                <w:w w:val="100"/>
                <w:position w:val="0"/>
                <w:sz w:val="18"/>
                <w:szCs w:val="18"/>
              </w:rPr>
              <w:t>-4.76%</w:t>
            </w:r>
          </w:p>
        </w:tc>
      </w:tr>
    </w:tbl>
    <w:p>
      <w:pPr>
        <w:pStyle w:val="Style41"/>
        <w:keepNext w:val="0"/>
        <w:keepLines w:val="0"/>
        <w:widowControl w:val="0"/>
        <w:shd w:val="clear" w:color="auto" w:fill="auto"/>
        <w:bidi w:val="0"/>
        <w:spacing w:before="0" w:after="0" w:line="468" w:lineRule="exact"/>
        <w:ind w:left="0" w:right="0" w:firstLine="460"/>
        <w:jc w:val="both"/>
      </w:pPr>
      <w:bookmarkStart w:id="239" w:name="bookmark239"/>
      <w:r>
        <w:rPr>
          <w:rFonts w:ascii="Times New Roman" w:eastAsia="Times New Roman" w:hAnsi="Times New Roman" w:cs="Times New Roman"/>
          <w:color w:val="000000"/>
          <w:spacing w:val="0"/>
          <w:w w:val="100"/>
          <w:position w:val="0"/>
          <w:sz w:val="18"/>
          <w:szCs w:val="18"/>
        </w:rPr>
        <w:t>1</w:t>
      </w:r>
      <w:bookmarkEnd w:id="239"/>
      <w:r>
        <w:rPr>
          <w:color w:val="000000"/>
          <w:spacing w:val="0"/>
          <w:w w:val="100"/>
          <w:position w:val="0"/>
        </w:rPr>
        <w:t>）电信行业客户收入较上年同期大幅上涨</w:t>
      </w:r>
      <w:r>
        <w:rPr>
          <w:rFonts w:ascii="Times New Roman" w:eastAsia="Times New Roman" w:hAnsi="Times New Roman" w:cs="Times New Roman"/>
          <w:color w:val="000000"/>
          <w:spacing w:val="0"/>
          <w:w w:val="100"/>
          <w:position w:val="0"/>
          <w:sz w:val="18"/>
          <w:szCs w:val="18"/>
        </w:rPr>
        <w:t>156.19%</w:t>
      </w:r>
      <w:r>
        <w:rPr>
          <w:color w:val="000000"/>
          <w:spacing w:val="0"/>
          <w:w w:val="100"/>
          <w:position w:val="0"/>
        </w:rPr>
        <w:t>，主要是随着电信客户系统升级完成，上期末部分在手订单在本期 实现验收、结算等工作，同时本期新签订单较上年维持稳定，</w:t>
      </w:r>
      <w:r>
        <w:rPr>
          <w:rFonts w:ascii="Times New Roman" w:eastAsia="Times New Roman" w:hAnsi="Times New Roman" w:cs="Times New Roman"/>
          <w:color w:val="000000"/>
          <w:spacing w:val="0"/>
          <w:w w:val="100"/>
          <w:position w:val="0"/>
          <w:sz w:val="18"/>
          <w:szCs w:val="18"/>
        </w:rPr>
        <w:t>ICT</w:t>
      </w:r>
      <w:r>
        <w:rPr>
          <w:color w:val="000000"/>
          <w:spacing w:val="0"/>
          <w:w w:val="100"/>
          <w:position w:val="0"/>
        </w:rPr>
        <w:t>业务保持稳定发展，使得收入较上年大幅上涨。营业成本 较上年同期上涨</w:t>
      </w:r>
      <w:r>
        <w:rPr>
          <w:rFonts w:ascii="Times New Roman" w:eastAsia="Times New Roman" w:hAnsi="Times New Roman" w:cs="Times New Roman"/>
          <w:color w:val="000000"/>
          <w:spacing w:val="0"/>
          <w:w w:val="100"/>
          <w:position w:val="0"/>
          <w:sz w:val="18"/>
          <w:szCs w:val="18"/>
        </w:rPr>
        <w:t>132.99%</w:t>
      </w:r>
      <w:r>
        <w:rPr>
          <w:color w:val="000000"/>
          <w:spacing w:val="0"/>
          <w:w w:val="100"/>
          <w:position w:val="0"/>
        </w:rPr>
        <w:t>，主要是随收入上涨所致。毛利率较上年同期保持相对稳定。</w:t>
      </w:r>
    </w:p>
    <w:p>
      <w:pPr>
        <w:pStyle w:val="Style41"/>
        <w:keepNext w:val="0"/>
        <w:keepLines w:val="0"/>
        <w:widowControl w:val="0"/>
        <w:shd w:val="clear" w:color="auto" w:fill="auto"/>
        <w:tabs>
          <w:tab w:pos="672" w:val="left"/>
        </w:tabs>
        <w:bidi w:val="0"/>
        <w:spacing w:before="0" w:after="0" w:line="468" w:lineRule="exact"/>
        <w:ind w:left="0" w:right="0" w:firstLine="460"/>
        <w:jc w:val="both"/>
      </w:pPr>
      <w:bookmarkStart w:id="240" w:name="bookmark240"/>
      <w:r>
        <w:rPr>
          <w:rFonts w:ascii="Times New Roman" w:eastAsia="Times New Roman" w:hAnsi="Times New Roman" w:cs="Times New Roman"/>
          <w:color w:val="000000"/>
          <w:spacing w:val="0"/>
          <w:w w:val="100"/>
          <w:position w:val="0"/>
          <w:sz w:val="18"/>
          <w:szCs w:val="18"/>
        </w:rPr>
        <w:t>2</w:t>
      </w:r>
      <w:bookmarkEnd w:id="240"/>
      <w:r>
        <w:rPr>
          <w:color w:val="000000"/>
          <w:spacing w:val="0"/>
          <w:w w:val="100"/>
          <w:position w:val="0"/>
        </w:rPr>
        <w:t>）</w:t>
        <w:tab/>
        <w:t>交通能源及其他行业客户收入较上年同期下降</w:t>
      </w:r>
      <w:r>
        <w:rPr>
          <w:rFonts w:ascii="Times New Roman" w:eastAsia="Times New Roman" w:hAnsi="Times New Roman" w:cs="Times New Roman"/>
          <w:color w:val="000000"/>
          <w:spacing w:val="0"/>
          <w:w w:val="100"/>
          <w:position w:val="0"/>
          <w:sz w:val="18"/>
          <w:szCs w:val="18"/>
        </w:rPr>
        <w:t>28.69%</w:t>
      </w:r>
      <w:r>
        <w:rPr>
          <w:color w:val="000000"/>
          <w:spacing w:val="0"/>
          <w:w w:val="100"/>
          <w:position w:val="0"/>
        </w:rPr>
        <w:t>，主要是受疫情及宏观经济状况影响，该行业领域的部分项目 签约、实施及验收延迟所致。交通能源客户相对集中的物联网</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通讯业务板块，项目相对集中于第四季度签约，期末在手订 单增加。此外，数据挖掘业务（第四季度不再纳入合并范围）、移动</w:t>
      </w:r>
      <w:r>
        <w:rPr>
          <w:rFonts w:ascii="Times New Roman" w:eastAsia="Times New Roman" w:hAnsi="Times New Roman" w:cs="Times New Roman"/>
          <w:color w:val="000000"/>
          <w:spacing w:val="0"/>
          <w:w w:val="100"/>
          <w:position w:val="0"/>
          <w:sz w:val="18"/>
          <w:szCs w:val="18"/>
        </w:rPr>
        <w:t>WIFI</w:t>
      </w:r>
      <w:r>
        <w:rPr>
          <w:color w:val="000000"/>
          <w:spacing w:val="0"/>
          <w:w w:val="100"/>
          <w:position w:val="0"/>
        </w:rPr>
        <w:t>业务订单大幅减少。营业成本较上年同期下降</w:t>
      </w:r>
      <w:r>
        <w:rPr>
          <w:rFonts w:ascii="Times New Roman" w:eastAsia="Times New Roman" w:hAnsi="Times New Roman" w:cs="Times New Roman"/>
          <w:color w:val="000000"/>
          <w:spacing w:val="0"/>
          <w:w w:val="100"/>
          <w:position w:val="0"/>
          <w:sz w:val="18"/>
          <w:szCs w:val="18"/>
        </w:rPr>
        <w:t>5.27%</w:t>
      </w:r>
      <w:r>
        <w:rPr>
          <w:color w:val="000000"/>
          <w:spacing w:val="0"/>
          <w:w w:val="100"/>
          <w:position w:val="0"/>
        </w:rPr>
        <w:t>， 下降幅度低于收入，主要是数据挖掘业务、移动</w:t>
      </w:r>
      <w:r>
        <w:rPr>
          <w:rFonts w:ascii="Times New Roman" w:eastAsia="Times New Roman" w:hAnsi="Times New Roman" w:cs="Times New Roman"/>
          <w:color w:val="000000"/>
          <w:spacing w:val="0"/>
          <w:w w:val="100"/>
          <w:position w:val="0"/>
          <w:sz w:val="18"/>
          <w:szCs w:val="18"/>
        </w:rPr>
        <w:t>WIFI</w:t>
      </w:r>
      <w:r>
        <w:rPr>
          <w:color w:val="000000"/>
          <w:spacing w:val="0"/>
          <w:w w:val="100"/>
          <w:position w:val="0"/>
        </w:rPr>
        <w:t>业务订单大幅减少但固定成本相对稳定导致。受前述因素影响，毛利 率较上年同期下降</w:t>
      </w:r>
      <w:r>
        <w:rPr>
          <w:rFonts w:ascii="Times New Roman" w:eastAsia="Times New Roman" w:hAnsi="Times New Roman" w:cs="Times New Roman"/>
          <w:color w:val="000000"/>
          <w:spacing w:val="0"/>
          <w:w w:val="100"/>
          <w:position w:val="0"/>
          <w:sz w:val="18"/>
          <w:szCs w:val="18"/>
        </w:rPr>
        <w:t>19.09</w:t>
      </w:r>
      <w:r>
        <w:rPr>
          <w:color w:val="000000"/>
          <w:spacing w:val="0"/>
          <w:w w:val="100"/>
          <w:position w:val="0"/>
        </w:rPr>
        <w:t>个百分点。</w:t>
      </w:r>
    </w:p>
    <w:p>
      <w:pPr>
        <w:pStyle w:val="Style41"/>
        <w:keepNext w:val="0"/>
        <w:keepLines w:val="0"/>
        <w:widowControl w:val="0"/>
        <w:shd w:val="clear" w:color="auto" w:fill="auto"/>
        <w:bidi w:val="0"/>
        <w:spacing w:before="0" w:after="100" w:line="468" w:lineRule="exact"/>
        <w:ind w:left="0" w:right="0" w:firstLine="460"/>
        <w:jc w:val="both"/>
        <w:sectPr>
          <w:headerReference w:type="default" r:id="rId129"/>
          <w:footerReference w:type="default" r:id="rId130"/>
          <w:headerReference w:type="even" r:id="rId131"/>
          <w:footerReference w:type="even" r:id="rId132"/>
          <w:footnotePr>
            <w:pos w:val="pageBottom"/>
            <w:numFmt w:val="decimal"/>
            <w:numRestart w:val="continuous"/>
          </w:footnotePr>
          <w:pgSz w:w="11904" w:h="17375"/>
          <w:pgMar w:top="1665" w:right="841" w:bottom="1637" w:left="983" w:header="0" w:footer="3" w:gutter="0"/>
          <w:cols w:space="720"/>
          <w:noEndnote/>
          <w:rtlGutter w:val="0"/>
          <w:docGrid w:linePitch="360"/>
        </w:sectPr>
      </w:pPr>
      <w:bookmarkStart w:id="241" w:name="bookmark241"/>
      <w:r>
        <w:rPr>
          <w:rFonts w:ascii="Times New Roman" w:eastAsia="Times New Roman" w:hAnsi="Times New Roman" w:cs="Times New Roman"/>
          <w:color w:val="000000"/>
          <w:spacing w:val="0"/>
          <w:w w:val="100"/>
          <w:position w:val="0"/>
          <w:sz w:val="18"/>
          <w:szCs w:val="18"/>
        </w:rPr>
        <w:t>3</w:t>
      </w:r>
      <w:bookmarkEnd w:id="241"/>
      <w:r>
        <w:rPr>
          <w:color w:val="000000"/>
          <w:spacing w:val="0"/>
          <w:w w:val="100"/>
          <w:position w:val="0"/>
        </w:rPr>
        <w:t>） 游戏客户收入较上年同期大幅上涨</w:t>
      </w:r>
      <w:r>
        <w:rPr>
          <w:rFonts w:ascii="Times New Roman" w:eastAsia="Times New Roman" w:hAnsi="Times New Roman" w:cs="Times New Roman"/>
          <w:color w:val="000000"/>
          <w:spacing w:val="0"/>
          <w:w w:val="100"/>
          <w:position w:val="0"/>
          <w:sz w:val="18"/>
          <w:szCs w:val="18"/>
        </w:rPr>
        <w:t>176.50%</w:t>
      </w:r>
      <w:r>
        <w:rPr>
          <w:color w:val="000000"/>
          <w:spacing w:val="0"/>
          <w:w w:val="100"/>
          <w:position w:val="0"/>
        </w:rPr>
        <w:t>，主要是</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Age of Z Origins</w:t>
      </w:r>
      <w:r>
        <w:rPr>
          <w:color w:val="000000"/>
          <w:spacing w:val="0"/>
          <w:w w:val="100"/>
          <w:position w:val="0"/>
        </w:rPr>
        <w:t>》</w:t>
      </w:r>
      <w:r>
        <w:rPr>
          <w:color w:val="000000"/>
          <w:spacing w:val="0"/>
          <w:w w:val="100"/>
          <w:position w:val="0"/>
        </w:rPr>
        <w:t>充值流水大幅增长，同时</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War and Order</w:t>
      </w:r>
      <w:r>
        <w:rPr>
          <w:color w:val="000000"/>
          <w:spacing w:val="0"/>
          <w:w w:val="100"/>
          <w:position w:val="0"/>
        </w:rPr>
        <w:t>》</w:t>
      </w:r>
    </w:p>
    <w:p>
      <w:pPr>
        <w:pStyle w:val="Style212"/>
        <w:keepNext w:val="0"/>
        <w:keepLines w:val="0"/>
        <w:widowControl w:val="0"/>
        <w:shd w:val="clear" w:color="auto" w:fill="auto"/>
        <w:bidi w:val="0"/>
        <w:spacing w:before="0" w:after="0" w:line="240" w:lineRule="auto"/>
        <w:ind w:left="0" w:right="0" w:firstLine="0"/>
        <w:jc w:val="left"/>
      </w:pPr>
      <w:r>
        <w:rPr>
          <w:spacing w:val="0"/>
          <w:w w:val="100"/>
          <w:position w:val="0"/>
        </w:rPr>
        <w:t>Ultrapoiuer</w:t>
      </w:r>
    </w:p>
    <w:p>
      <w:pPr>
        <w:pStyle w:val="Style41"/>
        <w:keepNext w:val="0"/>
        <w:keepLines w:val="0"/>
        <w:widowControl w:val="0"/>
        <w:shd w:val="clear" w:color="auto" w:fill="auto"/>
        <w:bidi w:val="0"/>
        <w:spacing w:before="0" w:after="0" w:line="464" w:lineRule="exact"/>
        <w:ind w:left="0" w:right="0" w:firstLine="90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 也创造了充值流水历史新高。营业成本较上年同期上涨</w:t>
      </w:r>
      <w:r>
        <w:rPr>
          <w:rFonts w:ascii="Times New Roman" w:eastAsia="Times New Roman" w:hAnsi="Times New Roman" w:cs="Times New Roman"/>
          <w:color w:val="000000"/>
          <w:spacing w:val="0"/>
          <w:w w:val="100"/>
          <w:position w:val="0"/>
          <w:sz w:val="18"/>
          <w:szCs w:val="18"/>
        </w:rPr>
        <w:t>527.59%</w:t>
      </w:r>
      <w:r>
        <w:rPr>
          <w:color w:val="000000"/>
          <w:spacing w:val="0"/>
          <w:w w:val="100"/>
          <w:position w:val="0"/>
        </w:rPr>
        <w:t>,主要是适用新收入准则按照总额法确认收入、渠道服务费 计入营业成本所致，导致收入成本同时上涨</w:t>
      </w:r>
      <w:r>
        <w:rPr>
          <w:rFonts w:ascii="Times New Roman" w:eastAsia="Times New Roman" w:hAnsi="Times New Roman" w:cs="Times New Roman"/>
          <w:color w:val="000000"/>
          <w:spacing w:val="0"/>
          <w:w w:val="100"/>
          <w:position w:val="0"/>
          <w:sz w:val="18"/>
          <w:szCs w:val="18"/>
        </w:rPr>
        <w:t>6.95</w:t>
      </w:r>
      <w:r>
        <w:rPr>
          <w:color w:val="000000"/>
          <w:spacing w:val="0"/>
          <w:w w:val="100"/>
          <w:position w:val="0"/>
        </w:rPr>
        <w:t>亿。受前述因素影响，毛利率较上年同期下降</w:t>
      </w:r>
      <w:r>
        <w:rPr>
          <w:rFonts w:ascii="Times New Roman" w:eastAsia="Times New Roman" w:hAnsi="Times New Roman" w:cs="Times New Roman"/>
          <w:color w:val="000000"/>
          <w:spacing w:val="0"/>
          <w:w w:val="100"/>
          <w:position w:val="0"/>
          <w:sz w:val="18"/>
          <w:szCs w:val="18"/>
        </w:rPr>
        <w:t>18.79</w:t>
      </w:r>
      <w:r>
        <w:rPr>
          <w:color w:val="000000"/>
          <w:spacing w:val="0"/>
          <w:w w:val="100"/>
          <w:position w:val="0"/>
        </w:rPr>
        <w:t>个百分点。若将游戏客 户收入调整为与上年同期相同的口径，游戏客户收入较上年同期上涨</w:t>
      </w:r>
      <w:r>
        <w:rPr>
          <w:rFonts w:ascii="Times New Roman" w:eastAsia="Times New Roman" w:hAnsi="Times New Roman" w:cs="Times New Roman"/>
          <w:color w:val="000000"/>
          <w:spacing w:val="0"/>
          <w:w w:val="100"/>
          <w:position w:val="0"/>
          <w:sz w:val="18"/>
          <w:szCs w:val="18"/>
        </w:rPr>
        <w:t>96.70%</w:t>
      </w:r>
      <w:r>
        <w:rPr>
          <w:color w:val="000000"/>
          <w:spacing w:val="0"/>
          <w:w w:val="100"/>
          <w:position w:val="0"/>
        </w:rPr>
        <w:t>，成本下降</w:t>
      </w:r>
      <w:r>
        <w:rPr>
          <w:rFonts w:ascii="Times New Roman" w:eastAsia="Times New Roman" w:hAnsi="Times New Roman" w:cs="Times New Roman"/>
          <w:color w:val="000000"/>
          <w:spacing w:val="0"/>
          <w:w w:val="100"/>
          <w:position w:val="0"/>
          <w:sz w:val="18"/>
          <w:szCs w:val="18"/>
        </w:rPr>
        <w:t>11.68%</w:t>
      </w:r>
      <w:r>
        <w:rPr>
          <w:color w:val="000000"/>
          <w:spacing w:val="0"/>
          <w:w w:val="100"/>
          <w:position w:val="0"/>
        </w:rPr>
        <w:t>，毛利率上涨</w:t>
      </w:r>
      <w:r>
        <w:rPr>
          <w:rFonts w:ascii="Times New Roman" w:eastAsia="Times New Roman" w:hAnsi="Times New Roman" w:cs="Times New Roman"/>
          <w:color w:val="000000"/>
          <w:spacing w:val="0"/>
          <w:w w:val="100"/>
          <w:position w:val="0"/>
          <w:sz w:val="18"/>
          <w:szCs w:val="18"/>
        </w:rPr>
        <w:t>8.16</w:t>
      </w:r>
      <w:r>
        <w:rPr>
          <w:color w:val="000000"/>
          <w:spacing w:val="0"/>
          <w:w w:val="100"/>
          <w:position w:val="0"/>
        </w:rPr>
        <w:t>个百分点， 成本下降主要是联运游戏分成成本下降所致。</w:t>
      </w:r>
    </w:p>
    <w:p>
      <w:pPr>
        <w:pStyle w:val="Style41"/>
        <w:keepNext w:val="0"/>
        <w:keepLines w:val="0"/>
        <w:widowControl w:val="0"/>
        <w:shd w:val="clear" w:color="auto" w:fill="auto"/>
        <w:bidi w:val="0"/>
        <w:spacing w:before="0" w:after="240" w:line="464" w:lineRule="exact"/>
        <w:ind w:left="0" w:right="0" w:firstLine="0"/>
        <w:jc w:val="left"/>
      </w:pPr>
      <w:r>
        <w:rPr>
          <w:b/>
          <w:bCs/>
          <w:color w:val="000000"/>
          <w:spacing w:val="0"/>
          <w:w w:val="100"/>
          <w:position w:val="0"/>
        </w:rPr>
        <w:t>公司主营业务数据统计口径在报告期发生调整的情况下，公司最近</w:t>
      </w:r>
      <w:r>
        <w:rPr>
          <w:rFonts w:ascii="Times New Roman" w:eastAsia="Times New Roman" w:hAnsi="Times New Roman" w:cs="Times New Roman"/>
          <w:b/>
          <w:bCs/>
          <w:color w:val="000000"/>
          <w:spacing w:val="0"/>
          <w:w w:val="100"/>
          <w:position w:val="0"/>
          <w:sz w:val="18"/>
          <w:szCs w:val="18"/>
        </w:rPr>
        <w:t>1</w:t>
      </w:r>
      <w:r>
        <w:rPr>
          <w:b/>
          <w:bCs/>
          <w:color w:val="000000"/>
          <w:spacing w:val="0"/>
          <w:w w:val="100"/>
          <w:position w:val="0"/>
        </w:rPr>
        <w:t>年按报告期末口径调整后的主营业务数据</w:t>
      </w:r>
    </w:p>
    <w:p>
      <w:pPr>
        <w:pStyle w:val="Style41"/>
        <w:keepNext w:val="0"/>
        <w:keepLines w:val="0"/>
        <w:widowControl w:val="0"/>
        <w:shd w:val="clear" w:color="auto" w:fill="auto"/>
        <w:bidi w:val="0"/>
        <w:spacing w:before="0" w:after="180" w:line="5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b/>
          <w:bCs/>
          <w:i/>
          <w:iCs/>
          <w:color w:val="000000"/>
          <w:spacing w:val="0"/>
          <w:w w:val="100"/>
          <w:position w:val="0"/>
        </w:rPr>
        <w:t>*</w:t>
      </w:r>
      <w:r>
        <w:rPr>
          <w:b/>
          <w:bCs/>
          <w:color w:val="000000"/>
          <w:spacing w:val="0"/>
          <w:w w:val="100"/>
          <w:position w:val="0"/>
        </w:rPr>
        <w:t>不适用</w:t>
      </w:r>
    </w:p>
    <w:p>
      <w:pPr>
        <w:pStyle w:val="Style58"/>
        <w:keepNext/>
        <w:keepLines/>
        <w:widowControl w:val="0"/>
        <w:shd w:val="clear" w:color="auto" w:fill="auto"/>
        <w:tabs>
          <w:tab w:pos="493" w:val="left"/>
        </w:tabs>
        <w:bidi w:val="0"/>
        <w:spacing w:before="0" w:after="420" w:line="240" w:lineRule="auto"/>
        <w:ind w:left="0" w:right="0" w:firstLine="0"/>
        <w:jc w:val="left"/>
        <w:rPr>
          <w:sz w:val="20"/>
          <w:szCs w:val="20"/>
        </w:rPr>
      </w:pPr>
      <w:bookmarkStart w:id="242" w:name="bookmark242"/>
      <w:bookmarkStart w:id="243" w:name="bookmark243"/>
      <w:bookmarkStart w:id="244" w:name="bookmark244"/>
      <w:bookmarkStart w:id="245" w:name="bookmark245"/>
      <w:r>
        <w:rPr>
          <w:b/>
          <w:bCs/>
          <w:color w:val="000000"/>
          <w:spacing w:val="0"/>
          <w:w w:val="100"/>
          <w:position w:val="0"/>
          <w:sz w:val="20"/>
          <w:szCs w:val="20"/>
        </w:rPr>
        <w:t>（</w:t>
      </w:r>
      <w:bookmarkEnd w:id="244"/>
      <w:r>
        <w:rPr>
          <w:b/>
          <w:bCs/>
          <w:color w:val="000000"/>
          <w:spacing w:val="0"/>
          <w:w w:val="100"/>
          <w:position w:val="0"/>
          <w:sz w:val="20"/>
          <w:szCs w:val="20"/>
        </w:rPr>
        <w:t>3）</w:t>
        <w:tab/>
        <w:t>公司实物销售收入是否大于劳务收入</w:t>
      </w:r>
      <w:bookmarkEnd w:id="242"/>
      <w:bookmarkEnd w:id="243"/>
      <w:bookmarkEnd w:id="245"/>
    </w:p>
    <w:p>
      <w:pPr>
        <w:pStyle w:val="Style41"/>
        <w:keepNext w:val="0"/>
        <w:keepLines w:val="0"/>
        <w:widowControl w:val="0"/>
        <w:shd w:val="clear" w:color="auto" w:fill="auto"/>
        <w:bidi w:val="0"/>
        <w:spacing w:before="0" w:after="120" w:line="5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是</w:t>
      </w:r>
      <w:r>
        <w:rPr>
          <w:rFonts w:ascii="Times New Roman" w:eastAsia="Times New Roman" w:hAnsi="Times New Roman" w:cs="Times New Roman"/>
          <w:b/>
          <w:bCs/>
          <w:color w:val="000000"/>
          <w:spacing w:val="0"/>
          <w:w w:val="100"/>
          <w:position w:val="0"/>
          <w:sz w:val="18"/>
          <w:szCs w:val="18"/>
        </w:rPr>
        <w:t>*</w:t>
      </w:r>
      <w:r>
        <w:rPr>
          <w:b/>
          <w:bCs/>
          <w:color w:val="000000"/>
          <w:spacing w:val="0"/>
          <w:w w:val="100"/>
          <w:position w:val="0"/>
        </w:rPr>
        <w:t>否</w:t>
      </w:r>
    </w:p>
    <w:p>
      <w:pPr>
        <w:pStyle w:val="Style58"/>
        <w:keepNext/>
        <w:keepLines/>
        <w:widowControl w:val="0"/>
        <w:shd w:val="clear" w:color="auto" w:fill="auto"/>
        <w:tabs>
          <w:tab w:pos="493" w:val="left"/>
        </w:tabs>
        <w:bidi w:val="0"/>
        <w:spacing w:before="0" w:after="420" w:line="240" w:lineRule="auto"/>
        <w:ind w:left="0" w:right="0" w:firstLine="0"/>
        <w:jc w:val="left"/>
        <w:rPr>
          <w:sz w:val="20"/>
          <w:szCs w:val="20"/>
        </w:rPr>
      </w:pPr>
      <w:bookmarkStart w:id="246" w:name="bookmark246"/>
      <w:bookmarkStart w:id="247" w:name="bookmark247"/>
      <w:bookmarkStart w:id="248" w:name="bookmark248"/>
      <w:bookmarkStart w:id="249" w:name="bookmark249"/>
      <w:r>
        <w:rPr>
          <w:b/>
          <w:bCs/>
          <w:color w:val="000000"/>
          <w:spacing w:val="0"/>
          <w:w w:val="100"/>
          <w:position w:val="0"/>
          <w:sz w:val="20"/>
          <w:szCs w:val="20"/>
        </w:rPr>
        <w:t>（</w:t>
      </w:r>
      <w:bookmarkEnd w:id="248"/>
      <w:r>
        <w:rPr>
          <w:b/>
          <w:bCs/>
          <w:color w:val="000000"/>
          <w:spacing w:val="0"/>
          <w:w w:val="100"/>
          <w:position w:val="0"/>
          <w:sz w:val="20"/>
          <w:szCs w:val="20"/>
        </w:rPr>
        <w:t>4）</w:t>
        <w:tab/>
        <w:t>公司已签订的重大销售合同截至本报告期的履行情况</w:t>
      </w:r>
      <w:bookmarkEnd w:id="246"/>
      <w:bookmarkEnd w:id="247"/>
      <w:bookmarkEnd w:id="249"/>
    </w:p>
    <w:p>
      <w:pPr>
        <w:pStyle w:val="Style4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z w:val="18"/>
          <w:szCs w:val="18"/>
        </w:rPr>
        <w:t>*</w:t>
      </w:r>
      <w:r>
        <w:rPr>
          <w:b/>
          <w:bCs/>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41"/>
        <w:keepNext w:val="0"/>
        <w:keepLines w:val="0"/>
        <w:widowControl w:val="0"/>
        <w:shd w:val="clear" w:color="auto" w:fill="auto"/>
        <w:bidi w:val="0"/>
        <w:spacing w:before="0" w:after="420" w:line="473" w:lineRule="exact"/>
        <w:ind w:left="0" w:right="0" w:firstLine="0"/>
        <w:jc w:val="both"/>
      </w:pPr>
      <w:r>
        <w:rPr>
          <w:color w:val="000000"/>
          <w:spacing w:val="0"/>
          <w:w w:val="100"/>
          <w:position w:val="0"/>
        </w:rPr>
        <w:t>公司需遵守《深圳证券交易所行业信息披露指引第</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号——上市公司从事软件与信息技术服务业务》的披露要求 单一销售合同金额占公司最近一个会计年度经审计营业收入</w:t>
      </w:r>
      <w:r>
        <w:rPr>
          <w:rFonts w:ascii="Times New Roman" w:eastAsia="Times New Roman" w:hAnsi="Times New Roman" w:cs="Times New Roman"/>
          <w:color w:val="000000"/>
          <w:spacing w:val="0"/>
          <w:w w:val="100"/>
          <w:position w:val="0"/>
          <w:sz w:val="18"/>
          <w:szCs w:val="18"/>
        </w:rPr>
        <w:t>30%</w:t>
      </w:r>
      <w:r>
        <w:rPr>
          <w:color w:val="000000"/>
          <w:spacing w:val="0"/>
          <w:w w:val="100"/>
          <w:position w:val="0"/>
        </w:rPr>
        <w:t>以上且金额超过</w:t>
      </w:r>
      <w:r>
        <w:rPr>
          <w:rFonts w:ascii="Times New Roman" w:eastAsia="Times New Roman" w:hAnsi="Times New Roman" w:cs="Times New Roman"/>
          <w:color w:val="000000"/>
          <w:spacing w:val="0"/>
          <w:w w:val="100"/>
          <w:position w:val="0"/>
          <w:sz w:val="18"/>
          <w:szCs w:val="18"/>
        </w:rPr>
        <w:t>5000</w:t>
      </w:r>
      <w:r>
        <w:rPr>
          <w:color w:val="000000"/>
          <w:spacing w:val="0"/>
          <w:w w:val="100"/>
          <w:position w:val="0"/>
        </w:rPr>
        <w:t xml:space="preserve">万元的正在履行的合同情况 </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b/>
          <w:bCs/>
          <w:color w:val="000000"/>
          <w:spacing w:val="0"/>
          <w:w w:val="100"/>
          <w:position w:val="0"/>
          <w:sz w:val="18"/>
          <w:szCs w:val="18"/>
        </w:rPr>
        <w:t>*</w:t>
      </w:r>
      <w:r>
        <w:rPr>
          <w:b/>
          <w:bCs/>
          <w:color w:val="000000"/>
          <w:spacing w:val="0"/>
          <w:w w:val="100"/>
          <w:position w:val="0"/>
        </w:rPr>
        <w:t>不适用</w:t>
      </w:r>
    </w:p>
    <w:p>
      <w:pPr>
        <w:pStyle w:val="Style58"/>
        <w:keepNext/>
        <w:keepLines/>
        <w:widowControl w:val="0"/>
        <w:shd w:val="clear" w:color="auto" w:fill="auto"/>
        <w:bidi w:val="0"/>
        <w:spacing w:before="0" w:after="420" w:line="240" w:lineRule="auto"/>
        <w:ind w:left="0" w:right="0" w:firstLine="0"/>
        <w:jc w:val="left"/>
        <w:rPr>
          <w:sz w:val="20"/>
          <w:szCs w:val="20"/>
        </w:rPr>
      </w:pPr>
      <w:bookmarkStart w:id="250" w:name="bookmark250"/>
      <w:bookmarkStart w:id="251" w:name="bookmark251"/>
      <w:bookmarkStart w:id="252" w:name="bookmark252"/>
      <w:bookmarkStart w:id="253" w:name="bookmark253"/>
      <w:r>
        <w:rPr>
          <w:b/>
          <w:bCs/>
          <w:color w:val="000000"/>
          <w:spacing w:val="0"/>
          <w:w w:val="100"/>
          <w:position w:val="0"/>
          <w:sz w:val="20"/>
          <w:szCs w:val="20"/>
        </w:rPr>
        <w:t>（</w:t>
      </w:r>
      <w:bookmarkEnd w:id="252"/>
      <w:r>
        <w:rPr>
          <w:b/>
          <w:bCs/>
          <w:color w:val="000000"/>
          <w:spacing w:val="0"/>
          <w:w w:val="100"/>
          <w:position w:val="0"/>
          <w:sz w:val="20"/>
          <w:szCs w:val="20"/>
        </w:rPr>
        <w:t>5）营业成本构成</w:t>
      </w:r>
      <w:bookmarkEnd w:id="250"/>
      <w:bookmarkEnd w:id="251"/>
      <w:bookmarkEnd w:id="253"/>
    </w:p>
    <w:p>
      <w:pPr>
        <w:pStyle w:val="Style41"/>
        <w:keepNext w:val="0"/>
        <w:keepLines w:val="0"/>
        <w:widowControl w:val="0"/>
        <w:shd w:val="clear" w:color="auto" w:fill="auto"/>
        <w:bidi w:val="0"/>
        <w:spacing w:before="0" w:after="120" w:line="240" w:lineRule="auto"/>
        <w:ind w:left="0" w:right="0" w:firstLine="0"/>
        <w:jc w:val="left"/>
      </w:pPr>
      <w:r>
        <w:rPr>
          <w:color w:val="000000"/>
          <w:spacing w:val="0"/>
          <w:w w:val="100"/>
          <w:position w:val="0"/>
        </w:rPr>
        <w:t>产品分类</w:t>
      </w:r>
    </w:p>
    <w:p>
      <w:pPr>
        <w:pStyle w:val="Style20"/>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单位：元</w:t>
      </w:r>
    </w:p>
    <w:tbl>
      <w:tblPr>
        <w:tblOverlap w:val="never"/>
        <w:jc w:val="center"/>
        <w:tblLayout w:type="fixed"/>
      </w:tblPr>
      <w:tblGrid>
        <w:gridCol w:w="1531"/>
        <w:gridCol w:w="1843"/>
        <w:gridCol w:w="1560"/>
        <w:gridCol w:w="1133"/>
        <w:gridCol w:w="1421"/>
        <w:gridCol w:w="1272"/>
        <w:gridCol w:w="1109"/>
      </w:tblGrid>
      <w:tr>
        <w:trPr>
          <w:trHeight w:val="408" w:hRule="exact"/>
        </w:trPr>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产品分类</w:t>
            </w:r>
          </w:p>
        </w:tc>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gridSpan w:val="2"/>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 xml:space="preserve">2020 </w:t>
            </w:r>
            <w:r>
              <w:rPr>
                <w:color w:val="000000"/>
                <w:spacing w:val="0"/>
                <w:w w:val="100"/>
                <w:position w:val="0"/>
              </w:rPr>
              <w:t>年</w:t>
            </w:r>
          </w:p>
        </w:tc>
        <w:tc>
          <w:tcPr>
            <w:gridSpan w:val="2"/>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 xml:space="preserve">2019 </w:t>
            </w:r>
            <w:r>
              <w:rPr>
                <w:color w:val="000000"/>
                <w:spacing w:val="0"/>
                <w:w w:val="100"/>
                <w:position w:val="0"/>
              </w:rPr>
              <w:t>年</w:t>
            </w:r>
          </w:p>
        </w:tc>
        <w:tc>
          <w:tcPr>
            <w:vMerge w:val="restart"/>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180"/>
              <w:jc w:val="left"/>
            </w:pPr>
            <w:r>
              <w:rPr>
                <w:color w:val="000000"/>
                <w:spacing w:val="0"/>
                <w:w w:val="100"/>
                <w:position w:val="0"/>
              </w:rPr>
              <w:t>同比增减</w:t>
            </w:r>
          </w:p>
        </w:tc>
      </w:tr>
      <w:tr>
        <w:trPr>
          <w:trHeight w:val="715" w:hRule="exact"/>
        </w:trPr>
        <w:tc>
          <w:tcPr>
            <w:vMerge/>
            <w:tcBorders>
              <w:left w:val="single" w:sz="4"/>
            </w:tcBorders>
            <w:shd w:val="clear" w:color="auto" w:fill="D7D7D7"/>
            <w:vAlign w:val="center"/>
          </w:tcPr>
          <w:p>
            <w:pPr/>
          </w:p>
        </w:tc>
        <w:tc>
          <w:tcPr>
            <w:vMerge/>
            <w:tcBorders>
              <w:left w:val="single" w:sz="4"/>
            </w:tcBorders>
            <w:shd w:val="clear" w:color="auto" w:fill="D7D7D7"/>
            <w:vAlign w:val="center"/>
          </w:tcPr>
          <w:p>
            <w:pP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02" w:lineRule="exact"/>
              <w:ind w:left="0" w:right="0" w:firstLine="0"/>
              <w:jc w:val="center"/>
            </w:pPr>
            <w:r>
              <w:rPr>
                <w:color w:val="000000"/>
                <w:spacing w:val="0"/>
                <w:w w:val="100"/>
                <w:position w:val="0"/>
              </w:rPr>
              <w:t>占营业成本 比重</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02" w:lineRule="exact"/>
              <w:ind w:left="0" w:right="0" w:firstLine="0"/>
              <w:jc w:val="center"/>
            </w:pPr>
            <w:r>
              <w:rPr>
                <w:color w:val="000000"/>
                <w:spacing w:val="0"/>
                <w:w w:val="100"/>
                <w:position w:val="0"/>
              </w:rPr>
              <w:t>占营业成本 比重</w:t>
            </w:r>
          </w:p>
        </w:tc>
        <w:tc>
          <w:tcPr>
            <w:vMerge/>
            <w:tcBorders>
              <w:left w:val="single" w:sz="4"/>
              <w:right w:val="single" w:sz="4"/>
            </w:tcBorders>
            <w:shd w:val="clear" w:color="auto" w:fill="D7D7D7"/>
            <w:vAlign w:val="center"/>
          </w:tcPr>
          <w:p>
            <w:pP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AI/ICT</w:t>
            </w:r>
            <w:r>
              <w:rPr>
                <w:color w:val="000000"/>
                <w:spacing w:val="0"/>
                <w:w w:val="100"/>
                <w:position w:val="0"/>
              </w:rPr>
              <w:t>运营管理</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成本主要为外购软硬 件及服务、人工成本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rPr>
                <w:sz w:val="18"/>
                <w:szCs w:val="18"/>
              </w:rPr>
            </w:pPr>
            <w:r>
              <w:rPr>
                <w:rFonts w:ascii="Times New Roman" w:eastAsia="Times New Roman" w:hAnsi="Times New Roman" w:cs="Times New Roman"/>
                <w:color w:val="000000"/>
                <w:spacing w:val="0"/>
                <w:w w:val="100"/>
                <w:position w:val="0"/>
                <w:sz w:val="18"/>
                <w:szCs w:val="18"/>
              </w:rPr>
              <w:t>558,481,276.04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left"/>
              <w:rPr>
                <w:sz w:val="18"/>
                <w:szCs w:val="18"/>
              </w:rPr>
            </w:pPr>
            <w:r>
              <w:rPr>
                <w:rFonts w:ascii="Times New Roman" w:eastAsia="Times New Roman" w:hAnsi="Times New Roman" w:cs="Times New Roman"/>
                <w:color w:val="000000"/>
                <w:spacing w:val="0"/>
                <w:w w:val="100"/>
                <w:position w:val="0"/>
                <w:sz w:val="18"/>
                <w:szCs w:val="18"/>
              </w:rPr>
              <w:t>39.07%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8"/>
                <w:szCs w:val="18"/>
              </w:rPr>
            </w:pPr>
            <w:r>
              <w:rPr>
                <w:rFonts w:ascii="Times New Roman" w:eastAsia="Times New Roman" w:hAnsi="Times New Roman" w:cs="Times New Roman"/>
                <w:color w:val="000000"/>
                <w:spacing w:val="0"/>
                <w:w w:val="100"/>
                <w:position w:val="0"/>
                <w:sz w:val="18"/>
                <w:szCs w:val="18"/>
              </w:rPr>
              <w:t>353,422,766.28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both"/>
              <w:rPr>
                <w:sz w:val="18"/>
                <w:szCs w:val="18"/>
              </w:rPr>
            </w:pPr>
            <w:r>
              <w:rPr>
                <w:rFonts w:ascii="Times New Roman" w:eastAsia="Times New Roman" w:hAnsi="Times New Roman" w:cs="Times New Roman"/>
                <w:color w:val="000000"/>
                <w:spacing w:val="0"/>
                <w:w w:val="100"/>
                <w:position w:val="0"/>
                <w:sz w:val="18"/>
                <w:szCs w:val="18"/>
              </w:rPr>
              <w:t>56.81%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58.02%</w:t>
            </w:r>
          </w:p>
        </w:tc>
      </w:tr>
      <w:tr>
        <w:trPr>
          <w:trHeight w:val="10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游戏</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成本主要为渠道服务 费、分成成本、人工 成本、服务器成本等</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rPr>
                <w:sz w:val="18"/>
                <w:szCs w:val="18"/>
              </w:rPr>
            </w:pPr>
            <w:r>
              <w:rPr>
                <w:rFonts w:ascii="Times New Roman" w:eastAsia="Times New Roman" w:hAnsi="Times New Roman" w:cs="Times New Roman"/>
                <w:color w:val="000000"/>
                <w:spacing w:val="0"/>
                <w:w w:val="100"/>
                <w:position w:val="0"/>
                <w:sz w:val="18"/>
                <w:szCs w:val="18"/>
              </w:rPr>
              <w:t>808,742,549.16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left"/>
              <w:rPr>
                <w:sz w:val="18"/>
                <w:szCs w:val="18"/>
              </w:rPr>
            </w:pPr>
            <w:r>
              <w:rPr>
                <w:rFonts w:ascii="Times New Roman" w:eastAsia="Times New Roman" w:hAnsi="Times New Roman" w:cs="Times New Roman"/>
                <w:color w:val="000000"/>
                <w:spacing w:val="0"/>
                <w:w w:val="100"/>
                <w:position w:val="0"/>
                <w:sz w:val="18"/>
                <w:szCs w:val="18"/>
              </w:rPr>
              <w:t>56.57%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8"/>
                <w:szCs w:val="18"/>
              </w:rPr>
            </w:pPr>
            <w:r>
              <w:rPr>
                <w:rFonts w:ascii="Times New Roman" w:eastAsia="Times New Roman" w:hAnsi="Times New Roman" w:cs="Times New Roman"/>
                <w:color w:val="000000"/>
                <w:spacing w:val="0"/>
                <w:w w:val="100"/>
                <w:position w:val="0"/>
                <w:sz w:val="18"/>
                <w:szCs w:val="18"/>
              </w:rPr>
              <w:t>118,346,369.82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both"/>
              <w:rPr>
                <w:sz w:val="18"/>
                <w:szCs w:val="18"/>
              </w:rPr>
            </w:pPr>
            <w:r>
              <w:rPr>
                <w:rFonts w:ascii="Times New Roman" w:eastAsia="Times New Roman" w:hAnsi="Times New Roman" w:cs="Times New Roman"/>
                <w:color w:val="000000"/>
                <w:spacing w:val="0"/>
                <w:w w:val="100"/>
                <w:position w:val="0"/>
                <w:sz w:val="18"/>
                <w:szCs w:val="18"/>
              </w:rPr>
              <w:t>19.03%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583.37%</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物联网</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通讯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0"/>
              <w:jc w:val="center"/>
            </w:pPr>
            <w:r>
              <w:rPr>
                <w:color w:val="000000"/>
                <w:spacing w:val="0"/>
                <w:w w:val="100"/>
                <w:position w:val="0"/>
              </w:rPr>
              <w:t>成本主要为材料成 本、人工成本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11,615,262.79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60"/>
              <w:jc w:val="left"/>
              <w:rPr>
                <w:sz w:val="18"/>
                <w:szCs w:val="18"/>
              </w:rPr>
            </w:pPr>
            <w:r>
              <w:rPr>
                <w:rFonts w:ascii="Times New Roman" w:eastAsia="Times New Roman" w:hAnsi="Times New Roman" w:cs="Times New Roman"/>
                <w:color w:val="000000"/>
                <w:spacing w:val="0"/>
                <w:w w:val="100"/>
                <w:position w:val="0"/>
                <w:sz w:val="18"/>
                <w:szCs w:val="18"/>
              </w:rPr>
              <w:t>0.81%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rPr>
                <w:sz w:val="18"/>
                <w:szCs w:val="18"/>
              </w:rPr>
            </w:pPr>
            <w:r>
              <w:rPr>
                <w:rFonts w:ascii="Times New Roman" w:eastAsia="Times New Roman" w:hAnsi="Times New Roman" w:cs="Times New Roman"/>
                <w:color w:val="000000"/>
                <w:spacing w:val="0"/>
                <w:w w:val="100"/>
                <w:position w:val="0"/>
                <w:sz w:val="18"/>
                <w:szCs w:val="18"/>
              </w:rPr>
              <w:t>36,490,540.58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left"/>
              <w:rPr>
                <w:sz w:val="18"/>
                <w:szCs w:val="18"/>
              </w:rPr>
            </w:pPr>
            <w:r>
              <w:rPr>
                <w:rFonts w:ascii="Times New Roman" w:eastAsia="Times New Roman" w:hAnsi="Times New Roman" w:cs="Times New Roman"/>
                <w:color w:val="000000"/>
                <w:spacing w:val="0"/>
                <w:w w:val="100"/>
                <w:position w:val="0"/>
                <w:sz w:val="18"/>
                <w:szCs w:val="18"/>
              </w:rPr>
              <w:t>5.87%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-68.17%</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创新服务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成本主要为外购软硬 件及服务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38,443,367.61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60"/>
              <w:jc w:val="left"/>
              <w:rPr>
                <w:sz w:val="18"/>
                <w:szCs w:val="18"/>
              </w:rPr>
            </w:pPr>
            <w:r>
              <w:rPr>
                <w:rFonts w:ascii="Times New Roman" w:eastAsia="Times New Roman" w:hAnsi="Times New Roman" w:cs="Times New Roman"/>
                <w:color w:val="000000"/>
                <w:spacing w:val="0"/>
                <w:w w:val="100"/>
                <w:position w:val="0"/>
                <w:sz w:val="18"/>
                <w:szCs w:val="18"/>
              </w:rPr>
              <w:t>2.69%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8"/>
                <w:szCs w:val="18"/>
              </w:rPr>
            </w:pPr>
            <w:r>
              <w:rPr>
                <w:rFonts w:ascii="Times New Roman" w:eastAsia="Times New Roman" w:hAnsi="Times New Roman" w:cs="Times New Roman"/>
                <w:color w:val="000000"/>
                <w:spacing w:val="0"/>
                <w:w w:val="100"/>
                <w:position w:val="0"/>
                <w:sz w:val="18"/>
                <w:szCs w:val="18"/>
              </w:rPr>
              <w:t>102,099,164.06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both"/>
              <w:rPr>
                <w:sz w:val="18"/>
                <w:szCs w:val="18"/>
              </w:rPr>
            </w:pPr>
            <w:r>
              <w:rPr>
                <w:rFonts w:ascii="Times New Roman" w:eastAsia="Times New Roman" w:hAnsi="Times New Roman" w:cs="Times New Roman"/>
                <w:color w:val="000000"/>
                <w:spacing w:val="0"/>
                <w:w w:val="100"/>
                <w:position w:val="0"/>
                <w:sz w:val="18"/>
                <w:szCs w:val="18"/>
              </w:rPr>
              <w:t>16.41%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-62.35%</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其他业务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主要是出租房屋折旧</w:t>
            </w:r>
          </w:p>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成本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12,275,481.72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60"/>
              <w:jc w:val="left"/>
              <w:rPr>
                <w:sz w:val="18"/>
                <w:szCs w:val="18"/>
              </w:rPr>
            </w:pPr>
            <w:r>
              <w:rPr>
                <w:rFonts w:ascii="Times New Roman" w:eastAsia="Times New Roman" w:hAnsi="Times New Roman" w:cs="Times New Roman"/>
                <w:color w:val="000000"/>
                <w:spacing w:val="0"/>
                <w:w w:val="100"/>
                <w:position w:val="0"/>
                <w:sz w:val="18"/>
                <w:szCs w:val="18"/>
              </w:rPr>
              <w:t>0.86%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both"/>
              <w:rPr>
                <w:sz w:val="18"/>
                <w:szCs w:val="18"/>
              </w:rPr>
            </w:pPr>
            <w:r>
              <w:rPr>
                <w:rFonts w:ascii="Times New Roman" w:eastAsia="Times New Roman" w:hAnsi="Times New Roman" w:cs="Times New Roman"/>
                <w:color w:val="000000"/>
                <w:spacing w:val="0"/>
                <w:w w:val="100"/>
                <w:position w:val="0"/>
                <w:sz w:val="18"/>
                <w:szCs w:val="18"/>
              </w:rPr>
              <w:t>11,700,522.82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left"/>
              <w:rPr>
                <w:sz w:val="18"/>
                <w:szCs w:val="18"/>
              </w:rPr>
            </w:pPr>
            <w:r>
              <w:rPr>
                <w:rFonts w:ascii="Times New Roman" w:eastAsia="Times New Roman" w:hAnsi="Times New Roman" w:cs="Times New Roman"/>
                <w:color w:val="000000"/>
                <w:spacing w:val="0"/>
                <w:w w:val="100"/>
                <w:position w:val="0"/>
                <w:sz w:val="18"/>
                <w:szCs w:val="18"/>
              </w:rPr>
              <w:t>1.88%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4.91%</w:t>
            </w:r>
          </w:p>
        </w:tc>
      </w:tr>
      <w:tr>
        <w:trPr>
          <w:trHeight w:val="40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合计</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b/>
                <w:bCs/>
                <w:color w:val="000000"/>
                <w:spacing w:val="0"/>
                <w:w w:val="100"/>
                <w:position w:val="0"/>
                <w:sz w:val="18"/>
                <w:szCs w:val="18"/>
              </w:rPr>
              <w:t>1,429,557,937.32</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b/>
                <w:bCs/>
                <w:color w:val="000000"/>
                <w:spacing w:val="0"/>
                <w:w w:val="100"/>
                <w:position w:val="0"/>
                <w:sz w:val="18"/>
                <w:szCs w:val="18"/>
              </w:rPr>
              <w:t>100.00%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8"/>
                <w:szCs w:val="18"/>
              </w:rPr>
            </w:pPr>
            <w:r>
              <w:rPr>
                <w:rFonts w:ascii="Times New Roman" w:eastAsia="Times New Roman" w:hAnsi="Times New Roman" w:cs="Times New Roman"/>
                <w:b/>
                <w:bCs/>
                <w:color w:val="000000"/>
                <w:spacing w:val="0"/>
                <w:w w:val="100"/>
                <w:position w:val="0"/>
                <w:sz w:val="18"/>
                <w:szCs w:val="18"/>
              </w:rPr>
              <w:t>622,059,363.56</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b/>
                <w:bCs/>
                <w:color w:val="000000"/>
                <w:spacing w:val="0"/>
                <w:w w:val="100"/>
                <w:position w:val="0"/>
                <w:sz w:val="18"/>
                <w:szCs w:val="18"/>
              </w:rPr>
              <w:t>100.00%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b/>
                <w:bCs/>
                <w:color w:val="000000"/>
                <w:spacing w:val="0"/>
                <w:w w:val="100"/>
                <w:position w:val="0"/>
                <w:sz w:val="18"/>
                <w:szCs w:val="18"/>
              </w:rPr>
              <w:t>129.81%</w:t>
            </w:r>
          </w:p>
        </w:tc>
      </w:tr>
    </w:tbl>
    <w:p>
      <w:pPr>
        <w:sectPr>
          <w:headerReference w:type="default" r:id="rId133"/>
          <w:footerReference w:type="default" r:id="rId134"/>
          <w:headerReference w:type="even" r:id="rId135"/>
          <w:footerReference w:type="even" r:id="rId136"/>
          <w:footnotePr>
            <w:pos w:val="pageBottom"/>
            <w:numFmt w:val="decimal"/>
            <w:numRestart w:val="continuous"/>
          </w:footnotePr>
          <w:pgSz w:w="11904" w:h="17375"/>
          <w:pgMar w:top="1070" w:right="1018" w:bottom="1425" w:left="1018" w:header="642" w:footer="3" w:gutter="0"/>
          <w:cols w:space="720"/>
          <w:noEndnote/>
          <w:rtlGutter w:val="0"/>
          <w:docGrid w:linePitch="360"/>
        </w:sectPr>
      </w:pPr>
    </w:p>
    <w:p>
      <w:pPr>
        <w:pStyle w:val="Style41"/>
        <w:keepNext w:val="0"/>
        <w:keepLines w:val="0"/>
        <w:widowControl w:val="0"/>
        <w:shd w:val="clear" w:color="auto" w:fill="auto"/>
        <w:bidi w:val="0"/>
        <w:spacing w:before="0" w:after="0" w:line="475" w:lineRule="exact"/>
        <w:ind w:left="0" w:right="0" w:firstLine="0"/>
        <w:jc w:val="left"/>
      </w:pPr>
      <w:r>
        <w:rPr>
          <w:b/>
          <w:bCs/>
          <w:color w:val="000000"/>
          <w:spacing w:val="0"/>
          <w:w w:val="100"/>
          <w:position w:val="0"/>
        </w:rPr>
        <w:t>说明</w:t>
      </w:r>
    </w:p>
    <w:p>
      <w:pPr>
        <w:pStyle w:val="Style214"/>
        <w:keepNext w:val="0"/>
        <w:keepLines w:val="0"/>
        <w:widowControl w:val="0"/>
        <w:shd w:val="clear" w:color="auto" w:fill="auto"/>
        <w:tabs>
          <w:tab w:pos="330" w:val="left"/>
        </w:tabs>
        <w:bidi w:val="0"/>
        <w:spacing w:before="0" w:after="0"/>
        <w:ind w:left="0" w:right="0" w:firstLine="0"/>
        <w:jc w:val="left"/>
      </w:pPr>
      <w:bookmarkStart w:id="254" w:name="bookmark254"/>
      <w:r>
        <w:rPr>
          <w:rFonts w:ascii="Times New Roman" w:eastAsia="Times New Roman" w:hAnsi="Times New Roman" w:cs="Times New Roman"/>
          <w:color w:val="000000"/>
          <w:spacing w:val="0"/>
          <w:w w:val="100"/>
          <w:position w:val="0"/>
          <w:sz w:val="16"/>
          <w:szCs w:val="16"/>
        </w:rPr>
        <w:t>1</w:t>
      </w:r>
      <w:bookmarkEnd w:id="254"/>
      <w:r>
        <w:rPr>
          <w:color w:val="000000"/>
          <w:spacing w:val="0"/>
          <w:w w:val="100"/>
          <w:position w:val="0"/>
        </w:rPr>
        <w:t>）</w:t>
        <w:tab/>
      </w:r>
      <w:r>
        <w:rPr>
          <w:rFonts w:ascii="Times New Roman" w:eastAsia="Times New Roman" w:hAnsi="Times New Roman" w:cs="Times New Roman"/>
          <w:color w:val="000000"/>
          <w:spacing w:val="0"/>
          <w:w w:val="100"/>
          <w:position w:val="0"/>
          <w:sz w:val="16"/>
          <w:szCs w:val="16"/>
        </w:rPr>
        <w:t>AI/ICT</w:t>
      </w:r>
      <w:r>
        <w:rPr>
          <w:color w:val="000000"/>
          <w:spacing w:val="0"/>
          <w:w w:val="100"/>
          <w:position w:val="0"/>
        </w:rPr>
        <w:t>运营管理业务营业成本较上年同期上涨</w:t>
      </w:r>
      <w:r>
        <w:rPr>
          <w:rFonts w:ascii="Times New Roman" w:eastAsia="Times New Roman" w:hAnsi="Times New Roman" w:cs="Times New Roman"/>
          <w:color w:val="000000"/>
          <w:spacing w:val="0"/>
          <w:w w:val="100"/>
          <w:position w:val="0"/>
          <w:sz w:val="16"/>
          <w:szCs w:val="16"/>
        </w:rPr>
        <w:t>58.02%</w:t>
      </w:r>
      <w:r>
        <w:rPr>
          <w:color w:val="000000"/>
          <w:spacing w:val="0"/>
          <w:w w:val="100"/>
          <w:position w:val="0"/>
        </w:rPr>
        <w:t>，主要是收入上涨所致</w:t>
      </w:r>
      <w:r>
        <w:rPr>
          <w:color w:val="000000"/>
          <w:spacing w:val="0"/>
          <w:w w:val="100"/>
          <w:position w:val="0"/>
        </w:rPr>
        <w:t>-</w:t>
      </w:r>
    </w:p>
    <w:p>
      <w:pPr>
        <w:pStyle w:val="Style214"/>
        <w:keepNext w:val="0"/>
        <w:keepLines w:val="0"/>
        <w:widowControl w:val="0"/>
        <w:shd w:val="clear" w:color="auto" w:fill="auto"/>
        <w:tabs>
          <w:tab w:pos="344" w:val="left"/>
        </w:tabs>
        <w:bidi w:val="0"/>
        <w:spacing w:before="0" w:after="0"/>
        <w:ind w:left="0" w:right="0" w:firstLine="0"/>
        <w:jc w:val="left"/>
      </w:pPr>
      <w:bookmarkStart w:id="255" w:name="bookmark255"/>
      <w:r>
        <w:rPr>
          <w:rFonts w:ascii="Times New Roman" w:eastAsia="Times New Roman" w:hAnsi="Times New Roman" w:cs="Times New Roman"/>
          <w:color w:val="000000"/>
          <w:spacing w:val="0"/>
          <w:w w:val="100"/>
          <w:position w:val="0"/>
          <w:sz w:val="16"/>
          <w:szCs w:val="16"/>
        </w:rPr>
        <w:t>2</w:t>
      </w:r>
      <w:bookmarkEnd w:id="255"/>
      <w:r>
        <w:rPr>
          <w:color w:val="000000"/>
          <w:spacing w:val="0"/>
          <w:w w:val="100"/>
          <w:position w:val="0"/>
        </w:rPr>
        <w:t>）</w:t>
        <w:tab/>
        <w:t>游戏业务营业成本较上年同期增长</w:t>
      </w:r>
      <w:r>
        <w:rPr>
          <w:rFonts w:ascii="Times New Roman" w:eastAsia="Times New Roman" w:hAnsi="Times New Roman" w:cs="Times New Roman"/>
          <w:color w:val="000000"/>
          <w:spacing w:val="0"/>
          <w:w w:val="100"/>
          <w:position w:val="0"/>
          <w:sz w:val="16"/>
          <w:szCs w:val="16"/>
        </w:rPr>
        <w:t>583.37%</w:t>
      </w:r>
      <w:r>
        <w:rPr>
          <w:color w:val="000000"/>
          <w:spacing w:val="0"/>
          <w:w w:val="100"/>
          <w:position w:val="0"/>
        </w:rPr>
        <w:t>，主要是适用新收入准则按照总额法确认收入、渠道服务费计入营业成本所致，导致收入成</w:t>
      </w:r>
    </w:p>
    <w:p>
      <w:pPr>
        <w:pStyle w:val="Style214"/>
        <w:keepNext w:val="0"/>
        <w:keepLines w:val="0"/>
        <w:widowControl w:val="0"/>
        <w:shd w:val="clear" w:color="auto" w:fill="auto"/>
        <w:bidi w:val="0"/>
        <w:spacing w:before="0" w:after="0"/>
        <w:ind w:left="0" w:right="0" w:firstLine="0"/>
        <w:jc w:val="left"/>
      </w:pPr>
      <w:r>
        <w:rPr>
          <w:color w:val="000000"/>
          <w:spacing w:val="0"/>
          <w:w w:val="100"/>
          <w:position w:val="0"/>
        </w:rPr>
        <w:t>本同时上涨</w:t>
      </w:r>
      <w:r>
        <w:rPr>
          <w:rFonts w:ascii="Times New Roman" w:eastAsia="Times New Roman" w:hAnsi="Times New Roman" w:cs="Times New Roman"/>
          <w:color w:val="000000"/>
          <w:spacing w:val="0"/>
          <w:w w:val="100"/>
          <w:position w:val="0"/>
          <w:sz w:val="16"/>
          <w:szCs w:val="16"/>
        </w:rPr>
        <w:t>6.95</w:t>
      </w:r>
      <w:r>
        <w:rPr>
          <w:color w:val="000000"/>
          <w:spacing w:val="0"/>
          <w:w w:val="100"/>
          <w:position w:val="0"/>
        </w:rPr>
        <w:t>亿，若将游戏业务成本调整为与上年同期相同的口径，则为下降</w:t>
      </w:r>
      <w:r>
        <w:rPr>
          <w:rFonts w:ascii="Times New Roman" w:eastAsia="Times New Roman" w:hAnsi="Times New Roman" w:cs="Times New Roman"/>
          <w:color w:val="000000"/>
          <w:spacing w:val="0"/>
          <w:w w:val="100"/>
          <w:position w:val="0"/>
          <w:sz w:val="16"/>
          <w:szCs w:val="16"/>
        </w:rPr>
        <w:t>11.68%</w:t>
      </w:r>
      <w:r>
        <w:rPr>
          <w:color w:val="000000"/>
          <w:spacing w:val="0"/>
          <w:w w:val="100"/>
          <w:position w:val="0"/>
        </w:rPr>
        <w:t>，主要是联运游戏分成成本减少所致-</w:t>
      </w:r>
    </w:p>
    <w:p>
      <w:pPr>
        <w:pStyle w:val="Style214"/>
        <w:keepNext w:val="0"/>
        <w:keepLines w:val="0"/>
        <w:widowControl w:val="0"/>
        <w:shd w:val="clear" w:color="auto" w:fill="auto"/>
        <w:tabs>
          <w:tab w:pos="344" w:val="left"/>
        </w:tabs>
        <w:bidi w:val="0"/>
        <w:spacing w:before="0" w:after="0"/>
        <w:ind w:left="0" w:right="0" w:firstLine="0"/>
        <w:jc w:val="left"/>
      </w:pPr>
      <w:bookmarkStart w:id="256" w:name="bookmark256"/>
      <w:r>
        <w:rPr>
          <w:rFonts w:ascii="Times New Roman" w:eastAsia="Times New Roman" w:hAnsi="Times New Roman" w:cs="Times New Roman"/>
          <w:color w:val="000000"/>
          <w:spacing w:val="0"/>
          <w:w w:val="100"/>
          <w:position w:val="0"/>
          <w:sz w:val="16"/>
          <w:szCs w:val="16"/>
        </w:rPr>
        <w:t>3</w:t>
      </w:r>
      <w:bookmarkEnd w:id="256"/>
      <w:r>
        <w:rPr>
          <w:color w:val="000000"/>
          <w:spacing w:val="0"/>
          <w:w w:val="100"/>
          <w:position w:val="0"/>
        </w:rPr>
        <w:t>）</w:t>
        <w:tab/>
        <w:t>物联网</w:t>
      </w:r>
      <w:r>
        <w:rPr>
          <w:rFonts w:ascii="Times New Roman" w:eastAsia="Times New Roman" w:hAnsi="Times New Roman" w:cs="Times New Roman"/>
          <w:color w:val="000000"/>
          <w:spacing w:val="0"/>
          <w:w w:val="100"/>
          <w:position w:val="0"/>
          <w:sz w:val="16"/>
          <w:szCs w:val="16"/>
        </w:rPr>
        <w:t>/</w:t>
      </w:r>
      <w:r>
        <w:rPr>
          <w:color w:val="000000"/>
          <w:spacing w:val="0"/>
          <w:w w:val="100"/>
          <w:position w:val="0"/>
        </w:rPr>
        <w:t>通讯业务营业成本较上年同期下降</w:t>
      </w:r>
      <w:r>
        <w:rPr>
          <w:rFonts w:ascii="Times New Roman" w:eastAsia="Times New Roman" w:hAnsi="Times New Roman" w:cs="Times New Roman"/>
          <w:color w:val="000000"/>
          <w:spacing w:val="0"/>
          <w:w w:val="100"/>
          <w:position w:val="0"/>
          <w:sz w:val="16"/>
          <w:szCs w:val="16"/>
        </w:rPr>
        <w:t>68.17%</w:t>
      </w:r>
      <w:r>
        <w:rPr>
          <w:color w:val="000000"/>
          <w:spacing w:val="0"/>
          <w:w w:val="100"/>
          <w:position w:val="0"/>
        </w:rPr>
        <w:t>，主要是部分项目签约、实施及验收延迟所致，本期物联网</w:t>
      </w:r>
      <w:r>
        <w:rPr>
          <w:rFonts w:ascii="Times New Roman" w:eastAsia="Times New Roman" w:hAnsi="Times New Roman" w:cs="Times New Roman"/>
          <w:color w:val="000000"/>
          <w:spacing w:val="0"/>
          <w:w w:val="100"/>
          <w:position w:val="0"/>
          <w:sz w:val="16"/>
          <w:szCs w:val="16"/>
        </w:rPr>
        <w:t>/</w:t>
      </w:r>
      <w:r>
        <w:rPr>
          <w:color w:val="000000"/>
          <w:spacing w:val="0"/>
          <w:w w:val="100"/>
          <w:position w:val="0"/>
        </w:rPr>
        <w:t>通讯业务集中于第四季度 签约，期末在手订单增加</w:t>
      </w:r>
      <w:r>
        <w:rPr>
          <w:color w:val="000000"/>
          <w:spacing w:val="0"/>
          <w:w w:val="100"/>
          <w:position w:val="0"/>
        </w:rPr>
        <w:t>-</w:t>
      </w:r>
    </w:p>
    <w:p>
      <w:pPr>
        <w:pStyle w:val="Style214"/>
        <w:keepNext w:val="0"/>
        <w:keepLines w:val="0"/>
        <w:widowControl w:val="0"/>
        <w:shd w:val="clear" w:color="auto" w:fill="auto"/>
        <w:tabs>
          <w:tab w:pos="344" w:val="left"/>
        </w:tabs>
        <w:bidi w:val="0"/>
        <w:spacing w:before="0" w:after="0"/>
        <w:ind w:left="0" w:right="0" w:firstLine="0"/>
        <w:jc w:val="left"/>
      </w:pPr>
      <w:bookmarkStart w:id="257" w:name="bookmark257"/>
      <w:r>
        <w:rPr>
          <w:rFonts w:ascii="Times New Roman" w:eastAsia="Times New Roman" w:hAnsi="Times New Roman" w:cs="Times New Roman"/>
          <w:color w:val="000000"/>
          <w:spacing w:val="0"/>
          <w:w w:val="100"/>
          <w:position w:val="0"/>
          <w:sz w:val="16"/>
          <w:szCs w:val="16"/>
        </w:rPr>
        <w:t>4</w:t>
      </w:r>
      <w:bookmarkEnd w:id="257"/>
      <w:r>
        <w:rPr>
          <w:color w:val="000000"/>
          <w:spacing w:val="0"/>
          <w:w w:val="100"/>
          <w:position w:val="0"/>
        </w:rPr>
        <w:t>）</w:t>
        <w:tab/>
        <w:t>创新服务业务营业成本较上年同期下降</w:t>
      </w:r>
      <w:r>
        <w:rPr>
          <w:rFonts w:ascii="Times New Roman" w:eastAsia="Times New Roman" w:hAnsi="Times New Roman" w:cs="Times New Roman"/>
          <w:color w:val="000000"/>
          <w:spacing w:val="0"/>
          <w:w w:val="100"/>
          <w:position w:val="0"/>
          <w:sz w:val="16"/>
          <w:szCs w:val="16"/>
        </w:rPr>
        <w:t>62.35%</w:t>
      </w:r>
      <w:r>
        <w:rPr>
          <w:color w:val="000000"/>
          <w:spacing w:val="0"/>
          <w:w w:val="100"/>
          <w:position w:val="0"/>
        </w:rPr>
        <w:t>，主要是要是受疫情及宏观经济状况影响，移动</w:t>
      </w:r>
      <w:r>
        <w:rPr>
          <w:rFonts w:ascii="Times New Roman" w:eastAsia="Times New Roman" w:hAnsi="Times New Roman" w:cs="Times New Roman"/>
          <w:color w:val="000000"/>
          <w:spacing w:val="0"/>
          <w:w w:val="100"/>
          <w:position w:val="0"/>
          <w:sz w:val="16"/>
          <w:szCs w:val="16"/>
        </w:rPr>
        <w:t>WIFI</w:t>
      </w:r>
      <w:r>
        <w:rPr>
          <w:color w:val="000000"/>
          <w:spacing w:val="0"/>
          <w:w w:val="100"/>
          <w:position w:val="0"/>
        </w:rPr>
        <w:t>业务订单大幅减少所致-</w:t>
      </w:r>
    </w:p>
    <w:p>
      <w:pPr>
        <w:pStyle w:val="Style41"/>
        <w:keepNext w:val="0"/>
        <w:keepLines w:val="0"/>
        <w:widowControl w:val="0"/>
        <w:shd w:val="clear" w:color="auto" w:fill="auto"/>
        <w:bidi w:val="0"/>
        <w:spacing w:before="0" w:after="0" w:line="475" w:lineRule="exact"/>
        <w:ind w:left="0" w:right="0" w:firstLine="0"/>
        <w:jc w:val="left"/>
      </w:pPr>
      <w:r>
        <w:rPr>
          <w:b/>
          <w:bCs/>
          <w:color w:val="000000"/>
          <w:spacing w:val="0"/>
          <w:w w:val="100"/>
          <w:position w:val="0"/>
        </w:rPr>
        <w:t>公司需遵守《深圳证券交易所行业信息披露指引第</w:t>
      </w:r>
      <w:r>
        <w:rPr>
          <w:rFonts w:ascii="Times New Roman" w:eastAsia="Times New Roman" w:hAnsi="Times New Roman" w:cs="Times New Roman"/>
          <w:b/>
          <w:bCs/>
          <w:color w:val="000000"/>
          <w:spacing w:val="0"/>
          <w:w w:val="100"/>
          <w:position w:val="0"/>
          <w:sz w:val="18"/>
          <w:szCs w:val="18"/>
        </w:rPr>
        <w:t>12</w:t>
      </w:r>
      <w:r>
        <w:rPr>
          <w:b/>
          <w:bCs/>
          <w:color w:val="000000"/>
          <w:spacing w:val="0"/>
          <w:w w:val="100"/>
          <w:position w:val="0"/>
        </w:rPr>
        <w:t>号——上市公司从事软件与信息技术服务业务》的披露要求</w:t>
      </w:r>
    </w:p>
    <w:p>
      <w:pPr>
        <w:pStyle w:val="Style41"/>
        <w:keepNext w:val="0"/>
        <w:keepLines w:val="0"/>
        <w:widowControl w:val="0"/>
        <w:shd w:val="clear" w:color="auto" w:fill="auto"/>
        <w:bidi w:val="0"/>
        <w:spacing w:before="0" w:after="220" w:line="475" w:lineRule="exact"/>
        <w:ind w:left="0" w:right="0" w:firstLine="0"/>
        <w:jc w:val="left"/>
      </w:pPr>
      <w:r>
        <w:rPr>
          <w:color w:val="000000"/>
          <w:spacing w:val="0"/>
          <w:w w:val="100"/>
          <w:position w:val="0"/>
        </w:rPr>
        <w:t>主营业务成本构成</w:t>
      </w:r>
    </w:p>
    <w:p>
      <w:pPr>
        <w:pStyle w:val="Style20"/>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单位：元</w:t>
      </w:r>
    </w:p>
    <w:tbl>
      <w:tblPr>
        <w:tblOverlap w:val="never"/>
        <w:jc w:val="center"/>
        <w:tblLayout w:type="fixed"/>
      </w:tblPr>
      <w:tblGrid>
        <w:gridCol w:w="1814"/>
        <w:gridCol w:w="1478"/>
        <w:gridCol w:w="1646"/>
        <w:gridCol w:w="1642"/>
        <w:gridCol w:w="1642"/>
        <w:gridCol w:w="1646"/>
      </w:tblGrid>
      <w:tr>
        <w:trPr>
          <w:trHeight w:val="408" w:hRule="exact"/>
        </w:trPr>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成本构成</w:t>
            </w:r>
          </w:p>
        </w:tc>
        <w:tc>
          <w:tcPr>
            <w:gridSpan w:val="2"/>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本报告期</w:t>
            </w:r>
          </w:p>
        </w:tc>
        <w:tc>
          <w:tcPr>
            <w:gridSpan w:val="2"/>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上年同期</w:t>
            </w:r>
          </w:p>
        </w:tc>
        <w:tc>
          <w:tcPr>
            <w:vMerge w:val="restart"/>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同比增减</w:t>
            </w:r>
          </w:p>
        </w:tc>
      </w:tr>
      <w:tr>
        <w:trPr>
          <w:trHeight w:val="403" w:hRule="exact"/>
        </w:trPr>
        <w:tc>
          <w:tcPr>
            <w:vMerge/>
            <w:tcBorders>
              <w:left w:val="single" w:sz="4"/>
            </w:tcBorders>
            <w:shd w:val="clear" w:color="auto" w:fill="D7D7D7"/>
            <w:vAlign w:val="center"/>
          </w:tcPr>
          <w:p>
            <w:pP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180"/>
              <w:jc w:val="left"/>
            </w:pPr>
            <w:r>
              <w:rPr>
                <w:color w:val="000000"/>
                <w:spacing w:val="0"/>
                <w:w w:val="100"/>
                <w:position w:val="0"/>
              </w:rPr>
              <w:t>占营业成本比重</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620"/>
              <w:jc w:val="left"/>
            </w:pPr>
            <w:r>
              <w:rPr>
                <w:color w:val="000000"/>
                <w:spacing w:val="0"/>
                <w:w w:val="100"/>
                <w:position w:val="0"/>
              </w:rPr>
              <w:t>金额</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占营业成本比重</w:t>
            </w:r>
          </w:p>
        </w:tc>
        <w:tc>
          <w:tcPr>
            <w:vMerge/>
            <w:tcBorders>
              <w:left w:val="single" w:sz="4"/>
              <w:right w:val="single" w:sz="4"/>
            </w:tcBorders>
            <w:shd w:val="clear" w:color="auto" w:fill="D7D7D7"/>
            <w:vAlign w:val="center"/>
          </w:tcPr>
          <w:p>
            <w:pP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外购软硬件及服务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8"/>
                <w:szCs w:val="18"/>
              </w:rPr>
            </w:pPr>
            <w:r>
              <w:rPr>
                <w:rFonts w:ascii="Times New Roman" w:eastAsia="Times New Roman" w:hAnsi="Times New Roman" w:cs="Times New Roman"/>
                <w:color w:val="000000"/>
                <w:spacing w:val="0"/>
                <w:w w:val="100"/>
                <w:position w:val="0"/>
                <w:sz w:val="18"/>
                <w:szCs w:val="18"/>
              </w:rPr>
              <w:t>499,834,904.46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60"/>
              <w:jc w:val="left"/>
              <w:rPr>
                <w:sz w:val="18"/>
                <w:szCs w:val="18"/>
              </w:rPr>
            </w:pPr>
            <w:r>
              <w:rPr>
                <w:rFonts w:ascii="Times New Roman" w:eastAsia="Times New Roman" w:hAnsi="Times New Roman" w:cs="Times New Roman"/>
                <w:color w:val="000000"/>
                <w:spacing w:val="0"/>
                <w:w w:val="100"/>
                <w:position w:val="0"/>
                <w:sz w:val="18"/>
                <w:szCs w:val="18"/>
              </w:rPr>
              <w:t>34.96%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475,632,440.99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76.46%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5.09%</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游戏运营成本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8"/>
                <w:szCs w:val="18"/>
              </w:rPr>
            </w:pPr>
            <w:r>
              <w:rPr>
                <w:rFonts w:ascii="Times New Roman" w:eastAsia="Times New Roman" w:hAnsi="Times New Roman" w:cs="Times New Roman"/>
                <w:color w:val="000000"/>
                <w:spacing w:val="0"/>
                <w:w w:val="100"/>
                <w:position w:val="0"/>
                <w:sz w:val="18"/>
                <w:szCs w:val="18"/>
              </w:rPr>
              <w:t>754,335,894.49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60"/>
              <w:jc w:val="left"/>
              <w:rPr>
                <w:sz w:val="18"/>
                <w:szCs w:val="18"/>
              </w:rPr>
            </w:pPr>
            <w:r>
              <w:rPr>
                <w:rFonts w:ascii="Times New Roman" w:eastAsia="Times New Roman" w:hAnsi="Times New Roman" w:cs="Times New Roman"/>
                <w:color w:val="000000"/>
                <w:spacing w:val="0"/>
                <w:w w:val="100"/>
                <w:position w:val="0"/>
                <w:sz w:val="18"/>
                <w:szCs w:val="18"/>
              </w:rPr>
              <w:t>52.77%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left"/>
              <w:rPr>
                <w:sz w:val="18"/>
                <w:szCs w:val="18"/>
              </w:rPr>
            </w:pPr>
            <w:r>
              <w:rPr>
                <w:rFonts w:ascii="Times New Roman" w:eastAsia="Times New Roman" w:hAnsi="Times New Roman" w:cs="Times New Roman"/>
                <w:color w:val="000000"/>
                <w:spacing w:val="0"/>
                <w:w w:val="100"/>
                <w:position w:val="0"/>
                <w:sz w:val="18"/>
                <w:szCs w:val="18"/>
              </w:rPr>
              <w:t>73,096,009.52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11.75%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931.98%</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人工成本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8"/>
                <w:szCs w:val="18"/>
              </w:rPr>
            </w:pPr>
            <w:r>
              <w:rPr>
                <w:rFonts w:ascii="Times New Roman" w:eastAsia="Times New Roman" w:hAnsi="Times New Roman" w:cs="Times New Roman"/>
                <w:color w:val="000000"/>
                <w:spacing w:val="0"/>
                <w:w w:val="100"/>
                <w:position w:val="0"/>
                <w:sz w:val="18"/>
                <w:szCs w:val="18"/>
              </w:rPr>
              <w:t>137,294,769.64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60" w:right="0" w:firstLine="0"/>
              <w:jc w:val="left"/>
              <w:rPr>
                <w:sz w:val="18"/>
                <w:szCs w:val="18"/>
              </w:rPr>
            </w:pPr>
            <w:r>
              <w:rPr>
                <w:rFonts w:ascii="Times New Roman" w:eastAsia="Times New Roman" w:hAnsi="Times New Roman" w:cs="Times New Roman"/>
                <w:color w:val="000000"/>
                <w:spacing w:val="0"/>
                <w:w w:val="100"/>
                <w:position w:val="0"/>
                <w:sz w:val="18"/>
                <w:szCs w:val="18"/>
              </w:rPr>
              <w:t>9.60%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left"/>
              <w:rPr>
                <w:sz w:val="18"/>
                <w:szCs w:val="18"/>
              </w:rPr>
            </w:pPr>
            <w:r>
              <w:rPr>
                <w:rFonts w:ascii="Times New Roman" w:eastAsia="Times New Roman" w:hAnsi="Times New Roman" w:cs="Times New Roman"/>
                <w:color w:val="000000"/>
                <w:spacing w:val="0"/>
                <w:w w:val="100"/>
                <w:position w:val="0"/>
                <w:sz w:val="18"/>
                <w:szCs w:val="18"/>
              </w:rPr>
              <w:t>47,545,958.22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7.64%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188.76%</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材料成本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rPr>
                <w:sz w:val="18"/>
                <w:szCs w:val="18"/>
              </w:rPr>
            </w:pPr>
            <w:r>
              <w:rPr>
                <w:rFonts w:ascii="Times New Roman" w:eastAsia="Times New Roman" w:hAnsi="Times New Roman" w:cs="Times New Roman"/>
                <w:color w:val="000000"/>
                <w:spacing w:val="0"/>
                <w:w w:val="100"/>
                <w:position w:val="0"/>
                <w:sz w:val="18"/>
                <w:szCs w:val="18"/>
              </w:rPr>
              <w:t>25,630,469.36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60" w:right="0" w:firstLine="0"/>
              <w:jc w:val="left"/>
              <w:rPr>
                <w:sz w:val="18"/>
                <w:szCs w:val="18"/>
              </w:rPr>
            </w:pPr>
            <w:r>
              <w:rPr>
                <w:rFonts w:ascii="Times New Roman" w:eastAsia="Times New Roman" w:hAnsi="Times New Roman" w:cs="Times New Roman"/>
                <w:color w:val="000000"/>
                <w:spacing w:val="0"/>
                <w:w w:val="100"/>
                <w:position w:val="0"/>
                <w:sz w:val="18"/>
                <w:szCs w:val="18"/>
              </w:rPr>
              <w:t>1.79%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left"/>
              <w:rPr>
                <w:sz w:val="18"/>
                <w:szCs w:val="18"/>
              </w:rPr>
            </w:pPr>
            <w:r>
              <w:rPr>
                <w:rFonts w:ascii="Times New Roman" w:eastAsia="Times New Roman" w:hAnsi="Times New Roman" w:cs="Times New Roman"/>
                <w:color w:val="000000"/>
                <w:spacing w:val="0"/>
                <w:w w:val="100"/>
                <w:position w:val="0"/>
                <w:sz w:val="18"/>
                <w:szCs w:val="18"/>
              </w:rPr>
              <w:t>13,990,955.24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2.25%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83.19%</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rPr>
                <w:sz w:val="18"/>
                <w:szCs w:val="18"/>
              </w:rPr>
            </w:pPr>
            <w:r>
              <w:rPr>
                <w:rFonts w:ascii="Times New Roman" w:eastAsia="Times New Roman" w:hAnsi="Times New Roman" w:cs="Times New Roman"/>
                <w:color w:val="000000"/>
                <w:spacing w:val="0"/>
                <w:w w:val="100"/>
                <w:position w:val="0"/>
                <w:sz w:val="18"/>
                <w:szCs w:val="18"/>
              </w:rPr>
              <w:t>12,461,899.37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60" w:right="0" w:firstLine="0"/>
              <w:jc w:val="left"/>
              <w:rPr>
                <w:sz w:val="18"/>
                <w:szCs w:val="18"/>
              </w:rPr>
            </w:pPr>
            <w:r>
              <w:rPr>
                <w:rFonts w:ascii="Times New Roman" w:eastAsia="Times New Roman" w:hAnsi="Times New Roman" w:cs="Times New Roman"/>
                <w:color w:val="000000"/>
                <w:spacing w:val="0"/>
                <w:w w:val="100"/>
                <w:position w:val="0"/>
                <w:sz w:val="18"/>
                <w:szCs w:val="18"/>
              </w:rPr>
              <w:t>0.88%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left"/>
              <w:rPr>
                <w:sz w:val="18"/>
                <w:szCs w:val="18"/>
              </w:rPr>
            </w:pPr>
            <w:r>
              <w:rPr>
                <w:rFonts w:ascii="Times New Roman" w:eastAsia="Times New Roman" w:hAnsi="Times New Roman" w:cs="Times New Roman"/>
                <w:color w:val="000000"/>
                <w:spacing w:val="0"/>
                <w:w w:val="100"/>
                <w:position w:val="0"/>
                <w:sz w:val="18"/>
                <w:szCs w:val="18"/>
              </w:rPr>
              <w:t>11,793,999.59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5.66%</w:t>
            </w:r>
          </w:p>
        </w:tc>
      </w:tr>
      <w:tr>
        <w:trPr>
          <w:trHeight w:val="40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b/>
                <w:bCs/>
                <w:color w:val="000000"/>
                <w:spacing w:val="0"/>
                <w:w w:val="100"/>
                <w:position w:val="0"/>
                <w:sz w:val="18"/>
                <w:szCs w:val="18"/>
              </w:rPr>
              <w:t>1,429,557,937.32</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b/>
                <w:bCs/>
                <w:color w:val="000000"/>
                <w:spacing w:val="0"/>
                <w:w w:val="100"/>
                <w:position w:val="0"/>
                <w:sz w:val="18"/>
                <w:szCs w:val="18"/>
              </w:rPr>
              <w:t>100.00%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b/>
                <w:bCs/>
                <w:color w:val="000000"/>
                <w:spacing w:val="0"/>
                <w:w w:val="100"/>
                <w:position w:val="0"/>
                <w:sz w:val="18"/>
                <w:szCs w:val="18"/>
              </w:rPr>
              <w:t>622,059,363.56</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b/>
                <w:bCs/>
                <w:color w:val="000000"/>
                <w:spacing w:val="0"/>
                <w:w w:val="100"/>
                <w:position w:val="0"/>
                <w:sz w:val="18"/>
                <w:szCs w:val="18"/>
              </w:rPr>
              <w:t>100.00%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b/>
                <w:bCs/>
                <w:color w:val="000000"/>
                <w:spacing w:val="0"/>
                <w:w w:val="100"/>
                <w:position w:val="0"/>
                <w:sz w:val="18"/>
                <w:szCs w:val="18"/>
              </w:rPr>
              <w:t>129.81%</w:t>
            </w:r>
          </w:p>
        </w:tc>
      </w:tr>
    </w:tbl>
    <w:p>
      <w:pPr>
        <w:pStyle w:val="Style41"/>
        <w:keepNext w:val="0"/>
        <w:keepLines w:val="0"/>
        <w:widowControl w:val="0"/>
        <w:shd w:val="clear" w:color="auto" w:fill="auto"/>
        <w:bidi w:val="0"/>
        <w:spacing w:before="0" w:after="0" w:line="473" w:lineRule="exact"/>
        <w:ind w:left="0" w:right="0" w:firstLine="0"/>
        <w:jc w:val="left"/>
      </w:pPr>
      <w:r>
        <w:rPr>
          <w:b/>
          <w:bCs/>
          <w:color w:val="000000"/>
          <w:spacing w:val="0"/>
          <w:w w:val="100"/>
          <w:position w:val="0"/>
        </w:rPr>
        <w:t>说明</w:t>
      </w:r>
    </w:p>
    <w:p>
      <w:pPr>
        <w:pStyle w:val="Style41"/>
        <w:keepNext w:val="0"/>
        <w:keepLines w:val="0"/>
        <w:widowControl w:val="0"/>
        <w:shd w:val="clear" w:color="auto" w:fill="auto"/>
        <w:tabs>
          <w:tab w:pos="358" w:val="left"/>
        </w:tabs>
        <w:bidi w:val="0"/>
        <w:spacing w:before="0" w:after="0" w:line="473" w:lineRule="exact"/>
        <w:ind w:left="0" w:right="0" w:firstLine="0"/>
        <w:jc w:val="both"/>
      </w:pPr>
      <w:bookmarkStart w:id="258" w:name="bookmark258"/>
      <w:r>
        <w:rPr>
          <w:rFonts w:ascii="Times New Roman" w:eastAsia="Times New Roman" w:hAnsi="Times New Roman" w:cs="Times New Roman"/>
          <w:color w:val="000000"/>
          <w:spacing w:val="0"/>
          <w:w w:val="100"/>
          <w:position w:val="0"/>
          <w:sz w:val="18"/>
          <w:szCs w:val="18"/>
        </w:rPr>
        <w:t>1</w:t>
      </w:r>
      <w:bookmarkEnd w:id="258"/>
      <w:r>
        <w:rPr>
          <w:color w:val="000000"/>
          <w:spacing w:val="0"/>
          <w:w w:val="100"/>
          <w:position w:val="0"/>
        </w:rPr>
        <w:t>）</w:t>
        <w:tab/>
        <w:t>游戏运营成本较上年同期大幅增长</w:t>
      </w:r>
      <w:r>
        <w:rPr>
          <w:rFonts w:ascii="Times New Roman" w:eastAsia="Times New Roman" w:hAnsi="Times New Roman" w:cs="Times New Roman"/>
          <w:color w:val="000000"/>
          <w:spacing w:val="0"/>
          <w:w w:val="100"/>
          <w:position w:val="0"/>
          <w:sz w:val="18"/>
          <w:szCs w:val="18"/>
        </w:rPr>
        <w:t>931.98%</w:t>
      </w:r>
      <w:r>
        <w:rPr>
          <w:color w:val="000000"/>
          <w:spacing w:val="0"/>
          <w:w w:val="100"/>
          <w:position w:val="0"/>
        </w:rPr>
        <w:t>，主要是适用新收入准则按照总额法确认收入、渠道服务费计入营业成本所 致，导致收入成本同时上涨</w:t>
      </w:r>
      <w:r>
        <w:rPr>
          <w:rFonts w:ascii="Times New Roman" w:eastAsia="Times New Roman" w:hAnsi="Times New Roman" w:cs="Times New Roman"/>
          <w:color w:val="000000"/>
          <w:spacing w:val="0"/>
          <w:w w:val="100"/>
          <w:position w:val="0"/>
          <w:sz w:val="18"/>
          <w:szCs w:val="18"/>
        </w:rPr>
        <w:t>6.95</w:t>
      </w:r>
      <w:r>
        <w:rPr>
          <w:color w:val="000000"/>
          <w:spacing w:val="0"/>
          <w:w w:val="100"/>
          <w:position w:val="0"/>
        </w:rPr>
        <w:t>亿，若将游戏运营成本调整为与上年同期相同的口径，则为下降</w:t>
      </w:r>
      <w:r>
        <w:rPr>
          <w:rFonts w:ascii="Times New Roman" w:eastAsia="Times New Roman" w:hAnsi="Times New Roman" w:cs="Times New Roman"/>
          <w:color w:val="000000"/>
          <w:spacing w:val="0"/>
          <w:w w:val="100"/>
          <w:position w:val="0"/>
          <w:sz w:val="18"/>
          <w:szCs w:val="18"/>
        </w:rPr>
        <w:t>18.73%</w:t>
      </w:r>
      <w:r>
        <w:rPr>
          <w:color w:val="000000"/>
          <w:spacing w:val="0"/>
          <w:w w:val="100"/>
          <w:position w:val="0"/>
        </w:rPr>
        <w:t>,主要是联运游戏分 成成本减少所致。</w:t>
      </w:r>
    </w:p>
    <w:p>
      <w:pPr>
        <w:pStyle w:val="Style41"/>
        <w:keepNext w:val="0"/>
        <w:keepLines w:val="0"/>
        <w:widowControl w:val="0"/>
        <w:shd w:val="clear" w:color="auto" w:fill="auto"/>
        <w:tabs>
          <w:tab w:pos="368" w:val="left"/>
        </w:tabs>
        <w:bidi w:val="0"/>
        <w:spacing w:before="0" w:after="0" w:line="485" w:lineRule="exact"/>
        <w:ind w:left="0" w:right="0" w:firstLine="0"/>
        <w:jc w:val="both"/>
      </w:pPr>
      <w:bookmarkStart w:id="259" w:name="bookmark259"/>
      <w:r>
        <w:rPr>
          <w:rFonts w:ascii="Times New Roman" w:eastAsia="Times New Roman" w:hAnsi="Times New Roman" w:cs="Times New Roman"/>
          <w:color w:val="000000"/>
          <w:spacing w:val="0"/>
          <w:w w:val="100"/>
          <w:position w:val="0"/>
          <w:sz w:val="18"/>
          <w:szCs w:val="18"/>
        </w:rPr>
        <w:t>2</w:t>
      </w:r>
      <w:bookmarkEnd w:id="259"/>
      <w:r>
        <w:rPr>
          <w:color w:val="000000"/>
          <w:spacing w:val="0"/>
          <w:w w:val="100"/>
          <w:position w:val="0"/>
        </w:rPr>
        <w:t>）</w:t>
        <w:tab/>
        <w:t>人工成本较上年同期大幅上涨</w:t>
      </w:r>
      <w:r>
        <w:rPr>
          <w:rFonts w:ascii="Times New Roman" w:eastAsia="Times New Roman" w:hAnsi="Times New Roman" w:cs="Times New Roman"/>
          <w:color w:val="000000"/>
          <w:spacing w:val="0"/>
          <w:w w:val="100"/>
          <w:position w:val="0"/>
          <w:sz w:val="18"/>
          <w:szCs w:val="18"/>
        </w:rPr>
        <w:t>188.76%</w:t>
      </w:r>
      <w:r>
        <w:rPr>
          <w:color w:val="000000"/>
          <w:spacing w:val="0"/>
          <w:w w:val="100"/>
          <w:position w:val="0"/>
        </w:rPr>
        <w:t>,主要是业务收入规模增长及</w:t>
      </w:r>
      <w:r>
        <w:rPr>
          <w:rFonts w:ascii="Times New Roman" w:eastAsia="Times New Roman" w:hAnsi="Times New Roman" w:cs="Times New Roman"/>
          <w:color w:val="000000"/>
          <w:spacing w:val="0"/>
          <w:w w:val="100"/>
          <w:position w:val="0"/>
          <w:sz w:val="18"/>
          <w:szCs w:val="18"/>
        </w:rPr>
        <w:t>AI/ICT</w:t>
      </w:r>
      <w:r>
        <w:rPr>
          <w:color w:val="000000"/>
          <w:spacing w:val="0"/>
          <w:w w:val="100"/>
          <w:position w:val="0"/>
        </w:rPr>
        <w:t>运营管理业务板块的实施人员费用计入项目成 本所致</w:t>
      </w:r>
      <w:r>
        <w:rPr>
          <w:color w:val="000000"/>
          <w:spacing w:val="0"/>
          <w:w w:val="100"/>
          <w:position w:val="0"/>
        </w:rPr>
        <w:t>-</w:t>
      </w:r>
    </w:p>
    <w:p>
      <w:pPr>
        <w:pStyle w:val="Style41"/>
        <w:keepNext w:val="0"/>
        <w:keepLines w:val="0"/>
        <w:widowControl w:val="0"/>
        <w:shd w:val="clear" w:color="auto" w:fill="auto"/>
        <w:tabs>
          <w:tab w:pos="368" w:val="left"/>
        </w:tabs>
        <w:bidi w:val="0"/>
        <w:spacing w:before="0" w:after="220" w:line="473" w:lineRule="exact"/>
        <w:ind w:left="0" w:right="0" w:firstLine="0"/>
        <w:jc w:val="both"/>
      </w:pPr>
      <w:bookmarkStart w:id="260" w:name="bookmark260"/>
      <w:r>
        <w:rPr>
          <w:rFonts w:ascii="Times New Roman" w:eastAsia="Times New Roman" w:hAnsi="Times New Roman" w:cs="Times New Roman"/>
          <w:color w:val="000000"/>
          <w:spacing w:val="0"/>
          <w:w w:val="100"/>
          <w:position w:val="0"/>
          <w:sz w:val="18"/>
          <w:szCs w:val="18"/>
        </w:rPr>
        <w:t>3</w:t>
      </w:r>
      <w:bookmarkEnd w:id="260"/>
      <w:r>
        <w:rPr>
          <w:color w:val="000000"/>
          <w:spacing w:val="0"/>
          <w:w w:val="100"/>
          <w:position w:val="0"/>
        </w:rPr>
        <w:t>）</w:t>
        <w:tab/>
        <w:t>材料成本较上年同期上涨</w:t>
      </w:r>
      <w:r>
        <w:rPr>
          <w:rFonts w:ascii="Times New Roman" w:eastAsia="Times New Roman" w:hAnsi="Times New Roman" w:cs="Times New Roman"/>
          <w:color w:val="000000"/>
          <w:spacing w:val="0"/>
          <w:w w:val="100"/>
          <w:position w:val="0"/>
          <w:sz w:val="18"/>
          <w:szCs w:val="18"/>
        </w:rPr>
        <w:t>83.19%</w:t>
      </w:r>
      <w:r>
        <w:rPr>
          <w:color w:val="000000"/>
          <w:spacing w:val="0"/>
          <w:w w:val="100"/>
          <w:position w:val="0"/>
        </w:rPr>
        <w:t>，主要是收入上涨所致</w:t>
      </w:r>
      <w:r>
        <w:rPr>
          <w:color w:val="000000"/>
          <w:spacing w:val="0"/>
          <w:w w:val="100"/>
          <w:position w:val="0"/>
        </w:rPr>
        <w:t>-</w:t>
      </w:r>
    </w:p>
    <w:p>
      <w:pPr>
        <w:pStyle w:val="Style58"/>
        <w:keepNext/>
        <w:keepLines/>
        <w:widowControl w:val="0"/>
        <w:shd w:val="clear" w:color="auto" w:fill="auto"/>
        <w:tabs>
          <w:tab w:pos="493" w:val="left"/>
        </w:tabs>
        <w:bidi w:val="0"/>
        <w:spacing w:before="0" w:after="0" w:line="240" w:lineRule="auto"/>
        <w:ind w:left="0" w:right="0" w:firstLine="0"/>
        <w:jc w:val="both"/>
        <w:rPr>
          <w:sz w:val="20"/>
          <w:szCs w:val="20"/>
        </w:rPr>
      </w:pPr>
      <w:bookmarkStart w:id="261" w:name="bookmark261"/>
      <w:bookmarkStart w:id="262" w:name="bookmark262"/>
      <w:bookmarkStart w:id="263" w:name="bookmark263"/>
      <w:bookmarkStart w:id="264" w:name="bookmark264"/>
      <w:r>
        <w:rPr>
          <w:b/>
          <w:bCs/>
          <w:color w:val="000000"/>
          <w:spacing w:val="0"/>
          <w:w w:val="100"/>
          <w:position w:val="0"/>
          <w:sz w:val="20"/>
          <w:szCs w:val="20"/>
        </w:rPr>
        <w:t>（</w:t>
      </w:r>
      <w:bookmarkEnd w:id="263"/>
      <w:r>
        <w:rPr>
          <w:b/>
          <w:bCs/>
          <w:color w:val="000000"/>
          <w:spacing w:val="0"/>
          <w:w w:val="100"/>
          <w:position w:val="0"/>
          <w:sz w:val="20"/>
          <w:szCs w:val="20"/>
        </w:rPr>
        <w:t>6）</w:t>
        <w:tab/>
        <w:t>报告期内合并范围是否发生变动</w:t>
      </w:r>
      <w:bookmarkEnd w:id="261"/>
      <w:bookmarkEnd w:id="262"/>
      <w:bookmarkEnd w:id="264"/>
    </w:p>
    <w:p>
      <w:pPr>
        <w:pStyle w:val="Style41"/>
        <w:keepNext w:val="0"/>
        <w:keepLines w:val="0"/>
        <w:widowControl w:val="0"/>
        <w:shd w:val="clear" w:color="auto" w:fill="auto"/>
        <w:bidi w:val="0"/>
        <w:spacing w:before="0" w:after="0" w:line="473" w:lineRule="exact"/>
        <w:ind w:left="0" w:right="0" w:firstLine="0"/>
        <w:jc w:val="both"/>
      </w:pPr>
      <w:r>
        <w:rPr>
          <w:b/>
          <w:bCs/>
          <w:i/>
          <w:iCs/>
          <w:color w:val="000000"/>
          <w:spacing w:val="0"/>
          <w:w w:val="100"/>
          <w:position w:val="0"/>
        </w:rPr>
        <w:t>V</w:t>
      </w:r>
      <w:r>
        <w:rPr>
          <w:b/>
          <w:bCs/>
          <w:color w:val="000000"/>
          <w:spacing w:val="0"/>
          <w:w w:val="100"/>
          <w:position w:val="0"/>
        </w:rPr>
        <w:t>是</w:t>
      </w:r>
      <w:r>
        <w:rPr>
          <w:color w:val="000000"/>
          <w:spacing w:val="0"/>
          <w:w w:val="100"/>
          <w:position w:val="0"/>
          <w:sz w:val="18"/>
          <w:szCs w:val="18"/>
        </w:rPr>
        <w:t>口</w:t>
      </w:r>
      <w:r>
        <w:rPr>
          <w:color w:val="000000"/>
          <w:spacing w:val="0"/>
          <w:w w:val="100"/>
          <w:position w:val="0"/>
        </w:rPr>
        <w:t>否</w:t>
      </w:r>
    </w:p>
    <w:p>
      <w:pPr>
        <w:pStyle w:val="Style41"/>
        <w:keepNext w:val="0"/>
        <w:keepLines w:val="0"/>
        <w:widowControl w:val="0"/>
        <w:shd w:val="clear" w:color="auto" w:fill="auto"/>
        <w:bidi w:val="0"/>
        <w:spacing w:before="0" w:after="380" w:line="473" w:lineRule="exact"/>
        <w:ind w:left="0" w:right="0" w:firstLine="0"/>
        <w:jc w:val="both"/>
      </w:pPr>
      <w:r>
        <w:rPr>
          <w:color w:val="000000"/>
          <w:spacing w:val="0"/>
          <w:w w:val="100"/>
          <w:position w:val="0"/>
        </w:rPr>
        <w:t>本报告期合并范围的变动主要为新设、处置、清算子公司，具体详见</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第十二节财务报告</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中</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八、合并范围的变更</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p>
      <w:pPr>
        <w:pStyle w:val="Style58"/>
        <w:keepNext/>
        <w:keepLines/>
        <w:widowControl w:val="0"/>
        <w:shd w:val="clear" w:color="auto" w:fill="auto"/>
        <w:tabs>
          <w:tab w:pos="493" w:val="left"/>
        </w:tabs>
        <w:bidi w:val="0"/>
        <w:spacing w:before="0" w:after="480" w:line="240" w:lineRule="auto"/>
        <w:ind w:left="0" w:right="0" w:firstLine="0"/>
        <w:jc w:val="both"/>
        <w:rPr>
          <w:sz w:val="20"/>
          <w:szCs w:val="20"/>
        </w:rPr>
      </w:pPr>
      <w:bookmarkStart w:id="265" w:name="bookmark265"/>
      <w:bookmarkStart w:id="266" w:name="bookmark266"/>
      <w:bookmarkStart w:id="267" w:name="bookmark267"/>
      <w:bookmarkStart w:id="268" w:name="bookmark268"/>
      <w:r>
        <w:rPr>
          <w:b/>
          <w:bCs/>
          <w:color w:val="000000"/>
          <w:spacing w:val="0"/>
          <w:w w:val="100"/>
          <w:position w:val="0"/>
          <w:sz w:val="20"/>
          <w:szCs w:val="20"/>
        </w:rPr>
        <w:t>（</w:t>
      </w:r>
      <w:bookmarkEnd w:id="267"/>
      <w:r>
        <w:rPr>
          <w:b/>
          <w:bCs/>
          <w:color w:val="000000"/>
          <w:spacing w:val="0"/>
          <w:w w:val="100"/>
          <w:position w:val="0"/>
          <w:sz w:val="20"/>
          <w:szCs w:val="20"/>
        </w:rPr>
        <w:t>7）</w:t>
        <w:tab/>
        <w:t>公司报告期内业务、产品或服务发生重大变化或调整有关情况</w:t>
      </w:r>
      <w:bookmarkEnd w:id="265"/>
      <w:bookmarkEnd w:id="266"/>
      <w:bookmarkEnd w:id="268"/>
    </w:p>
    <w:p>
      <w:pPr>
        <w:pStyle w:val="Style41"/>
        <w:keepNext w:val="0"/>
        <w:keepLines w:val="0"/>
        <w:widowControl w:val="0"/>
        <w:shd w:val="clear" w:color="auto" w:fill="auto"/>
        <w:bidi w:val="0"/>
        <w:spacing w:before="0" w:after="220" w:line="240" w:lineRule="auto"/>
        <w:ind w:left="0" w:right="0" w:firstLine="0"/>
        <w:jc w:val="both"/>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b/>
          <w:bCs/>
          <w:color w:val="000000"/>
          <w:spacing w:val="0"/>
          <w:w w:val="100"/>
          <w:position w:val="0"/>
          <w:sz w:val="18"/>
          <w:szCs w:val="18"/>
        </w:rPr>
        <w:t>V</w:t>
      </w:r>
      <w:r>
        <w:rPr>
          <w:b/>
          <w:bCs/>
          <w:color w:val="000000"/>
          <w:spacing w:val="0"/>
          <w:w w:val="100"/>
          <w:position w:val="0"/>
        </w:rPr>
        <w:t>不适用</w:t>
      </w:r>
      <w:r>
        <w:br w:type="page"/>
      </w:r>
    </w:p>
    <w:p>
      <w:pPr>
        <w:pStyle w:val="Style58"/>
        <w:keepNext/>
        <w:keepLines/>
        <w:widowControl w:val="0"/>
        <w:shd w:val="clear" w:color="auto" w:fill="auto"/>
        <w:bidi w:val="0"/>
        <w:spacing w:before="0" w:after="260" w:line="240" w:lineRule="auto"/>
        <w:ind w:left="0" w:right="0" w:firstLine="0"/>
        <w:jc w:val="left"/>
        <w:rPr>
          <w:sz w:val="20"/>
          <w:szCs w:val="20"/>
        </w:rPr>
      </w:pPr>
      <w:bookmarkStart w:id="269" w:name="bookmark269"/>
      <w:bookmarkStart w:id="270" w:name="bookmark270"/>
      <w:bookmarkStart w:id="271" w:name="bookmark271"/>
      <w:bookmarkStart w:id="272" w:name="bookmark272"/>
      <w:r>
        <w:rPr>
          <w:b/>
          <w:bCs/>
          <w:color w:val="000000"/>
          <w:spacing w:val="0"/>
          <w:w w:val="100"/>
          <w:position w:val="0"/>
          <w:sz w:val="20"/>
          <w:szCs w:val="20"/>
        </w:rPr>
        <w:t>（</w:t>
      </w:r>
      <w:bookmarkEnd w:id="271"/>
      <w:r>
        <w:rPr>
          <w:b/>
          <w:bCs/>
          <w:color w:val="000000"/>
          <w:spacing w:val="0"/>
          <w:w w:val="100"/>
          <w:position w:val="0"/>
          <w:sz w:val="20"/>
          <w:szCs w:val="20"/>
        </w:rPr>
        <w:t>8）主要销售客户和主要供应商情况</w:t>
      </w:r>
      <w:bookmarkEnd w:id="269"/>
      <w:bookmarkEnd w:id="270"/>
      <w:bookmarkEnd w:id="272"/>
    </w:p>
    <w:p>
      <w:pPr>
        <w:pStyle w:val="Style20"/>
        <w:keepNext w:val="0"/>
        <w:keepLines w:val="0"/>
        <w:widowControl w:val="0"/>
        <w:shd w:val="clear" w:color="auto" w:fill="auto"/>
        <w:bidi w:val="0"/>
        <w:spacing w:before="0" w:after="0" w:line="240" w:lineRule="auto"/>
        <w:ind w:left="96" w:right="0" w:firstLine="0"/>
        <w:jc w:val="left"/>
        <w:rPr>
          <w:sz w:val="17"/>
          <w:szCs w:val="17"/>
        </w:rPr>
      </w:pPr>
      <w:r>
        <w:rPr>
          <w:rFonts w:ascii="SimSun" w:eastAsia="SimSun" w:hAnsi="SimSun" w:cs="SimSun"/>
          <w:b/>
          <w:bCs/>
          <w:color w:val="000000"/>
          <w:spacing w:val="0"/>
          <w:w w:val="100"/>
          <w:position w:val="0"/>
          <w:sz w:val="17"/>
          <w:szCs w:val="17"/>
        </w:rPr>
        <w:t>公司主要销售客户情况</w:t>
      </w:r>
    </w:p>
    <w:tbl>
      <w:tblPr>
        <w:tblOverlap w:val="never"/>
        <w:jc w:val="center"/>
        <w:tblLayout w:type="fixed"/>
      </w:tblPr>
      <w:tblGrid>
        <w:gridCol w:w="4680"/>
        <w:gridCol w:w="5189"/>
      </w:tblGrid>
      <w:tr>
        <w:trPr>
          <w:trHeight w:val="40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前五名客户合计销售金额（元）</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3,000,940,111.12</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前五名客户合计销售金额占年度销售总额比例</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83.47%</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前五名客户销售额中关联方销售额占年度销售总额比例</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r>
    </w:tbl>
    <w:p>
      <w:pPr>
        <w:widowControl w:val="0"/>
        <w:spacing w:after="119" w:line="1" w:lineRule="exact"/>
      </w:pPr>
    </w:p>
    <w:p>
      <w:pPr>
        <w:pStyle w:val="Style20"/>
        <w:keepNext w:val="0"/>
        <w:keepLines w:val="0"/>
        <w:widowControl w:val="0"/>
        <w:shd w:val="clear" w:color="auto" w:fill="auto"/>
        <w:bidi w:val="0"/>
        <w:spacing w:before="0" w:after="0" w:line="240" w:lineRule="auto"/>
        <w:ind w:left="14" w:right="0" w:firstLine="0"/>
        <w:jc w:val="left"/>
        <w:rPr>
          <w:sz w:val="17"/>
          <w:szCs w:val="17"/>
        </w:rPr>
      </w:pPr>
      <w:r>
        <w:rPr>
          <w:rFonts w:ascii="SimSun" w:eastAsia="SimSun" w:hAnsi="SimSun" w:cs="SimSun"/>
          <w:b/>
          <w:bCs/>
          <w:color w:val="000000"/>
          <w:spacing w:val="0"/>
          <w:w w:val="100"/>
          <w:position w:val="0"/>
          <w:sz w:val="17"/>
          <w:szCs w:val="17"/>
        </w:rPr>
        <w:t>公司前</w:t>
      </w:r>
      <w:r>
        <w:rPr>
          <w:rFonts w:ascii="Times New Roman" w:eastAsia="Times New Roman" w:hAnsi="Times New Roman" w:cs="Times New Roman"/>
          <w:b/>
          <w:bCs/>
          <w:color w:val="000000"/>
          <w:spacing w:val="0"/>
          <w:w w:val="100"/>
          <w:position w:val="0"/>
          <w:sz w:val="18"/>
          <w:szCs w:val="18"/>
        </w:rPr>
        <w:t>5</w:t>
      </w:r>
      <w:r>
        <w:rPr>
          <w:rFonts w:ascii="SimSun" w:eastAsia="SimSun" w:hAnsi="SimSun" w:cs="SimSun"/>
          <w:b/>
          <w:bCs/>
          <w:color w:val="000000"/>
          <w:spacing w:val="0"/>
          <w:w w:val="100"/>
          <w:position w:val="0"/>
          <w:sz w:val="17"/>
          <w:szCs w:val="17"/>
        </w:rPr>
        <w:t>大客户资料</w:t>
      </w:r>
    </w:p>
    <w:tbl>
      <w:tblPr>
        <w:tblOverlap w:val="never"/>
        <w:jc w:val="center"/>
        <w:tblLayout w:type="fixed"/>
      </w:tblPr>
      <w:tblGrid>
        <w:gridCol w:w="821"/>
        <w:gridCol w:w="3341"/>
        <w:gridCol w:w="2352"/>
        <w:gridCol w:w="3197"/>
      </w:tblGrid>
      <w:tr>
        <w:trPr>
          <w:trHeight w:val="40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序号</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客户名称</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销售额（元）</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占年度销售总额比例</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客户一</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60" w:right="0" w:firstLine="0"/>
              <w:jc w:val="left"/>
              <w:rPr>
                <w:sz w:val="18"/>
                <w:szCs w:val="18"/>
              </w:rPr>
            </w:pPr>
            <w:r>
              <w:rPr>
                <w:rFonts w:ascii="Times New Roman" w:eastAsia="Times New Roman" w:hAnsi="Times New Roman" w:cs="Times New Roman"/>
                <w:color w:val="000000"/>
                <w:spacing w:val="0"/>
                <w:w w:val="100"/>
                <w:position w:val="0"/>
                <w:sz w:val="18"/>
                <w:szCs w:val="18"/>
              </w:rPr>
              <w:t>1,233,577,516.09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34.31%</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客户二</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60" w:right="0" w:firstLine="0"/>
              <w:jc w:val="left"/>
              <w:rPr>
                <w:sz w:val="18"/>
                <w:szCs w:val="18"/>
              </w:rPr>
            </w:pPr>
            <w:r>
              <w:rPr>
                <w:rFonts w:ascii="Times New Roman" w:eastAsia="Times New Roman" w:hAnsi="Times New Roman" w:cs="Times New Roman"/>
                <w:color w:val="000000"/>
                <w:spacing w:val="0"/>
                <w:w w:val="100"/>
                <w:position w:val="0"/>
                <w:sz w:val="18"/>
                <w:szCs w:val="18"/>
              </w:rPr>
              <w:t>1,060,305,983.10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29.49%</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客户三</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00" w:right="0" w:firstLine="0"/>
              <w:jc w:val="left"/>
              <w:rPr>
                <w:sz w:val="18"/>
                <w:szCs w:val="18"/>
              </w:rPr>
            </w:pPr>
            <w:r>
              <w:rPr>
                <w:rFonts w:ascii="Times New Roman" w:eastAsia="Times New Roman" w:hAnsi="Times New Roman" w:cs="Times New Roman"/>
                <w:color w:val="000000"/>
                <w:spacing w:val="0"/>
                <w:w w:val="100"/>
                <w:position w:val="0"/>
                <w:sz w:val="18"/>
                <w:szCs w:val="18"/>
              </w:rPr>
              <w:t>543,215,267.42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15.11%</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客户四</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80" w:right="0" w:firstLine="0"/>
              <w:jc w:val="both"/>
              <w:rPr>
                <w:sz w:val="18"/>
                <w:szCs w:val="18"/>
              </w:rPr>
            </w:pPr>
            <w:r>
              <w:rPr>
                <w:rFonts w:ascii="Times New Roman" w:eastAsia="Times New Roman" w:hAnsi="Times New Roman" w:cs="Times New Roman"/>
                <w:color w:val="000000"/>
                <w:spacing w:val="0"/>
                <w:w w:val="100"/>
                <w:position w:val="0"/>
                <w:sz w:val="18"/>
                <w:szCs w:val="18"/>
              </w:rPr>
              <w:t>87,360,761.88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680" w:right="0" w:firstLine="0"/>
              <w:jc w:val="both"/>
              <w:rPr>
                <w:sz w:val="18"/>
                <w:szCs w:val="18"/>
              </w:rPr>
            </w:pPr>
            <w:r>
              <w:rPr>
                <w:rFonts w:ascii="Times New Roman" w:eastAsia="Times New Roman" w:hAnsi="Times New Roman" w:cs="Times New Roman"/>
                <w:color w:val="000000"/>
                <w:spacing w:val="0"/>
                <w:w w:val="100"/>
                <w:position w:val="0"/>
                <w:sz w:val="18"/>
                <w:szCs w:val="18"/>
              </w:rPr>
              <w:t>2.43%</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客户五</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80" w:right="0" w:firstLine="0"/>
              <w:jc w:val="both"/>
              <w:rPr>
                <w:sz w:val="18"/>
                <w:szCs w:val="18"/>
              </w:rPr>
            </w:pPr>
            <w:r>
              <w:rPr>
                <w:rFonts w:ascii="Times New Roman" w:eastAsia="Times New Roman" w:hAnsi="Times New Roman" w:cs="Times New Roman"/>
                <w:color w:val="000000"/>
                <w:spacing w:val="0"/>
                <w:w w:val="100"/>
                <w:position w:val="0"/>
                <w:sz w:val="18"/>
                <w:szCs w:val="18"/>
              </w:rPr>
              <w:t>76,480,582.63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680" w:right="0" w:firstLine="0"/>
              <w:jc w:val="both"/>
              <w:rPr>
                <w:sz w:val="18"/>
                <w:szCs w:val="18"/>
              </w:rPr>
            </w:pPr>
            <w:r>
              <w:rPr>
                <w:rFonts w:ascii="Times New Roman" w:eastAsia="Times New Roman" w:hAnsi="Times New Roman" w:cs="Times New Roman"/>
                <w:color w:val="000000"/>
                <w:spacing w:val="0"/>
                <w:w w:val="100"/>
                <w:position w:val="0"/>
                <w:sz w:val="18"/>
                <w:szCs w:val="18"/>
              </w:rPr>
              <w:t>2.13%</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60" w:right="0" w:firstLine="0"/>
              <w:jc w:val="both"/>
              <w:rPr>
                <w:sz w:val="18"/>
                <w:szCs w:val="18"/>
              </w:rPr>
            </w:pPr>
            <w:r>
              <w:rPr>
                <w:rFonts w:ascii="Times New Roman" w:eastAsia="Times New Roman" w:hAnsi="Times New Roman" w:cs="Times New Roman"/>
                <w:color w:val="000000"/>
                <w:spacing w:val="0"/>
                <w:w w:val="100"/>
                <w:position w:val="0"/>
                <w:sz w:val="18"/>
                <w:szCs w:val="18"/>
              </w:rPr>
              <w:t>3,000,940,111.12</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83.47%</w:t>
            </w:r>
          </w:p>
        </w:tc>
      </w:tr>
    </w:tbl>
    <w:p>
      <w:pPr>
        <w:widowControl w:val="0"/>
        <w:spacing w:after="119" w:line="1" w:lineRule="exact"/>
      </w:pPr>
    </w:p>
    <w:p>
      <w:pPr>
        <w:pStyle w:val="Style41"/>
        <w:keepNext w:val="0"/>
        <w:keepLines w:val="0"/>
        <w:widowControl w:val="0"/>
        <w:shd w:val="clear" w:color="auto" w:fill="auto"/>
        <w:bidi w:val="0"/>
        <w:spacing w:before="0" w:after="260" w:line="240" w:lineRule="auto"/>
        <w:ind w:left="0" w:right="0" w:firstLine="0"/>
        <w:jc w:val="left"/>
      </w:pPr>
      <w:r>
        <w:rPr>
          <w:color w:val="000000"/>
          <w:spacing w:val="0"/>
          <w:w w:val="100"/>
          <w:position w:val="0"/>
        </w:rPr>
        <w:t>注：属于同一实际控制人控制的客户合并列示，受同一国有资产管理机构实际控制的除外。</w:t>
      </w:r>
    </w:p>
    <w:p>
      <w:pPr>
        <w:pStyle w:val="Style41"/>
        <w:keepNext w:val="0"/>
        <w:keepLines w:val="0"/>
        <w:widowControl w:val="0"/>
        <w:shd w:val="clear" w:color="auto" w:fill="auto"/>
        <w:bidi w:val="0"/>
        <w:spacing w:before="0" w:after="260" w:line="240" w:lineRule="auto"/>
        <w:ind w:left="0" w:right="0" w:firstLine="0"/>
        <w:jc w:val="left"/>
      </w:pPr>
      <w:r>
        <w:rPr>
          <w:b/>
          <w:bCs/>
          <w:color w:val="000000"/>
          <w:spacing w:val="0"/>
          <w:w w:val="100"/>
          <w:position w:val="0"/>
        </w:rPr>
        <w:t>主要客户其他情况说明</w:t>
      </w:r>
    </w:p>
    <w:p>
      <w:pPr>
        <w:pStyle w:val="Style41"/>
        <w:keepNext w:val="0"/>
        <w:keepLines w:val="0"/>
        <w:widowControl w:val="0"/>
        <w:shd w:val="clear" w:color="auto" w:fill="auto"/>
        <w:bidi w:val="0"/>
        <w:spacing w:before="0" w:after="26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b/>
          <w:bCs/>
          <w:color w:val="000000"/>
          <w:spacing w:val="0"/>
          <w:w w:val="100"/>
          <w:position w:val="0"/>
          <w:sz w:val="18"/>
          <w:szCs w:val="18"/>
        </w:rPr>
        <w:t>V</w:t>
      </w:r>
      <w:r>
        <w:rPr>
          <w:b/>
          <w:bCs/>
          <w:color w:val="000000"/>
          <w:spacing w:val="0"/>
          <w:w w:val="100"/>
          <w:position w:val="0"/>
        </w:rPr>
        <w:t>不适用</w:t>
      </w:r>
    </w:p>
    <w:p>
      <w:pPr>
        <w:pStyle w:val="Style20"/>
        <w:keepNext w:val="0"/>
        <w:keepLines w:val="0"/>
        <w:widowControl w:val="0"/>
        <w:shd w:val="clear" w:color="auto" w:fill="auto"/>
        <w:bidi w:val="0"/>
        <w:spacing w:before="0" w:after="0" w:line="240" w:lineRule="auto"/>
        <w:ind w:left="96" w:right="0" w:firstLine="0"/>
        <w:jc w:val="left"/>
        <w:rPr>
          <w:sz w:val="17"/>
          <w:szCs w:val="17"/>
        </w:rPr>
      </w:pPr>
      <w:r>
        <w:rPr>
          <w:rFonts w:ascii="SimSun" w:eastAsia="SimSun" w:hAnsi="SimSun" w:cs="SimSun"/>
          <w:b/>
          <w:bCs/>
          <w:color w:val="000000"/>
          <w:spacing w:val="0"/>
          <w:w w:val="100"/>
          <w:position w:val="0"/>
          <w:sz w:val="17"/>
          <w:szCs w:val="17"/>
        </w:rPr>
        <w:t>公司主要供应商情况</w:t>
      </w:r>
    </w:p>
    <w:tbl>
      <w:tblPr>
        <w:tblOverlap w:val="never"/>
        <w:jc w:val="center"/>
        <w:tblLayout w:type="fixed"/>
      </w:tblPr>
      <w:tblGrid>
        <w:gridCol w:w="4824"/>
        <w:gridCol w:w="5045"/>
      </w:tblGrid>
      <w:tr>
        <w:trPr>
          <w:trHeight w:val="40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前五名供应商合计采购金额（元）</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773,013,102.40</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前五名供应商合计采购金额占年度采购总额比例</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57.78%</w:t>
            </w:r>
          </w:p>
        </w:tc>
      </w:tr>
      <w:tr>
        <w:trPr>
          <w:trHeight w:val="408"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前五名供应商采购额中关联方采购额占年度采购总额比例</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r>
    </w:tbl>
    <w:p>
      <w:pPr>
        <w:widowControl w:val="0"/>
        <w:spacing w:after="119" w:line="1" w:lineRule="exact"/>
      </w:pPr>
    </w:p>
    <w:p>
      <w:pPr>
        <w:pStyle w:val="Style20"/>
        <w:keepNext w:val="0"/>
        <w:keepLines w:val="0"/>
        <w:widowControl w:val="0"/>
        <w:shd w:val="clear" w:color="auto" w:fill="auto"/>
        <w:bidi w:val="0"/>
        <w:spacing w:before="0" w:after="0" w:line="240" w:lineRule="auto"/>
        <w:ind w:left="14" w:right="0" w:firstLine="0"/>
        <w:jc w:val="left"/>
        <w:rPr>
          <w:sz w:val="17"/>
          <w:szCs w:val="17"/>
        </w:rPr>
      </w:pPr>
      <w:r>
        <w:rPr>
          <w:rFonts w:ascii="SimSun" w:eastAsia="SimSun" w:hAnsi="SimSun" w:cs="SimSun"/>
          <w:b/>
          <w:bCs/>
          <w:color w:val="000000"/>
          <w:spacing w:val="0"/>
          <w:w w:val="100"/>
          <w:position w:val="0"/>
          <w:sz w:val="17"/>
          <w:szCs w:val="17"/>
        </w:rPr>
        <w:t>公司前</w:t>
      </w:r>
      <w:r>
        <w:rPr>
          <w:rFonts w:ascii="Times New Roman" w:eastAsia="Times New Roman" w:hAnsi="Times New Roman" w:cs="Times New Roman"/>
          <w:b/>
          <w:bCs/>
          <w:color w:val="000000"/>
          <w:spacing w:val="0"/>
          <w:w w:val="100"/>
          <w:position w:val="0"/>
          <w:sz w:val="18"/>
          <w:szCs w:val="18"/>
        </w:rPr>
        <w:t>5</w:t>
      </w:r>
      <w:r>
        <w:rPr>
          <w:rFonts w:ascii="SimSun" w:eastAsia="SimSun" w:hAnsi="SimSun" w:cs="SimSun"/>
          <w:b/>
          <w:bCs/>
          <w:color w:val="000000"/>
          <w:spacing w:val="0"/>
          <w:w w:val="100"/>
          <w:position w:val="0"/>
          <w:sz w:val="17"/>
          <w:szCs w:val="17"/>
        </w:rPr>
        <w:t>名供应商资料</w:t>
      </w:r>
    </w:p>
    <w:tbl>
      <w:tblPr>
        <w:tblOverlap w:val="never"/>
        <w:jc w:val="center"/>
        <w:tblLayout w:type="fixed"/>
      </w:tblPr>
      <w:tblGrid>
        <w:gridCol w:w="950"/>
        <w:gridCol w:w="3211"/>
        <w:gridCol w:w="2352"/>
        <w:gridCol w:w="3197"/>
      </w:tblGrid>
      <w:tr>
        <w:trPr>
          <w:trHeight w:val="40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序号</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供应商名称</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采购额（元）</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占年度采购总额比例</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420"/>
              <w:jc w:val="left"/>
              <w:rPr>
                <w:sz w:val="18"/>
                <w:szCs w:val="18"/>
              </w:rPr>
            </w:pPr>
            <w:r>
              <w:rPr>
                <w:rFonts w:ascii="Times New Roman" w:eastAsia="Times New Roman" w:hAnsi="Times New Roman" w:cs="Times New Roman"/>
                <w:color w:val="000000"/>
                <w:spacing w:val="0"/>
                <w:w w:val="100"/>
                <w:position w:val="0"/>
                <w:sz w:val="18"/>
                <w:szCs w:val="18"/>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供应商一</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00" w:right="0" w:firstLine="0"/>
              <w:jc w:val="left"/>
              <w:rPr>
                <w:sz w:val="18"/>
                <w:szCs w:val="18"/>
              </w:rPr>
            </w:pPr>
            <w:r>
              <w:rPr>
                <w:rFonts w:ascii="Times New Roman" w:eastAsia="Times New Roman" w:hAnsi="Times New Roman" w:cs="Times New Roman"/>
                <w:color w:val="000000"/>
                <w:spacing w:val="0"/>
                <w:w w:val="100"/>
                <w:position w:val="0"/>
                <w:sz w:val="18"/>
                <w:szCs w:val="18"/>
              </w:rPr>
              <w:t>369,372,427.96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27.61%</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420"/>
              <w:jc w:val="left"/>
              <w:rPr>
                <w:sz w:val="18"/>
                <w:szCs w:val="18"/>
              </w:rPr>
            </w:pPr>
            <w:r>
              <w:rPr>
                <w:rFonts w:ascii="Times New Roman" w:eastAsia="Times New Roman" w:hAnsi="Times New Roman" w:cs="Times New Roman"/>
                <w:color w:val="000000"/>
                <w:spacing w:val="0"/>
                <w:w w:val="100"/>
                <w:position w:val="0"/>
                <w:sz w:val="18"/>
                <w:szCs w:val="18"/>
              </w:rPr>
              <w:t>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供应商二</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00" w:right="0" w:firstLine="0"/>
              <w:jc w:val="left"/>
              <w:rPr>
                <w:sz w:val="18"/>
                <w:szCs w:val="18"/>
              </w:rPr>
            </w:pPr>
            <w:r>
              <w:rPr>
                <w:rFonts w:ascii="Times New Roman" w:eastAsia="Times New Roman" w:hAnsi="Times New Roman" w:cs="Times New Roman"/>
                <w:color w:val="000000"/>
                <w:spacing w:val="0"/>
                <w:w w:val="100"/>
                <w:position w:val="0"/>
                <w:sz w:val="18"/>
                <w:szCs w:val="18"/>
              </w:rPr>
              <w:t>314,275,534.60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23.49%</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420"/>
              <w:jc w:val="left"/>
              <w:rPr>
                <w:sz w:val="18"/>
                <w:szCs w:val="18"/>
              </w:rPr>
            </w:pPr>
            <w:r>
              <w:rPr>
                <w:rFonts w:ascii="Times New Roman" w:eastAsia="Times New Roman" w:hAnsi="Times New Roman" w:cs="Times New Roman"/>
                <w:color w:val="000000"/>
                <w:spacing w:val="0"/>
                <w:w w:val="100"/>
                <w:position w:val="0"/>
                <w:sz w:val="18"/>
                <w:szCs w:val="18"/>
              </w:rPr>
              <w:t>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供应商三</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80" w:right="0" w:firstLine="0"/>
              <w:jc w:val="both"/>
              <w:rPr>
                <w:sz w:val="18"/>
                <w:szCs w:val="18"/>
              </w:rPr>
            </w:pPr>
            <w:r>
              <w:rPr>
                <w:rFonts w:ascii="Times New Roman" w:eastAsia="Times New Roman" w:hAnsi="Times New Roman" w:cs="Times New Roman"/>
                <w:color w:val="000000"/>
                <w:spacing w:val="0"/>
                <w:w w:val="100"/>
                <w:position w:val="0"/>
                <w:sz w:val="18"/>
                <w:szCs w:val="18"/>
              </w:rPr>
              <w:t>49,091,682.14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680" w:right="0" w:firstLine="0"/>
              <w:jc w:val="both"/>
              <w:rPr>
                <w:sz w:val="18"/>
                <w:szCs w:val="18"/>
              </w:rPr>
            </w:pPr>
            <w:r>
              <w:rPr>
                <w:rFonts w:ascii="Times New Roman" w:eastAsia="Times New Roman" w:hAnsi="Times New Roman" w:cs="Times New Roman"/>
                <w:color w:val="000000"/>
                <w:spacing w:val="0"/>
                <w:w w:val="100"/>
                <w:position w:val="0"/>
                <w:sz w:val="18"/>
                <w:szCs w:val="18"/>
              </w:rPr>
              <w:t>3.67%</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420"/>
              <w:jc w:val="left"/>
              <w:rPr>
                <w:sz w:val="18"/>
                <w:szCs w:val="18"/>
              </w:rPr>
            </w:pPr>
            <w:r>
              <w:rPr>
                <w:rFonts w:ascii="Times New Roman" w:eastAsia="Times New Roman" w:hAnsi="Times New Roman" w:cs="Times New Roman"/>
                <w:color w:val="000000"/>
                <w:spacing w:val="0"/>
                <w:w w:val="100"/>
                <w:position w:val="0"/>
                <w:sz w:val="18"/>
                <w:szCs w:val="18"/>
              </w:rPr>
              <w:t>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供应商四</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80" w:right="0" w:firstLine="0"/>
              <w:jc w:val="both"/>
              <w:rPr>
                <w:sz w:val="18"/>
                <w:szCs w:val="18"/>
              </w:rPr>
            </w:pPr>
            <w:r>
              <w:rPr>
                <w:rFonts w:ascii="Times New Roman" w:eastAsia="Times New Roman" w:hAnsi="Times New Roman" w:cs="Times New Roman"/>
                <w:color w:val="000000"/>
                <w:spacing w:val="0"/>
                <w:w w:val="100"/>
                <w:position w:val="0"/>
                <w:sz w:val="18"/>
                <w:szCs w:val="18"/>
              </w:rPr>
              <w:t>21,309,008.50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680" w:right="0" w:firstLine="0"/>
              <w:jc w:val="both"/>
              <w:rPr>
                <w:sz w:val="18"/>
                <w:szCs w:val="18"/>
              </w:rPr>
            </w:pPr>
            <w:r>
              <w:rPr>
                <w:rFonts w:ascii="Times New Roman" w:eastAsia="Times New Roman" w:hAnsi="Times New Roman" w:cs="Times New Roman"/>
                <w:color w:val="000000"/>
                <w:spacing w:val="0"/>
                <w:w w:val="100"/>
                <w:position w:val="0"/>
                <w:sz w:val="18"/>
                <w:szCs w:val="18"/>
              </w:rPr>
              <w:t>1.59%</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420"/>
              <w:jc w:val="left"/>
              <w:rPr>
                <w:sz w:val="18"/>
                <w:szCs w:val="18"/>
              </w:rPr>
            </w:pPr>
            <w:r>
              <w:rPr>
                <w:rFonts w:ascii="Times New Roman" w:eastAsia="Times New Roman" w:hAnsi="Times New Roman" w:cs="Times New Roman"/>
                <w:color w:val="000000"/>
                <w:spacing w:val="0"/>
                <w:w w:val="100"/>
                <w:position w:val="0"/>
                <w:sz w:val="18"/>
                <w:szCs w:val="18"/>
              </w:rPr>
              <w:t>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供应商五</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80" w:right="0" w:firstLine="0"/>
              <w:jc w:val="both"/>
              <w:rPr>
                <w:sz w:val="18"/>
                <w:szCs w:val="18"/>
              </w:rPr>
            </w:pPr>
            <w:r>
              <w:rPr>
                <w:rFonts w:ascii="Times New Roman" w:eastAsia="Times New Roman" w:hAnsi="Times New Roman" w:cs="Times New Roman"/>
                <w:color w:val="000000"/>
                <w:spacing w:val="0"/>
                <w:w w:val="100"/>
                <w:position w:val="0"/>
                <w:sz w:val="18"/>
                <w:szCs w:val="18"/>
              </w:rPr>
              <w:t>18,964,449.20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680" w:right="0" w:firstLine="0"/>
              <w:jc w:val="both"/>
              <w:rPr>
                <w:sz w:val="18"/>
                <w:szCs w:val="18"/>
              </w:rPr>
            </w:pPr>
            <w:r>
              <w:rPr>
                <w:rFonts w:ascii="Times New Roman" w:eastAsia="Times New Roman" w:hAnsi="Times New Roman" w:cs="Times New Roman"/>
                <w:color w:val="000000"/>
                <w:spacing w:val="0"/>
                <w:w w:val="100"/>
                <w:position w:val="0"/>
                <w:sz w:val="18"/>
                <w:szCs w:val="18"/>
              </w:rPr>
              <w:t>1.42%</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00" w:right="0" w:firstLine="0"/>
              <w:jc w:val="left"/>
              <w:rPr>
                <w:sz w:val="18"/>
                <w:szCs w:val="18"/>
              </w:rPr>
            </w:pPr>
            <w:r>
              <w:rPr>
                <w:rFonts w:ascii="Times New Roman" w:eastAsia="Times New Roman" w:hAnsi="Times New Roman" w:cs="Times New Roman"/>
                <w:color w:val="000000"/>
                <w:spacing w:val="0"/>
                <w:w w:val="100"/>
                <w:position w:val="0"/>
                <w:sz w:val="18"/>
                <w:szCs w:val="18"/>
              </w:rPr>
              <w:t>773,013,102.40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57.78%</w:t>
            </w:r>
          </w:p>
        </w:tc>
      </w:tr>
    </w:tbl>
    <w:p>
      <w:pPr>
        <w:widowControl w:val="0"/>
        <w:spacing w:after="119" w:line="1" w:lineRule="exact"/>
      </w:pPr>
    </w:p>
    <w:p>
      <w:pPr>
        <w:pStyle w:val="Style41"/>
        <w:keepNext w:val="0"/>
        <w:keepLines w:val="0"/>
        <w:widowControl w:val="0"/>
        <w:shd w:val="clear" w:color="auto" w:fill="auto"/>
        <w:bidi w:val="0"/>
        <w:spacing w:before="0" w:after="260" w:line="240" w:lineRule="auto"/>
        <w:ind w:left="0" w:right="0" w:firstLine="0"/>
        <w:jc w:val="left"/>
      </w:pPr>
      <w:r>
        <w:rPr>
          <w:color w:val="000000"/>
          <w:spacing w:val="0"/>
          <w:w w:val="100"/>
          <w:position w:val="0"/>
        </w:rPr>
        <w:t>注：属于同一实际控制人控制的供应商合并列示，受同一国有资产管理机构实际控制的除外。</w:t>
      </w:r>
    </w:p>
    <w:p>
      <w:pPr>
        <w:pStyle w:val="Style41"/>
        <w:keepNext w:val="0"/>
        <w:keepLines w:val="0"/>
        <w:widowControl w:val="0"/>
        <w:shd w:val="clear" w:color="auto" w:fill="auto"/>
        <w:bidi w:val="0"/>
        <w:spacing w:before="0" w:after="260" w:line="240" w:lineRule="auto"/>
        <w:ind w:left="0" w:right="0" w:firstLine="0"/>
        <w:jc w:val="left"/>
      </w:pPr>
      <w:r>
        <w:rPr>
          <w:b/>
          <w:bCs/>
          <w:color w:val="000000"/>
          <w:spacing w:val="0"/>
          <w:w w:val="100"/>
          <w:position w:val="0"/>
        </w:rPr>
        <w:t>主要供应商其他情况说明</w:t>
      </w:r>
    </w:p>
    <w:p>
      <w:pPr>
        <w:pStyle w:val="Style41"/>
        <w:keepNext w:val="0"/>
        <w:keepLines w:val="0"/>
        <w:widowControl w:val="0"/>
        <w:shd w:val="clear" w:color="auto" w:fill="auto"/>
        <w:bidi w:val="0"/>
        <w:spacing w:before="0" w:after="260" w:line="240" w:lineRule="auto"/>
        <w:ind w:left="0" w:right="0" w:firstLine="0"/>
        <w:jc w:val="left"/>
        <w:sectPr>
          <w:headerReference w:type="default" r:id="rId137"/>
          <w:footerReference w:type="default" r:id="rId138"/>
          <w:headerReference w:type="even" r:id="rId139"/>
          <w:footerReference w:type="even" r:id="rId140"/>
          <w:footnotePr>
            <w:pos w:val="pageBottom"/>
            <w:numFmt w:val="decimal"/>
            <w:numRestart w:val="continuous"/>
          </w:footnotePr>
          <w:pgSz w:w="11904" w:h="17375"/>
          <w:pgMar w:top="1675" w:right="936" w:bottom="1702" w:left="926" w:header="0" w:footer="3" w:gutter="0"/>
          <w:cols w:space="720"/>
          <w:noEndnote/>
          <w:rtlGutter w:val="0"/>
          <w:docGrid w:linePitch="360"/>
        </w:sectPr>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b/>
          <w:bCs/>
          <w:color w:val="000000"/>
          <w:spacing w:val="0"/>
          <w:w w:val="100"/>
          <w:position w:val="0"/>
          <w:sz w:val="19"/>
          <w:szCs w:val="19"/>
        </w:rPr>
        <w:t>寸</w:t>
      </w:r>
      <w:r>
        <w:rPr>
          <w:b/>
          <w:bCs/>
          <w:color w:val="000000"/>
          <w:spacing w:val="0"/>
          <w:w w:val="100"/>
          <w:position w:val="0"/>
        </w:rPr>
        <w:t>不适用</w:t>
      </w:r>
    </w:p>
    <w:p>
      <w:pPr>
        <w:pStyle w:val="Style47"/>
        <w:keepNext/>
        <w:keepLines/>
        <w:widowControl w:val="0"/>
        <w:shd w:val="clear" w:color="auto" w:fill="auto"/>
        <w:bidi w:val="0"/>
        <w:spacing w:before="0" w:after="380" w:line="240" w:lineRule="auto"/>
        <w:ind w:left="0" w:right="0" w:firstLine="0"/>
        <w:jc w:val="left"/>
      </w:pPr>
      <w:bookmarkStart w:id="273" w:name="bookmark273"/>
      <w:bookmarkStart w:id="274" w:name="bookmark274"/>
      <w:bookmarkStart w:id="275" w:name="bookmark275"/>
      <w:bookmarkStart w:id="276" w:name="bookmark276"/>
      <w:r>
        <w:rPr>
          <w:color w:val="000000"/>
          <w:spacing w:val="0"/>
          <w:w w:val="100"/>
          <w:position w:val="0"/>
        </w:rPr>
        <w:t>3</w:t>
      </w:r>
      <w:bookmarkEnd w:id="275"/>
      <w:r>
        <w:rPr>
          <w:color w:val="000000"/>
          <w:spacing w:val="0"/>
          <w:w w:val="100"/>
          <w:position w:val="0"/>
        </w:rPr>
        <w:t>、费用</w:t>
      </w:r>
      <w:bookmarkEnd w:id="273"/>
      <w:bookmarkEnd w:id="274"/>
      <w:bookmarkEnd w:id="276"/>
    </w:p>
    <w:p>
      <w:pPr>
        <w:pStyle w:val="Style20"/>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单位：元</w:t>
      </w:r>
    </w:p>
    <w:tbl>
      <w:tblPr>
        <w:tblOverlap w:val="never"/>
        <w:jc w:val="center"/>
        <w:tblLayout w:type="fixed"/>
      </w:tblPr>
      <w:tblGrid>
        <w:gridCol w:w="1949"/>
        <w:gridCol w:w="1656"/>
        <w:gridCol w:w="1661"/>
        <w:gridCol w:w="1478"/>
        <w:gridCol w:w="2966"/>
      </w:tblGrid>
      <w:tr>
        <w:trPr>
          <w:trHeight w:val="408" w:hRule="exact"/>
        </w:trPr>
        <w:tc>
          <w:tcPr>
            <w:tcBorders>
              <w:top w:val="single" w:sz="4"/>
              <w:left w:val="single" w:sz="4"/>
            </w:tcBorders>
            <w:shd w:val="clear" w:color="auto" w:fill="D7D7D7"/>
            <w:vAlign w:val="top"/>
          </w:tcPr>
          <w:p>
            <w:pPr>
              <w:widowControl w:val="0"/>
              <w:rPr>
                <w:sz w:val="10"/>
                <w:szCs w:val="10"/>
              </w:rPr>
            </w:pP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 xml:space="preserve">2020 </w:t>
            </w:r>
            <w:r>
              <w:rPr>
                <w:color w:val="000000"/>
                <w:spacing w:val="0"/>
                <w:w w:val="100"/>
                <w:position w:val="0"/>
              </w:rPr>
              <w:t>年</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 xml:space="preserve">2019 </w:t>
            </w:r>
            <w:r>
              <w:rPr>
                <w:color w:val="000000"/>
                <w:spacing w:val="0"/>
                <w:w w:val="100"/>
                <w:position w:val="0"/>
              </w:rPr>
              <w:t>年</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360"/>
              <w:jc w:val="left"/>
            </w:pPr>
            <w:r>
              <w:rPr>
                <w:color w:val="000000"/>
                <w:spacing w:val="0"/>
                <w:w w:val="100"/>
                <w:position w:val="0"/>
              </w:rPr>
              <w:t>同比增减</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重大变动说明</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销售费用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left"/>
              <w:rPr>
                <w:sz w:val="18"/>
                <w:szCs w:val="18"/>
              </w:rPr>
            </w:pPr>
            <w:r>
              <w:rPr>
                <w:rFonts w:ascii="Times New Roman" w:eastAsia="Times New Roman" w:hAnsi="Times New Roman" w:cs="Times New Roman"/>
                <w:color w:val="000000"/>
                <w:spacing w:val="0"/>
                <w:w w:val="100"/>
                <w:position w:val="0"/>
                <w:sz w:val="18"/>
                <w:szCs w:val="18"/>
              </w:rPr>
              <w:t>947,091,513.53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left"/>
              <w:rPr>
                <w:sz w:val="18"/>
                <w:szCs w:val="18"/>
              </w:rPr>
            </w:pPr>
            <w:r>
              <w:rPr>
                <w:rFonts w:ascii="Times New Roman" w:eastAsia="Times New Roman" w:hAnsi="Times New Roman" w:cs="Times New Roman"/>
                <w:color w:val="000000"/>
                <w:spacing w:val="0"/>
                <w:w w:val="100"/>
                <w:position w:val="0"/>
                <w:sz w:val="18"/>
                <w:szCs w:val="18"/>
              </w:rPr>
              <w:t>600,446,792.59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57.73%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主要是本期加大游戏推广力度所致。</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管理费用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left"/>
              <w:rPr>
                <w:sz w:val="18"/>
                <w:szCs w:val="18"/>
              </w:rPr>
            </w:pPr>
            <w:r>
              <w:rPr>
                <w:rFonts w:ascii="Times New Roman" w:eastAsia="Times New Roman" w:hAnsi="Times New Roman" w:cs="Times New Roman"/>
                <w:color w:val="000000"/>
                <w:spacing w:val="0"/>
                <w:w w:val="100"/>
                <w:position w:val="0"/>
                <w:sz w:val="18"/>
                <w:szCs w:val="18"/>
              </w:rPr>
              <w:t>520,715,509.16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left"/>
              <w:rPr>
                <w:sz w:val="18"/>
                <w:szCs w:val="18"/>
              </w:rPr>
            </w:pPr>
            <w:r>
              <w:rPr>
                <w:rFonts w:ascii="Times New Roman" w:eastAsia="Times New Roman" w:hAnsi="Times New Roman" w:cs="Times New Roman"/>
                <w:color w:val="000000"/>
                <w:spacing w:val="0"/>
                <w:w w:val="100"/>
                <w:position w:val="0"/>
                <w:sz w:val="18"/>
                <w:szCs w:val="18"/>
              </w:rPr>
              <w:t>667,472,127.11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-21.99%</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财务费用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left"/>
              <w:rPr>
                <w:sz w:val="18"/>
                <w:szCs w:val="18"/>
              </w:rPr>
            </w:pPr>
            <w:r>
              <w:rPr>
                <w:rFonts w:ascii="Times New Roman" w:eastAsia="Times New Roman" w:hAnsi="Times New Roman" w:cs="Times New Roman"/>
                <w:color w:val="000000"/>
                <w:spacing w:val="0"/>
                <w:w w:val="100"/>
                <w:position w:val="0"/>
                <w:sz w:val="18"/>
                <w:szCs w:val="18"/>
              </w:rPr>
              <w:t>47,333,060.69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36,251,751.62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30.57%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主要是本期汇兑损失增加所致。</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研发费用</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left"/>
              <w:rPr>
                <w:sz w:val="18"/>
                <w:szCs w:val="18"/>
              </w:rPr>
            </w:pPr>
            <w:r>
              <w:rPr>
                <w:rFonts w:ascii="Times New Roman" w:eastAsia="Times New Roman" w:hAnsi="Times New Roman" w:cs="Times New Roman"/>
                <w:color w:val="000000"/>
                <w:spacing w:val="0"/>
                <w:w w:val="100"/>
                <w:position w:val="0"/>
                <w:sz w:val="18"/>
                <w:szCs w:val="18"/>
              </w:rPr>
              <w:t>212,656,088.54</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left"/>
              <w:rPr>
                <w:sz w:val="18"/>
                <w:szCs w:val="18"/>
              </w:rPr>
            </w:pPr>
            <w:r>
              <w:rPr>
                <w:rFonts w:ascii="Times New Roman" w:eastAsia="Times New Roman" w:hAnsi="Times New Roman" w:cs="Times New Roman"/>
                <w:color w:val="000000"/>
                <w:spacing w:val="0"/>
                <w:w w:val="100"/>
                <w:position w:val="0"/>
                <w:sz w:val="18"/>
                <w:szCs w:val="18"/>
              </w:rPr>
              <w:t>231,566,626.54</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-8.17%</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319" w:line="1" w:lineRule="exact"/>
      </w:pPr>
    </w:p>
    <w:p>
      <w:pPr>
        <w:pStyle w:val="Style47"/>
        <w:keepNext/>
        <w:keepLines/>
        <w:widowControl w:val="0"/>
        <w:shd w:val="clear" w:color="auto" w:fill="auto"/>
        <w:bidi w:val="0"/>
        <w:spacing w:before="0" w:after="460" w:line="240" w:lineRule="auto"/>
        <w:ind w:left="0" w:right="0" w:firstLine="0"/>
        <w:jc w:val="left"/>
      </w:pPr>
      <w:bookmarkStart w:id="277" w:name="bookmark277"/>
      <w:bookmarkStart w:id="278" w:name="bookmark278"/>
      <w:bookmarkStart w:id="279" w:name="bookmark279"/>
      <w:bookmarkStart w:id="280" w:name="bookmark280"/>
      <w:r>
        <w:rPr>
          <w:color w:val="000000"/>
          <w:spacing w:val="0"/>
          <w:w w:val="100"/>
          <w:position w:val="0"/>
        </w:rPr>
        <w:t>4</w:t>
      </w:r>
      <w:bookmarkEnd w:id="279"/>
      <w:r>
        <w:rPr>
          <w:color w:val="000000"/>
          <w:spacing w:val="0"/>
          <w:w w:val="100"/>
          <w:position w:val="0"/>
        </w:rPr>
        <w:t>、研发投入</w:t>
      </w:r>
      <w:bookmarkEnd w:id="277"/>
      <w:bookmarkEnd w:id="278"/>
      <w:bookmarkEnd w:id="280"/>
    </w:p>
    <w:p>
      <w:pPr>
        <w:pStyle w:val="Style41"/>
        <w:keepNext w:val="0"/>
        <w:keepLines w:val="0"/>
        <w:widowControl w:val="0"/>
        <w:shd w:val="clear" w:color="auto" w:fill="auto"/>
        <w:bidi w:val="0"/>
        <w:spacing w:before="0" w:after="260" w:line="240" w:lineRule="auto"/>
        <w:ind w:left="0" w:right="0" w:firstLine="0"/>
        <w:jc w:val="left"/>
      </w:pPr>
      <w:r>
        <w:rPr>
          <w:b/>
          <w:bCs/>
          <w:color w:val="000000"/>
          <w:spacing w:val="0"/>
          <w:w w:val="100"/>
          <w:position w:val="0"/>
          <w:sz w:val="19"/>
          <w:szCs w:val="19"/>
        </w:rPr>
        <w:t>寸</w:t>
      </w:r>
      <w:r>
        <w:rPr>
          <w:b/>
          <w:bCs/>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41"/>
        <w:keepNext w:val="0"/>
        <w:keepLines w:val="0"/>
        <w:widowControl w:val="0"/>
        <w:shd w:val="clear" w:color="auto" w:fill="auto"/>
        <w:bidi w:val="0"/>
        <w:spacing w:before="0" w:after="260" w:line="240" w:lineRule="auto"/>
        <w:ind w:left="0" w:right="0" w:firstLine="460"/>
        <w:jc w:val="left"/>
      </w:pPr>
      <w:r>
        <w:rPr>
          <w:color w:val="000000"/>
          <w:spacing w:val="0"/>
          <w:w w:val="100"/>
          <w:position w:val="0"/>
        </w:rPr>
        <w:t>持续的自主创新能力是市场竞争力的核心要素，公司自成立以来一直高度重视研发工作，近几年研发投入一直都保持在</w:t>
      </w:r>
    </w:p>
    <w:p>
      <w:pPr>
        <w:pStyle w:val="Style41"/>
        <w:keepNext w:val="0"/>
        <w:keepLines w:val="0"/>
        <w:widowControl w:val="0"/>
        <w:shd w:val="clear" w:color="auto" w:fill="auto"/>
        <w:bidi w:val="0"/>
        <w:spacing w:before="0" w:after="120" w:line="240" w:lineRule="auto"/>
        <w:ind w:left="0" w:right="0" w:firstLine="0"/>
        <w:jc w:val="left"/>
      </w:pPr>
      <w:r>
        <w:rPr>
          <w:color w:val="000000"/>
          <w:spacing w:val="0"/>
          <w:w w:val="100"/>
          <w:position w:val="0"/>
        </w:rPr>
        <w:t>一定规模，持续的研发投入为公司巩固和持续提高技术竞争优势提供了有力保障。报告期内，公司资本化研发项目如下：</w:t>
      </w:r>
    </w:p>
    <w:tbl>
      <w:tblPr>
        <w:tblOverlap w:val="never"/>
        <w:jc w:val="center"/>
        <w:tblLayout w:type="fixed"/>
      </w:tblPr>
      <w:tblGrid>
        <w:gridCol w:w="1344"/>
        <w:gridCol w:w="2678"/>
        <w:gridCol w:w="4234"/>
        <w:gridCol w:w="1613"/>
      </w:tblGrid>
      <w:tr>
        <w:trPr>
          <w:trHeight w:val="63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rPr>
              <w:t>项目名称</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rPr>
              <w:t>拟达到的目标</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rPr>
              <w:t>研发项目的目的</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firstLine="0"/>
              <w:jc w:val="center"/>
              <w:rPr>
                <w:sz w:val="20"/>
                <w:szCs w:val="20"/>
              </w:rPr>
            </w:pPr>
            <w:r>
              <w:rPr>
                <w:b/>
                <w:bCs/>
                <w:color w:val="000000"/>
                <w:spacing w:val="0"/>
                <w:w w:val="100"/>
                <w:position w:val="0"/>
                <w:sz w:val="20"/>
                <w:szCs w:val="20"/>
              </w:rPr>
              <w:t>对公司生产经 营的影响</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服务能力交互 平台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为客户提供及时高效的赋能数 字化转型服务体验。</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本项目完成后可以构建一个平台生态化、运营智慧 化、管理集约化、安全系统化的服务能力交互平台。</w:t>
            </w:r>
          </w:p>
        </w:tc>
        <w:tc>
          <w:tcPr>
            <w:vMerge w:val="restart"/>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9" w:lineRule="exact"/>
              <w:ind w:left="0" w:right="0" w:firstLine="0"/>
              <w:jc w:val="center"/>
            </w:pPr>
            <w:r>
              <w:rPr>
                <w:color w:val="000000"/>
                <w:spacing w:val="0"/>
                <w:w w:val="100"/>
                <w:position w:val="0"/>
              </w:rPr>
              <w:t>提升公司在</w:t>
            </w:r>
            <w:r>
              <w:rPr>
                <w:rFonts w:ascii="Times New Roman" w:eastAsia="Times New Roman" w:hAnsi="Times New Roman" w:cs="Times New Roman"/>
                <w:color w:val="000000"/>
                <w:spacing w:val="0"/>
                <w:w w:val="100"/>
                <w:position w:val="0"/>
                <w:sz w:val="18"/>
                <w:szCs w:val="18"/>
              </w:rPr>
              <w:t xml:space="preserve">ICT </w:t>
            </w:r>
            <w:r>
              <w:rPr>
                <w:color w:val="000000"/>
                <w:spacing w:val="0"/>
                <w:w w:val="100"/>
                <w:position w:val="0"/>
              </w:rPr>
              <w:t>领域的技术能力， 助力业务落地。</w:t>
            </w:r>
          </w:p>
        </w:tc>
      </w:tr>
      <w:tr>
        <w:trPr>
          <w:trHeight w:val="9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0"/>
              <w:jc w:val="center"/>
            </w:pPr>
            <w:r>
              <w:rPr>
                <w:color w:val="000000"/>
                <w:spacing w:val="0"/>
                <w:w w:val="100"/>
                <w:position w:val="0"/>
              </w:rPr>
              <w:t>混合云原生管 理平台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0"/>
              <w:jc w:val="center"/>
            </w:pPr>
            <w:r>
              <w:rPr>
                <w:color w:val="000000"/>
                <w:spacing w:val="0"/>
                <w:w w:val="100"/>
                <w:position w:val="0"/>
              </w:rPr>
              <w:t>开发一个具备</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三户</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四管</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能 力的管理平台。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0" w:lineRule="exact"/>
              <w:ind w:left="0" w:right="0" w:firstLine="0"/>
              <w:jc w:val="center"/>
            </w:pPr>
            <w:r>
              <w:rPr>
                <w:color w:val="000000"/>
                <w:spacing w:val="0"/>
                <w:w w:val="100"/>
                <w:position w:val="0"/>
              </w:rPr>
              <w:t>本项目完成后支持多基础设施资源模型统一，提供 服务编排、服务目录等服务管理能力，实现资源、 运维、运营、门户、安全的统一管理。</w:t>
            </w:r>
          </w:p>
        </w:tc>
        <w:tc>
          <w:tcPr>
            <w:vMerge/>
            <w:tcBorders>
              <w:left w:val="single" w:sz="4"/>
              <w:right w:val="single" w:sz="4"/>
            </w:tcBorders>
            <w:shd w:val="clear" w:color="auto" w:fill="FFFFFF"/>
            <w:vAlign w:val="center"/>
          </w:tcPr>
          <w:p>
            <w:pPr/>
          </w:p>
        </w:tc>
      </w:tr>
      <w:tr>
        <w:trPr>
          <w:trHeight w:val="157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98" w:lineRule="exact"/>
              <w:ind w:left="0" w:right="0" w:firstLine="0"/>
              <w:jc w:val="center"/>
            </w:pPr>
            <w:r>
              <w:rPr>
                <w:color w:val="000000"/>
                <w:spacing w:val="0"/>
                <w:w w:val="100"/>
                <w:position w:val="0"/>
              </w:rPr>
              <w:t>家客端到端平 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构建开放的、可扩展的、灵活稳 定的家宽运维平台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both"/>
            </w:pPr>
            <w:r>
              <w:rPr>
                <w:color w:val="000000"/>
                <w:spacing w:val="0"/>
                <w:w w:val="100"/>
                <w:position w:val="0"/>
              </w:rPr>
              <w:t>本项目基于</w:t>
            </w:r>
            <w:r>
              <w:rPr>
                <w:rFonts w:ascii="Times New Roman" w:eastAsia="Times New Roman" w:hAnsi="Times New Roman" w:cs="Times New Roman"/>
                <w:color w:val="000000"/>
                <w:spacing w:val="0"/>
                <w:w w:val="100"/>
                <w:position w:val="0"/>
                <w:sz w:val="18"/>
                <w:szCs w:val="18"/>
              </w:rPr>
              <w:t>GP</w:t>
            </w:r>
            <w:r>
              <w:rPr>
                <w:color w:val="000000"/>
                <w:spacing w:val="0"/>
                <w:w w:val="100"/>
                <w:position w:val="0"/>
              </w:rPr>
              <w:t>平台架构，结合大数据计算分析需求 及已有的技术，从业务、地域、网元、用户、资源、 服务等维度打造家客业务质量与业务运维全方位闭 环管理体系，提升业务质量、降低投诉总量、节约 成本开支。</w:t>
            </w:r>
          </w:p>
        </w:tc>
        <w:tc>
          <w:tcPr>
            <w:vMerge/>
            <w:tcBorders>
              <w:left w:val="single" w:sz="4"/>
              <w:right w:val="single" w:sz="4"/>
            </w:tcBorders>
            <w:shd w:val="clear" w:color="auto" w:fill="FFFFFF"/>
            <w:vAlign w:val="center"/>
          </w:tcPr>
          <w:p>
            <w:pPr/>
          </w:p>
        </w:tc>
      </w:tr>
      <w:tr>
        <w:trPr>
          <w:trHeight w:val="219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可汗研发运维 一体化平台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0" w:lineRule="exact"/>
              <w:ind w:left="0" w:right="0" w:firstLine="0"/>
              <w:jc w:val="center"/>
            </w:pPr>
            <w:r>
              <w:rPr>
                <w:color w:val="000000"/>
                <w:spacing w:val="0"/>
                <w:w w:val="100"/>
                <w:position w:val="0"/>
              </w:rPr>
              <w:t>基于微服务架构，结合</w:t>
            </w:r>
            <w:r>
              <w:rPr>
                <w:rFonts w:ascii="Times New Roman" w:eastAsia="Times New Roman" w:hAnsi="Times New Roman" w:cs="Times New Roman"/>
                <w:color w:val="000000"/>
                <w:spacing w:val="0"/>
                <w:w w:val="100"/>
                <w:position w:val="0"/>
                <w:sz w:val="18"/>
                <w:szCs w:val="18"/>
              </w:rPr>
              <w:t xml:space="preserve">devops </w:t>
            </w:r>
            <w:r>
              <w:rPr>
                <w:color w:val="000000"/>
                <w:spacing w:val="0"/>
                <w:w w:val="100"/>
                <w:position w:val="0"/>
              </w:rPr>
              <w:t>需求，建设一套全生命周期的神 州泰岳可汗研发运维一体化平 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3" w:lineRule="exact"/>
              <w:ind w:left="0" w:right="0" w:firstLine="0"/>
              <w:jc w:val="both"/>
            </w:pPr>
            <w:r>
              <w:rPr>
                <w:color w:val="000000"/>
                <w:spacing w:val="0"/>
                <w:w w:val="100"/>
                <w:position w:val="0"/>
              </w:rPr>
              <w:t>本项目基于微服务架构，结合</w:t>
            </w:r>
            <w:r>
              <w:rPr>
                <w:rFonts w:ascii="Times New Roman" w:eastAsia="Times New Roman" w:hAnsi="Times New Roman" w:cs="Times New Roman"/>
                <w:color w:val="000000"/>
                <w:spacing w:val="0"/>
                <w:w w:val="100"/>
                <w:position w:val="0"/>
                <w:sz w:val="18"/>
                <w:szCs w:val="18"/>
              </w:rPr>
              <w:t>devops</w:t>
            </w:r>
            <w:r>
              <w:rPr>
                <w:color w:val="000000"/>
                <w:spacing w:val="0"/>
                <w:w w:val="100"/>
                <w:position w:val="0"/>
              </w:rPr>
              <w:t>需求及已有的 技术，建设一套全生命周期（需求、迭代、开发、 编译、构建、测试、打包、发布、配置、监控等） 的</w:t>
            </w:r>
            <w:r>
              <w:rPr>
                <w:rFonts w:ascii="Times New Roman" w:eastAsia="Times New Roman" w:hAnsi="Times New Roman" w:cs="Times New Roman"/>
                <w:color w:val="000000"/>
                <w:spacing w:val="0"/>
                <w:w w:val="100"/>
                <w:position w:val="0"/>
                <w:sz w:val="18"/>
                <w:szCs w:val="18"/>
              </w:rPr>
              <w:t>DevOps</w:t>
            </w:r>
            <w:r>
              <w:rPr>
                <w:color w:val="000000"/>
                <w:spacing w:val="0"/>
                <w:w w:val="100"/>
                <w:position w:val="0"/>
              </w:rPr>
              <w:t>的工具链，实现高效的敏捷开发模式、持 续集成打包部署、自动测试审查，打造从需求收集、 代码开发、编译构建、系统测试、制品管理、上线 发布的全流程研发过程管控平台。</w:t>
            </w:r>
          </w:p>
        </w:tc>
        <w:tc>
          <w:tcPr>
            <w:vMerge/>
            <w:tcBorders>
              <w:left w:val="single" w:sz="4"/>
              <w:right w:val="single" w:sz="4"/>
            </w:tcBorders>
            <w:shd w:val="clear" w:color="auto" w:fill="FFFFFF"/>
            <w:vAlign w:val="center"/>
          </w:tcPr>
          <w:p>
            <w:pPr/>
          </w:p>
        </w:tc>
      </w:tr>
      <w:tr>
        <w:trPr>
          <w:trHeight w:val="220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0"/>
              <w:jc w:val="center"/>
            </w:pPr>
            <w:r>
              <w:rPr>
                <w:color w:val="000000"/>
                <w:spacing w:val="0"/>
                <w:w w:val="100"/>
                <w:position w:val="0"/>
              </w:rPr>
              <w:t>内容网络一体 化平台</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0"/>
              <w:jc w:val="center"/>
            </w:pPr>
            <w:r>
              <w:rPr>
                <w:color w:val="000000"/>
                <w:spacing w:val="0"/>
                <w:w w:val="100"/>
                <w:position w:val="0"/>
              </w:rPr>
              <w:t>构建基于内容网络业务体系的 全面一体化运维系统</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本项目采集省网内容网络各节点的网管资源、网管 性能、告警，进行大数据处理、自动巡检进行日志 处理和定期日常维护扫描等，通过流程进行故障协 作、应急预案制定和演练完成后可为客户提供内容 网络全面，统一的运维服务体验，加快数据的分析 效率，提高故障的处理效率；降低企业运维成本， 方便扩展和迁移。</w:t>
            </w:r>
          </w:p>
        </w:tc>
        <w:tc>
          <w:tcPr>
            <w:vMerge/>
            <w:tcBorders>
              <w:left w:val="single" w:sz="4"/>
              <w:bottom w:val="single" w:sz="4"/>
              <w:right w:val="single" w:sz="4"/>
            </w:tcBorders>
            <w:shd w:val="clear" w:color="auto" w:fill="FFFFFF"/>
            <w:vAlign w:val="center"/>
          </w:tcPr>
          <w:p>
            <w:pPr/>
          </w:p>
        </w:tc>
      </w:tr>
    </w:tbl>
    <w:p>
      <w:pPr>
        <w:spacing w:lineRule="exact" w:line="1"/>
        <w:rPr>
          <w:sz w:val="2"/>
          <w:szCs w:val="2"/>
        </w:rPr>
      </w:pPr>
      <w:r>
        <w:br w:type="page"/>
      </w:r>
    </w:p>
    <w:tbl>
      <w:tblPr>
        <w:tblOverlap w:val="never"/>
        <w:jc w:val="center"/>
        <w:tblLayout w:type="fixed"/>
      </w:tblPr>
      <w:tblGrid>
        <w:gridCol w:w="1344"/>
        <w:gridCol w:w="2678"/>
        <w:gridCol w:w="4234"/>
        <w:gridCol w:w="1613"/>
      </w:tblGrid>
      <w:tr>
        <w:trPr>
          <w:trHeight w:val="10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运营商级信息 触点融合通信 平台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0"/>
              <w:jc w:val="center"/>
            </w:pPr>
            <w:r>
              <w:rPr>
                <w:color w:val="000000"/>
                <w:spacing w:val="0"/>
                <w:w w:val="100"/>
                <w:position w:val="0"/>
              </w:rPr>
              <w:t>建设运营商级运营商级信息触 点融合通信平台。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both"/>
            </w:pPr>
            <w:r>
              <w:rPr>
                <w:color w:val="000000"/>
                <w:spacing w:val="0"/>
                <w:w w:val="100"/>
                <w:position w:val="0"/>
              </w:rPr>
              <w:t>本项目完成后可以为运营窗口升级</w:t>
            </w:r>
            <w:r>
              <w:rPr>
                <w:rFonts w:ascii="Times New Roman" w:eastAsia="Times New Roman" w:hAnsi="Times New Roman" w:cs="Times New Roman"/>
                <w:color w:val="000000"/>
                <w:spacing w:val="0"/>
                <w:w w:val="100"/>
                <w:position w:val="0"/>
                <w:sz w:val="18"/>
                <w:szCs w:val="18"/>
              </w:rPr>
              <w:t>5G</w:t>
            </w:r>
            <w:r>
              <w:rPr>
                <w:color w:val="000000"/>
                <w:spacing w:val="0"/>
                <w:w w:val="100"/>
                <w:position w:val="0"/>
              </w:rPr>
              <w:t>消息，为商户 提供集成内容与交互的运营消息服务，针对不同合 作对象不同应用场景，推出多种创新商业解决方案。</w:t>
            </w:r>
          </w:p>
        </w:tc>
        <w:tc>
          <w:tcPr>
            <w:tcBorders>
              <w:top w:val="single" w:sz="4"/>
              <w:left w:val="single" w:sz="4"/>
              <w:right w:val="single" w:sz="4"/>
            </w:tcBorders>
            <w:shd w:val="clear" w:color="auto" w:fill="FFFFFF"/>
            <w:vAlign w:val="top"/>
          </w:tcPr>
          <w:p>
            <w:pPr>
              <w:widowControl w:val="0"/>
              <w:rPr>
                <w:sz w:val="10"/>
                <w:szCs w:val="10"/>
              </w:rPr>
            </w:pPr>
          </w:p>
        </w:tc>
      </w:tr>
      <w:tr>
        <w:trPr>
          <w:trHeight w:val="125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26" w:lineRule="exact"/>
              <w:ind w:left="0" w:right="0" w:firstLine="0"/>
              <w:jc w:val="center"/>
            </w:pPr>
            <w:r>
              <w:rPr>
                <w:rFonts w:ascii="Times New Roman" w:eastAsia="Times New Roman" w:hAnsi="Times New Roman" w:cs="Times New Roman"/>
                <w:color w:val="000000"/>
                <w:spacing w:val="0"/>
                <w:w w:val="100"/>
                <w:position w:val="0"/>
                <w:sz w:val="18"/>
                <w:szCs w:val="18"/>
              </w:rPr>
              <w:t xml:space="preserve">Odyssey </w:t>
            </w:r>
            <w:r>
              <w:rPr>
                <w:color w:val="000000"/>
                <w:spacing w:val="0"/>
                <w:w w:val="100"/>
                <w:position w:val="0"/>
              </w:rPr>
              <w:t>（太空 项目）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打造一款立足科幻题材的手机 游戏。</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9" w:lineRule="exact"/>
              <w:ind w:left="0" w:right="0" w:firstLine="0"/>
              <w:jc w:val="center"/>
            </w:pPr>
            <w:r>
              <w:rPr>
                <w:color w:val="000000"/>
                <w:spacing w:val="0"/>
                <w:w w:val="100"/>
                <w:position w:val="0"/>
              </w:rPr>
              <w:t>游戏采用</w:t>
            </w:r>
            <w:r>
              <w:rPr>
                <w:rFonts w:ascii="Times New Roman" w:eastAsia="Times New Roman" w:hAnsi="Times New Roman" w:cs="Times New Roman"/>
                <w:color w:val="000000"/>
                <w:spacing w:val="0"/>
                <w:w w:val="100"/>
                <w:position w:val="0"/>
                <w:sz w:val="18"/>
                <w:szCs w:val="18"/>
              </w:rPr>
              <w:t>Unity3D</w:t>
            </w:r>
            <w:r>
              <w:rPr>
                <w:color w:val="000000"/>
                <w:spacing w:val="0"/>
                <w:w w:val="100"/>
                <w:position w:val="0"/>
              </w:rPr>
              <w:t>引擎进行开发，立足科幻题材， 打造符合世界观和公司传统</w:t>
            </w:r>
            <w:r>
              <w:rPr>
                <w:rFonts w:ascii="Times New Roman" w:eastAsia="Times New Roman" w:hAnsi="Times New Roman" w:cs="Times New Roman"/>
                <w:color w:val="000000"/>
                <w:spacing w:val="0"/>
                <w:w w:val="100"/>
                <w:position w:val="0"/>
                <w:sz w:val="18"/>
                <w:szCs w:val="18"/>
              </w:rPr>
              <w:t>SLG</w:t>
            </w:r>
            <w:r>
              <w:rPr>
                <w:color w:val="000000"/>
                <w:spacing w:val="0"/>
                <w:w w:val="100"/>
                <w:position w:val="0"/>
              </w:rPr>
              <w:t>架构的创新型</w:t>
            </w:r>
            <w:r>
              <w:rPr>
                <w:rFonts w:ascii="Times New Roman" w:eastAsia="Times New Roman" w:hAnsi="Times New Roman" w:cs="Times New Roman"/>
                <w:color w:val="000000"/>
                <w:spacing w:val="0"/>
                <w:w w:val="100"/>
                <w:position w:val="0"/>
                <w:sz w:val="18"/>
                <w:szCs w:val="18"/>
              </w:rPr>
              <w:t xml:space="preserve">SLG </w:t>
            </w:r>
            <w:r>
              <w:rPr>
                <w:color w:val="000000"/>
                <w:spacing w:val="0"/>
                <w:w w:val="100"/>
                <w:position w:val="0"/>
              </w:rPr>
              <w:t>产品。</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丰富游戏产品，为 公司在手游方向 带来新的利润增 长点</w:t>
            </w:r>
          </w:p>
        </w:tc>
      </w:tr>
      <w:tr>
        <w:trPr>
          <w:trHeight w:val="9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长距离物联网 数据中台系统 项目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为客户构建安全、智能、便捷的 长距离物联网接入及管理平台。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本项目完成后将实现设备互联互通、数据价值效益 最大化提供，为业务侧提供丰富、多样、安全可靠 的业务数据，从而提高数据对业务的价值和效益。</w:t>
            </w:r>
          </w:p>
        </w:tc>
        <w:tc>
          <w:tcPr>
            <w:vMerge w:val="restart"/>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拓展公司在物联 网技术应用方向 的产品,完善产品 功能，为该业务打 下坚实基础。</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分布式通信系 统</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0"/>
              <w:jc w:val="center"/>
            </w:pPr>
            <w:r>
              <w:rPr>
                <w:color w:val="000000"/>
                <w:spacing w:val="0"/>
                <w:w w:val="100"/>
                <w:position w:val="0"/>
              </w:rPr>
              <w:t>自主研发一套物理隔离的封闭 网络通信系统。</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220" w:right="0" w:hanging="220"/>
              <w:jc w:val="left"/>
            </w:pPr>
            <w:r>
              <w:rPr>
                <w:color w:val="000000"/>
                <w:spacing w:val="0"/>
                <w:w w:val="100"/>
                <w:position w:val="0"/>
              </w:rPr>
              <w:t>本项目完成后，可以解决坑道、洞库、地下指挥所、 核岛等特殊场景和封闭地下空间提供无线通信。</w:t>
            </w:r>
          </w:p>
        </w:tc>
        <w:tc>
          <w:tcPr>
            <w:vMerge/>
            <w:tcBorders>
              <w:left w:val="single" w:sz="4"/>
              <w:right w:val="single" w:sz="4"/>
            </w:tcBorders>
            <w:shd w:val="clear" w:color="auto" w:fill="FFFFFF"/>
            <w:vAlign w:val="center"/>
          </w:tcPr>
          <w:p>
            <w:pPr/>
          </w:p>
        </w:tc>
      </w:tr>
      <w:tr>
        <w:trPr>
          <w:trHeight w:val="125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智能便携终端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设计高可靠性，高安全性、集多 功能于一体的智能便携终端。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0" w:lineRule="exact"/>
              <w:ind w:left="0" w:right="0" w:firstLine="0"/>
              <w:jc w:val="both"/>
            </w:pPr>
            <w:r>
              <w:rPr>
                <w:color w:val="000000"/>
                <w:spacing w:val="0"/>
                <w:w w:val="100"/>
                <w:position w:val="0"/>
              </w:rPr>
              <w:t>本项目完成后为客户提供高可靠性，高度安全的多 功能智能便携终端，该设备高度集成，功能多样， 可以满足用户的多样化需求，尤其是能满足核电用 户电磁安全和信息安全的刚性需求，降低综合成本。</w:t>
            </w:r>
          </w:p>
        </w:tc>
        <w:tc>
          <w:tcPr>
            <w:vMerge/>
            <w:tcBorders>
              <w:left w:val="single" w:sz="4"/>
              <w:right w:val="single" w:sz="4"/>
            </w:tcBorders>
            <w:shd w:val="clear" w:color="auto" w:fill="FFFFFF"/>
            <w:vAlign w:val="center"/>
          </w:tcPr>
          <w:p>
            <w:pPr/>
          </w:p>
        </w:tc>
      </w:tr>
      <w:tr>
        <w:trPr>
          <w:trHeight w:val="188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综合通信基站</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为多种行业用户提供高度集成 化的综合通信基站</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5" w:lineRule="exact"/>
              <w:ind w:left="0" w:right="0" w:firstLine="0"/>
              <w:jc w:val="both"/>
            </w:pPr>
            <w:r>
              <w:rPr>
                <w:color w:val="000000"/>
                <w:spacing w:val="0"/>
                <w:w w:val="100"/>
                <w:position w:val="0"/>
              </w:rPr>
              <w:t>本项目集</w:t>
            </w:r>
            <w:r>
              <w:rPr>
                <w:rFonts w:ascii="Times New Roman" w:eastAsia="Times New Roman" w:hAnsi="Times New Roman" w:cs="Times New Roman"/>
                <w:color w:val="000000"/>
                <w:spacing w:val="0"/>
                <w:w w:val="100"/>
                <w:position w:val="0"/>
                <w:sz w:val="18"/>
                <w:szCs w:val="18"/>
              </w:rPr>
              <w:t>WiFi</w:t>
            </w:r>
            <w:r>
              <w:rPr>
                <w:color w:val="000000"/>
                <w:spacing w:val="0"/>
                <w:w w:val="100"/>
                <w:position w:val="0"/>
              </w:rPr>
              <w:t>技术、物联网通信技术和入侵检测技 术于一体，为客户提供高度集成的一揽子解决方案， 加快客户的部署速度，降低客户的维护成本，综合 通信基站设备配合多业务控制器、集中转发器、数 据分发服务器完成宽带数据接入和物联网数据汇聚 转发等功能。</w:t>
            </w:r>
          </w:p>
        </w:tc>
        <w:tc>
          <w:tcPr>
            <w:vMerge/>
            <w:tcBorders>
              <w:left w:val="single" w:sz="4"/>
              <w:right w:val="single" w:sz="4"/>
            </w:tcBorders>
            <w:shd w:val="clear" w:color="auto" w:fill="FFFFFF"/>
            <w:vAlign w:val="center"/>
          </w:tcPr>
          <w:p>
            <w:pPr/>
          </w:p>
        </w:tc>
      </w:tr>
      <w:tr>
        <w:trPr>
          <w:trHeight w:val="188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核电站专用耐</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辐照基站系统</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0"/>
              <w:jc w:val="center"/>
            </w:pPr>
            <w:r>
              <w:rPr>
                <w:color w:val="000000"/>
                <w:spacing w:val="0"/>
                <w:w w:val="100"/>
                <w:position w:val="0"/>
              </w:rPr>
              <w:t>构建满足核电站的信息安全、电 磁兼容、信号覆盖和耐辐照等需 求的核电站专用耐辐照基站系 统</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本项目为核电用户提供在所有非辐射区及辐射区的 建筑物内需要覆盖无线信号的区域，包括核岛内非 辐射及辐射区厂房、常规岛非辐射及辐射区厂房、 厂内</w:t>
            </w:r>
            <w:r>
              <w:rPr>
                <w:rFonts w:ascii="Times New Roman" w:eastAsia="Times New Roman" w:hAnsi="Times New Roman" w:cs="Times New Roman"/>
                <w:color w:val="000000"/>
                <w:spacing w:val="0"/>
                <w:w w:val="100"/>
                <w:position w:val="0"/>
                <w:sz w:val="18"/>
                <w:szCs w:val="18"/>
              </w:rPr>
              <w:t>BOP</w:t>
            </w:r>
            <w:r>
              <w:rPr>
                <w:color w:val="000000"/>
                <w:spacing w:val="0"/>
                <w:w w:val="100"/>
                <w:position w:val="0"/>
              </w:rPr>
              <w:t>和厂外</w:t>
            </w:r>
            <w:r>
              <w:rPr>
                <w:rFonts w:ascii="Times New Roman" w:eastAsia="Times New Roman" w:hAnsi="Times New Roman" w:cs="Times New Roman"/>
                <w:color w:val="000000"/>
                <w:spacing w:val="0"/>
                <w:w w:val="100"/>
                <w:position w:val="0"/>
                <w:sz w:val="18"/>
                <w:szCs w:val="18"/>
              </w:rPr>
              <w:t>BOP</w:t>
            </w:r>
            <w:r>
              <w:rPr>
                <w:color w:val="000000"/>
                <w:spacing w:val="0"/>
                <w:w w:val="100"/>
                <w:position w:val="0"/>
              </w:rPr>
              <w:t>的建筑，以满足核电用户在 厂区要求全覆盖的刚性需求；本项目满足核电站的 信息安全、电磁兼容、信号覆盖和耐辐照等需求。</w:t>
            </w:r>
          </w:p>
        </w:tc>
        <w:tc>
          <w:tcPr>
            <w:vMerge/>
            <w:tcBorders>
              <w:left w:val="single" w:sz="4"/>
              <w:right w:val="single" w:sz="4"/>
            </w:tcBorders>
            <w:shd w:val="clear" w:color="auto" w:fill="FFFFFF"/>
            <w:vAlign w:val="center"/>
          </w:tcPr>
          <w:p>
            <w:pPr/>
          </w:p>
        </w:tc>
      </w:tr>
      <w:tr>
        <w:trPr>
          <w:trHeight w:val="126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0"/>
              <w:jc w:val="center"/>
            </w:pPr>
            <w:r>
              <w:rPr>
                <w:color w:val="000000"/>
                <w:spacing w:val="0"/>
                <w:w w:val="100"/>
                <w:position w:val="0"/>
              </w:rPr>
              <w:t>电力物联网传 感器系统</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自主开发一套电力系统无线传 感侦测、传输与数据处理系统。</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本项目是完成后可以实现在具体的电力实施环境中 对电力设备的运行状态和当前设备的运行环境进行 实时的侦测和上传，同时后台可以根据大数据做进 一步的分析操作。</w:t>
            </w:r>
          </w:p>
        </w:tc>
        <w:tc>
          <w:tcPr>
            <w:vMerge/>
            <w:tcBorders>
              <w:left w:val="single" w:sz="4"/>
              <w:right w:val="single" w:sz="4"/>
            </w:tcBorders>
            <w:shd w:val="clear" w:color="auto" w:fill="FFFFFF"/>
            <w:vAlign w:val="center"/>
          </w:tcPr>
          <w:p>
            <w:pPr/>
          </w:p>
        </w:tc>
      </w:tr>
      <w:tr>
        <w:trPr>
          <w:trHeight w:val="125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2" w:lineRule="exact"/>
              <w:ind w:left="0" w:right="0" w:firstLine="0"/>
              <w:jc w:val="center"/>
            </w:pPr>
            <w:r>
              <w:rPr>
                <w:color w:val="000000"/>
                <w:spacing w:val="0"/>
                <w:w w:val="100"/>
                <w:position w:val="0"/>
              </w:rPr>
              <w:t>长距离周界系 统</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为客户提供易操作、易掌握的使 用系统，性能更优，功能更强的 周界系统。</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0" w:lineRule="exact"/>
              <w:ind w:left="0" w:right="0" w:firstLine="0"/>
              <w:jc w:val="center"/>
            </w:pPr>
            <w:r>
              <w:rPr>
                <w:color w:val="000000"/>
                <w:spacing w:val="0"/>
                <w:w w:val="100"/>
                <w:position w:val="0"/>
              </w:rPr>
              <w:t>本项目是完成后可以增加视频复核功能，提高系统 的易用性和实用性，增加模型管理模块，方便用户 之间实现模型的管理和更新替换，可以使系统适用 于多种复杂环境，扩大最大告警范围至</w:t>
            </w:r>
            <w:r>
              <w:rPr>
                <w:rFonts w:ascii="Times New Roman" w:eastAsia="Times New Roman" w:hAnsi="Times New Roman" w:cs="Times New Roman"/>
                <w:color w:val="000000"/>
                <w:spacing w:val="0"/>
                <w:w w:val="100"/>
                <w:position w:val="0"/>
                <w:sz w:val="18"/>
                <w:szCs w:val="18"/>
              </w:rPr>
              <w:t>20</w:t>
            </w:r>
            <w:r>
              <w:rPr>
                <w:color w:val="000000"/>
                <w:spacing w:val="0"/>
                <w:w w:val="100"/>
                <w:position w:val="0"/>
              </w:rPr>
              <w:t>倍。</w:t>
            </w:r>
          </w:p>
        </w:tc>
        <w:tc>
          <w:tcPr>
            <w:vMerge/>
            <w:tcBorders>
              <w:left w:val="single" w:sz="4"/>
              <w:right w:val="single" w:sz="4"/>
            </w:tcBorders>
            <w:shd w:val="clear" w:color="auto" w:fill="FFFFFF"/>
            <w:vAlign w:val="center"/>
          </w:tcPr>
          <w:p>
            <w:pPr/>
          </w:p>
        </w:tc>
      </w:tr>
      <w:tr>
        <w:trPr>
          <w:trHeight w:val="2515"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法律搜索平台</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3" w:lineRule="exact"/>
              <w:ind w:left="0" w:right="0" w:firstLine="0"/>
              <w:jc w:val="center"/>
            </w:pPr>
            <w:r>
              <w:rPr>
                <w:color w:val="000000"/>
                <w:spacing w:val="0"/>
                <w:w w:val="100"/>
                <w:position w:val="0"/>
              </w:rPr>
              <w:t>旨在帮助法律工作者快速从海 量司法数据中，精准定位、收集 相似案例资料，有效、快速开展 不同场景类案分析的工作内容， 辅助规范化司法文档数据结构， 大大提升了法律工作者在资料 收集相关工作的工作效率与质 量</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center"/>
            </w:pPr>
            <w:r>
              <w:rPr>
                <w:color w:val="000000"/>
                <w:spacing w:val="0"/>
                <w:w w:val="100"/>
                <w:position w:val="0"/>
              </w:rPr>
              <w:t>利用</w:t>
            </w:r>
            <w:r>
              <w:rPr>
                <w:rFonts w:ascii="Times New Roman" w:eastAsia="Times New Roman" w:hAnsi="Times New Roman" w:cs="Times New Roman"/>
                <w:color w:val="000000"/>
                <w:spacing w:val="0"/>
                <w:w w:val="100"/>
                <w:position w:val="0"/>
                <w:sz w:val="18"/>
                <w:szCs w:val="18"/>
              </w:rPr>
              <w:t>AI</w:t>
            </w:r>
            <w:r>
              <w:rPr>
                <w:color w:val="000000"/>
                <w:spacing w:val="0"/>
                <w:w w:val="100"/>
                <w:position w:val="0"/>
              </w:rPr>
              <w:t>研究院自主创新研发的中文语义理解技术， 将信息抽取、文本分类、实体识别、指代消解、语 义消歧等技术手段与司法知识体系有机结合，精准 提取司法数据中的知识点，实现司法知识信息的结 构化落地，形成全面的司法知识图谱。最终以司法 知识图谱为支撑，结合搜索引擎、意图识别等自然 语言理解技术提供司法检索服务。</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center"/>
            </w:pPr>
            <w:r>
              <w:rPr>
                <w:color w:val="000000"/>
                <w:spacing w:val="0"/>
                <w:w w:val="100"/>
                <w:position w:val="0"/>
              </w:rPr>
              <w:t>提升公司在人工 智能领域的核心 技术能力，助力公 司业务发展。</w:t>
            </w:r>
          </w:p>
        </w:tc>
      </w:tr>
    </w:tbl>
    <w:p>
      <w:pPr>
        <w:spacing w:lineRule="exact" w:line="1"/>
        <w:rPr>
          <w:sz w:val="2"/>
          <w:szCs w:val="2"/>
        </w:rPr>
      </w:pPr>
      <w:r>
        <w:br w:type="page"/>
      </w:r>
    </w:p>
    <w:tbl>
      <w:tblPr>
        <w:tblOverlap w:val="never"/>
        <w:jc w:val="center"/>
        <w:tblLayout w:type="fixed"/>
      </w:tblPr>
      <w:tblGrid>
        <w:gridCol w:w="1344"/>
        <w:gridCol w:w="2678"/>
        <w:gridCol w:w="4234"/>
        <w:gridCol w:w="1613"/>
      </w:tblGrid>
      <w:tr>
        <w:trPr>
          <w:trHeight w:val="126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实体分析平台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为客户提供数据驱动业务的一 站式解决方案。</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本项目完成后可以实现数据资源盘点、联接、规范 管理，形成企业的</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数据资产</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管理体系，避免重复 开发，确保前端业务</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轻量化</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，同时提升数据提取、 整合与统一输出的能力。</w:t>
            </w:r>
          </w:p>
        </w:tc>
        <w:tc>
          <w:tcPr>
            <w:vMerge w:val="restart"/>
            <w:tcBorders>
              <w:top w:val="single" w:sz="4"/>
              <w:left w:val="single" w:sz="4"/>
              <w:right w:val="single" w:sz="4"/>
            </w:tcBorders>
            <w:shd w:val="clear" w:color="auto" w:fill="FFFFFF"/>
            <w:vAlign w:val="top"/>
          </w:tcPr>
          <w:p>
            <w:pPr>
              <w:widowControl w:val="0"/>
              <w:rPr>
                <w:sz w:val="10"/>
                <w:szCs w:val="10"/>
              </w:rPr>
            </w:pPr>
          </w:p>
        </w:tc>
      </w:tr>
      <w:tr>
        <w:trPr>
          <w:trHeight w:val="125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业务定义平台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搭建一款可靠、稳定，高效安全 的访问环境的平台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本项目完成后提供灵活、易用、高效可视化构建业 务场景能力，通过利用可视化组件，对业务功能场 景进行自由编排，是一个简单易用的</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业务场景生成 器</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业务功能生成工具。</w:t>
            </w:r>
          </w:p>
        </w:tc>
        <w:tc>
          <w:tcPr>
            <w:vMerge/>
            <w:tcBorders>
              <w:left w:val="single" w:sz="4"/>
              <w:right w:val="single" w:sz="4"/>
            </w:tcBorders>
            <w:shd w:val="clear" w:color="auto" w:fill="FFFFFF"/>
            <w:vAlign w:val="top"/>
          </w:tcPr>
          <w:p>
            <w:pPr/>
          </w:p>
        </w:tc>
      </w:tr>
      <w:tr>
        <w:trPr>
          <w:trHeight w:val="219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26" w:lineRule="exact"/>
              <w:ind w:left="0" w:right="0" w:firstLine="0"/>
              <w:jc w:val="left"/>
            </w:pPr>
            <w:r>
              <w:rPr>
                <w:color w:val="000000"/>
                <w:spacing w:val="0"/>
                <w:w w:val="100"/>
                <w:position w:val="0"/>
              </w:rPr>
              <w:t>基于</w:t>
            </w:r>
            <w:r>
              <w:rPr>
                <w:rFonts w:ascii="Times New Roman" w:eastAsia="Times New Roman" w:hAnsi="Times New Roman" w:cs="Times New Roman"/>
                <w:color w:val="000000"/>
                <w:spacing w:val="0"/>
                <w:w w:val="100"/>
                <w:position w:val="0"/>
                <w:sz w:val="18"/>
                <w:szCs w:val="18"/>
              </w:rPr>
              <w:t>3D</w:t>
            </w:r>
            <w:r>
              <w:rPr>
                <w:color w:val="000000"/>
                <w:spacing w:val="0"/>
                <w:w w:val="100"/>
                <w:position w:val="0"/>
              </w:rPr>
              <w:t>可视 化的机房管理</w:t>
            </w:r>
          </w:p>
          <w:p>
            <w:pPr>
              <w:pStyle w:val="Style2"/>
              <w:keepNext w:val="0"/>
              <w:keepLines w:val="0"/>
              <w:widowControl w:val="0"/>
              <w:shd w:val="clear" w:color="auto" w:fill="auto"/>
              <w:bidi w:val="0"/>
              <w:spacing w:before="0" w:after="0" w:line="326" w:lineRule="exact"/>
              <w:ind w:left="0" w:right="0" w:firstLine="0"/>
              <w:jc w:val="center"/>
            </w:pPr>
            <w:r>
              <w:rPr>
                <w:color w:val="000000"/>
                <w:spacing w:val="0"/>
                <w:w w:val="100"/>
                <w:position w:val="0"/>
              </w:rPr>
              <w:t>系统</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center"/>
            </w:pPr>
            <w:r>
              <w:rPr>
                <w:color w:val="000000"/>
                <w:spacing w:val="0"/>
                <w:w w:val="100"/>
                <w:position w:val="0"/>
              </w:rPr>
              <w:t>支持</w:t>
            </w:r>
            <w:r>
              <w:rPr>
                <w:rFonts w:ascii="Times New Roman" w:eastAsia="Times New Roman" w:hAnsi="Times New Roman" w:cs="Times New Roman"/>
                <w:color w:val="000000"/>
                <w:spacing w:val="0"/>
                <w:w w:val="100"/>
                <w:position w:val="0"/>
                <w:sz w:val="18"/>
                <w:szCs w:val="18"/>
              </w:rPr>
              <w:t>3D</w:t>
            </w:r>
            <w:r>
              <w:rPr>
                <w:color w:val="000000"/>
                <w:spacing w:val="0"/>
                <w:w w:val="100"/>
                <w:position w:val="0"/>
              </w:rPr>
              <w:t>图形，带有</w:t>
            </w:r>
            <w:r>
              <w:rPr>
                <w:rFonts w:ascii="Times New Roman" w:eastAsia="Times New Roman" w:hAnsi="Times New Roman" w:cs="Times New Roman"/>
                <w:color w:val="000000"/>
                <w:spacing w:val="0"/>
                <w:w w:val="100"/>
                <w:position w:val="0"/>
                <w:sz w:val="18"/>
                <w:szCs w:val="18"/>
              </w:rPr>
              <w:t>GUI</w:t>
            </w:r>
            <w:r>
              <w:rPr>
                <w:color w:val="000000"/>
                <w:spacing w:val="0"/>
                <w:w w:val="100"/>
                <w:position w:val="0"/>
              </w:rPr>
              <w:t>的，可</w:t>
            </w:r>
          </w:p>
          <w:p>
            <w:pPr>
              <w:pStyle w:val="Style2"/>
              <w:keepNext w:val="0"/>
              <w:keepLines w:val="0"/>
              <w:widowControl w:val="0"/>
              <w:shd w:val="clear" w:color="auto" w:fill="auto"/>
              <w:bidi w:val="0"/>
              <w:spacing w:before="0" w:after="120" w:line="240" w:lineRule="auto"/>
              <w:ind w:left="0" w:right="0" w:firstLine="0"/>
              <w:jc w:val="center"/>
            </w:pPr>
            <w:r>
              <w:rPr>
                <w:color w:val="000000"/>
                <w:spacing w:val="0"/>
                <w:w w:val="100"/>
                <w:position w:val="0"/>
              </w:rPr>
              <w:t>配置式的，支持对接多种平台的</w:t>
            </w:r>
          </w:p>
          <w:p>
            <w:pPr>
              <w:pStyle w:val="Style2"/>
              <w:keepNext w:val="0"/>
              <w:keepLines w:val="0"/>
              <w:widowControl w:val="0"/>
              <w:shd w:val="clear" w:color="auto" w:fill="auto"/>
              <w:bidi w:val="0"/>
              <w:spacing w:before="0" w:after="120" w:line="240" w:lineRule="auto"/>
              <w:ind w:left="0" w:right="0" w:firstLine="0"/>
              <w:jc w:val="center"/>
            </w:pPr>
            <w:r>
              <w:rPr>
                <w:color w:val="000000"/>
                <w:spacing w:val="0"/>
                <w:w w:val="100"/>
                <w:position w:val="0"/>
              </w:rPr>
              <w:t>数据可视化应用开发套件</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both"/>
            </w:pPr>
            <w:r>
              <w:rPr>
                <w:color w:val="000000"/>
                <w:spacing w:val="0"/>
                <w:w w:val="100"/>
                <w:position w:val="0"/>
              </w:rPr>
              <w:t>本项目以</w:t>
            </w:r>
            <w:r>
              <w:rPr>
                <w:rFonts w:ascii="Times New Roman" w:eastAsia="Times New Roman" w:hAnsi="Times New Roman" w:cs="Times New Roman"/>
                <w:color w:val="000000"/>
                <w:spacing w:val="0"/>
                <w:w w:val="100"/>
                <w:position w:val="0"/>
                <w:sz w:val="18"/>
                <w:szCs w:val="18"/>
              </w:rPr>
              <w:t>3D</w:t>
            </w:r>
            <w:r>
              <w:rPr>
                <w:color w:val="000000"/>
                <w:spacing w:val="0"/>
                <w:w w:val="100"/>
                <w:position w:val="0"/>
              </w:rPr>
              <w:t>可视化作为重要管理手段，对机房资产 设备，资源设备运行状况等进行全面监控和管理。 通过采集设备、传输设备和管理设备等，将机房内 分散的多种专业监控系统、资产管理系统、运维流 程管理系统融合在构建数据中心的</w:t>
            </w:r>
            <w:r>
              <w:rPr>
                <w:rFonts w:ascii="Times New Roman" w:eastAsia="Times New Roman" w:hAnsi="Times New Roman" w:cs="Times New Roman"/>
                <w:color w:val="000000"/>
                <w:spacing w:val="0"/>
                <w:w w:val="100"/>
                <w:position w:val="0"/>
                <w:sz w:val="18"/>
                <w:szCs w:val="18"/>
              </w:rPr>
              <w:t>3D</w:t>
            </w:r>
            <w:r>
              <w:rPr>
                <w:color w:val="000000"/>
                <w:spacing w:val="0"/>
                <w:w w:val="100"/>
                <w:position w:val="0"/>
              </w:rPr>
              <w:t>全息图景中； 建立统一监控、统一预警、统一资产管理以及统一 空间规划，并提供规范化的系统管理流程。</w:t>
            </w:r>
          </w:p>
        </w:tc>
        <w:tc>
          <w:tcPr>
            <w:vMerge/>
            <w:tcBorders>
              <w:left w:val="single" w:sz="4"/>
              <w:right w:val="single" w:sz="4"/>
            </w:tcBorders>
            <w:shd w:val="clear" w:color="auto" w:fill="FFFFFF"/>
            <w:vAlign w:val="top"/>
          </w:tcPr>
          <w:p>
            <w:pPr/>
          </w:p>
        </w:tc>
      </w:tr>
      <w:tr>
        <w:trPr>
          <w:trHeight w:val="188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0"/>
              <w:jc w:val="center"/>
            </w:pPr>
            <w:r>
              <w:rPr>
                <w:color w:val="000000"/>
                <w:spacing w:val="0"/>
                <w:w w:val="100"/>
                <w:position w:val="0"/>
              </w:rPr>
              <w:t>商业气象云服 务平台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center"/>
            </w:pPr>
            <w:r>
              <w:rPr>
                <w:color w:val="000000"/>
                <w:spacing w:val="0"/>
                <w:w w:val="100"/>
                <w:position w:val="0"/>
              </w:rPr>
              <w:t>依托商业云服务平台的强大数 据处理能力，共同打造基于气象 大数据的智能化气象云服务，气</w:t>
            </w:r>
          </w:p>
          <w:p>
            <w:pPr>
              <w:pStyle w:val="Style2"/>
              <w:keepNext w:val="0"/>
              <w:keepLines w:val="0"/>
              <w:widowControl w:val="0"/>
              <w:shd w:val="clear" w:color="auto" w:fill="auto"/>
              <w:bidi w:val="0"/>
              <w:spacing w:before="0" w:after="0" w:line="314" w:lineRule="exact"/>
              <w:ind w:left="0" w:right="0" w:firstLine="160"/>
              <w:jc w:val="both"/>
            </w:pPr>
            <w:r>
              <w:rPr>
                <w:color w:val="000000"/>
                <w:spacing w:val="0"/>
                <w:w w:val="100"/>
                <w:position w:val="0"/>
              </w:rPr>
              <w:t>象相关服务提供基础支撑平台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3" w:lineRule="exact"/>
              <w:ind w:left="0" w:right="0" w:firstLine="0"/>
              <w:jc w:val="center"/>
            </w:pPr>
            <w:r>
              <w:rPr>
                <w:color w:val="000000"/>
                <w:spacing w:val="0"/>
                <w:w w:val="100"/>
                <w:position w:val="0"/>
              </w:rPr>
              <w:t>本项目主要建设气象云数据服务平台，通过对气象 数据的收集，加工处理并结合交通、农业、电力、 旅游等行业利于大数据、人工识别等技术形成气象</w:t>
            </w:r>
            <w:r>
              <w:rPr>
                <w:rFonts w:ascii="Times New Roman" w:eastAsia="Times New Roman" w:hAnsi="Times New Roman" w:cs="Times New Roman"/>
                <w:color w:val="000000"/>
                <w:spacing w:val="0"/>
                <w:w w:val="100"/>
                <w:position w:val="0"/>
                <w:sz w:val="18"/>
                <w:szCs w:val="18"/>
              </w:rPr>
              <w:t xml:space="preserve">+ </w:t>
            </w:r>
            <w:r>
              <w:rPr>
                <w:color w:val="000000"/>
                <w:spacing w:val="0"/>
                <w:w w:val="100"/>
                <w:position w:val="0"/>
              </w:rPr>
              <w:t>行业的产品，建设分布式的数据及产品的存储环境。 通过数据服务、产品推送等方式实现气象产品的应 用。</w:t>
            </w:r>
          </w:p>
        </w:tc>
        <w:tc>
          <w:tcPr>
            <w:vMerge w:val="restart"/>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5" w:lineRule="exact"/>
              <w:ind w:left="0" w:right="0" w:firstLine="0"/>
              <w:jc w:val="center"/>
            </w:pPr>
            <w:r>
              <w:rPr>
                <w:color w:val="000000"/>
                <w:spacing w:val="0"/>
                <w:w w:val="100"/>
                <w:position w:val="0"/>
              </w:rPr>
              <w:t>气象业务为公司 创新孵化业务的 一部分，该项目可 为公司在该领域 的业务发展提供 技术基础。</w:t>
            </w:r>
          </w:p>
        </w:tc>
      </w:tr>
      <w:tr>
        <w:trPr>
          <w:trHeight w:val="140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0" w:lineRule="exact"/>
              <w:ind w:left="0" w:right="0" w:firstLine="0"/>
              <w:jc w:val="center"/>
            </w:pPr>
            <w:r>
              <w:rPr>
                <w:color w:val="000000"/>
                <w:spacing w:val="0"/>
                <w:w w:val="100"/>
                <w:position w:val="0"/>
              </w:rPr>
              <w:t>德丰</w:t>
            </w:r>
            <w:r>
              <w:rPr>
                <w:rFonts w:ascii="Times New Roman" w:eastAsia="Times New Roman" w:hAnsi="Times New Roman" w:cs="Times New Roman"/>
                <w:color w:val="000000"/>
                <w:spacing w:val="0"/>
                <w:w w:val="100"/>
                <w:position w:val="0"/>
                <w:sz w:val="18"/>
                <w:szCs w:val="18"/>
              </w:rPr>
              <w:t>5G</w:t>
            </w:r>
            <w:r>
              <w:rPr>
                <w:color w:val="000000"/>
                <w:spacing w:val="0"/>
                <w:w w:val="100"/>
                <w:position w:val="0"/>
              </w:rPr>
              <w:t>消息 气象服务云平 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2" w:lineRule="exact"/>
              <w:ind w:left="0" w:right="0" w:firstLine="0"/>
              <w:jc w:val="center"/>
            </w:pPr>
            <w:r>
              <w:rPr>
                <w:color w:val="000000"/>
                <w:spacing w:val="0"/>
                <w:w w:val="100"/>
                <w:position w:val="0"/>
              </w:rPr>
              <w:t>搭建可靠、稳定的数据调度与短 信营销平台，提供高效安全的访 问环境</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center"/>
            </w:pPr>
            <w:r>
              <w:rPr>
                <w:color w:val="000000"/>
                <w:spacing w:val="0"/>
                <w:w w:val="100"/>
                <w:position w:val="0"/>
              </w:rPr>
              <w:t>本项目基于</w:t>
            </w:r>
            <w:r>
              <w:rPr>
                <w:rFonts w:ascii="Times New Roman" w:eastAsia="Times New Roman" w:hAnsi="Times New Roman" w:cs="Times New Roman"/>
                <w:color w:val="000000"/>
                <w:spacing w:val="0"/>
                <w:w w:val="100"/>
                <w:position w:val="0"/>
                <w:sz w:val="18"/>
                <w:szCs w:val="18"/>
              </w:rPr>
              <w:t>spnngboot</w:t>
            </w:r>
            <w:r>
              <w:rPr>
                <w:color w:val="000000"/>
                <w:spacing w:val="0"/>
                <w:w w:val="100"/>
                <w:position w:val="0"/>
              </w:rPr>
              <w:t>和微服务思想开发的管理平 台，提供一整套气象</w:t>
            </w:r>
            <w:r>
              <w:rPr>
                <w:rFonts w:ascii="Times New Roman" w:eastAsia="Times New Roman" w:hAnsi="Times New Roman" w:cs="Times New Roman"/>
                <w:color w:val="000000"/>
                <w:spacing w:val="0"/>
                <w:w w:val="100"/>
                <w:position w:val="0"/>
                <w:sz w:val="18"/>
                <w:szCs w:val="18"/>
              </w:rPr>
              <w:t>5G</w:t>
            </w:r>
            <w:r>
              <w:rPr>
                <w:color w:val="000000"/>
                <w:spacing w:val="0"/>
                <w:w w:val="100"/>
                <w:position w:val="0"/>
              </w:rPr>
              <w:t>消息云平台处理方案。可以 在平台可视化操作后台服务，各个服务之间通过配 置中心联系在一起服务于管理系统。</w:t>
            </w:r>
          </w:p>
        </w:tc>
        <w:tc>
          <w:tcPr>
            <w:vMerge/>
            <w:tcBorders>
              <w:left w:val="single" w:sz="4"/>
              <w:right w:val="single" w:sz="4"/>
            </w:tcBorders>
            <w:shd w:val="clear" w:color="auto" w:fill="FFFFFF"/>
            <w:vAlign w:val="center"/>
          </w:tcPr>
          <w:p>
            <w:pPr/>
          </w:p>
        </w:tc>
      </w:tr>
      <w:tr>
        <w:trPr>
          <w:trHeight w:val="189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北京市教育教 学工作专家评 审复核平台</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5" w:lineRule="exact"/>
              <w:ind w:left="0" w:right="0" w:firstLine="0"/>
              <w:jc w:val="center"/>
            </w:pPr>
            <w:r>
              <w:rPr>
                <w:color w:val="000000"/>
                <w:spacing w:val="0"/>
                <w:w w:val="100"/>
                <w:position w:val="0"/>
              </w:rPr>
              <w:t>通过灵活的评分标准设置、自动 化评分机制和最终人工复核确 认，优化教学整改后期复核工 作。</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教育教学工作专家评审复核平台通过与教学整改系 统对接，采用大数据分析技术，灵活的教学整改评 分和审核机制，通过标准化的评分标准设置，对教 学整改效果进行多方位、深层次的综合分析评分， 对校方教育、教学、管理进行综合评分评价，为校 方教学整改提供有数据依据的意见和建议。</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center"/>
            </w:pPr>
            <w:r>
              <w:rPr>
                <w:color w:val="000000"/>
                <w:spacing w:val="0"/>
                <w:w w:val="100"/>
                <w:position w:val="0"/>
              </w:rPr>
              <w:t>拓展公司职业教 育领域的产品，为 公司的创新服务 业务贡献力量。</w:t>
            </w:r>
          </w:p>
        </w:tc>
      </w:tr>
    </w:tbl>
    <w:p>
      <w:pPr>
        <w:widowControl w:val="0"/>
        <w:spacing w:after="159" w:line="1" w:lineRule="exact"/>
      </w:pPr>
    </w:p>
    <w:p>
      <w:pPr>
        <w:pStyle w:val="Style20"/>
        <w:keepNext w:val="0"/>
        <w:keepLines w:val="0"/>
        <w:widowControl w:val="0"/>
        <w:shd w:val="clear" w:color="auto" w:fill="auto"/>
        <w:bidi w:val="0"/>
        <w:spacing w:before="0" w:after="0" w:line="240" w:lineRule="auto"/>
        <w:ind w:left="10" w:right="0" w:firstLine="0"/>
        <w:jc w:val="left"/>
        <w:rPr>
          <w:sz w:val="17"/>
          <w:szCs w:val="17"/>
        </w:rPr>
      </w:pPr>
      <w:r>
        <w:rPr>
          <w:rFonts w:ascii="SimSun" w:eastAsia="SimSun" w:hAnsi="SimSun" w:cs="SimSun"/>
          <w:b/>
          <w:bCs/>
          <w:color w:val="000000"/>
          <w:spacing w:val="0"/>
          <w:w w:val="100"/>
          <w:position w:val="0"/>
          <w:sz w:val="17"/>
          <w:szCs w:val="17"/>
        </w:rPr>
        <w:t>近三年公司研发投入金额及占营业收入的比例</w:t>
      </w:r>
    </w:p>
    <w:tbl>
      <w:tblPr>
        <w:tblOverlap w:val="never"/>
        <w:jc w:val="center"/>
        <w:tblLayout w:type="fixed"/>
      </w:tblPr>
      <w:tblGrid>
        <w:gridCol w:w="3437"/>
        <w:gridCol w:w="1982"/>
        <w:gridCol w:w="2126"/>
        <w:gridCol w:w="2165"/>
      </w:tblGrid>
      <w:tr>
        <w:trPr>
          <w:trHeight w:val="408" w:hRule="exact"/>
        </w:trPr>
        <w:tc>
          <w:tcPr>
            <w:tcBorders>
              <w:top w:val="single" w:sz="4"/>
              <w:left w:val="single" w:sz="4"/>
            </w:tcBorders>
            <w:shd w:val="clear" w:color="auto" w:fill="D7D7D7"/>
            <w:vAlign w:val="top"/>
          </w:tcPr>
          <w:p>
            <w:pPr>
              <w:widowControl w:val="0"/>
              <w:rPr>
                <w:sz w:val="10"/>
                <w:szCs w:val="10"/>
              </w:rPr>
            </w:pP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 xml:space="preserve">2020 </w:t>
            </w:r>
            <w:r>
              <w:rPr>
                <w:color w:val="000000"/>
                <w:spacing w:val="0"/>
                <w:w w:val="100"/>
                <w:position w:val="0"/>
              </w:rPr>
              <w:t>年</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 xml:space="preserve">2019 </w:t>
            </w:r>
            <w:r>
              <w:rPr>
                <w:color w:val="000000"/>
                <w:spacing w:val="0"/>
                <w:w w:val="100"/>
                <w:position w:val="0"/>
              </w:rPr>
              <w:t>年</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 xml:space="preserve">2018 </w:t>
            </w:r>
            <w:r>
              <w:rPr>
                <w:color w:val="000000"/>
                <w:spacing w:val="0"/>
                <w:w w:val="100"/>
                <w:position w:val="0"/>
              </w:rPr>
              <w:t>年</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研发人员数量（人）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1,220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1,223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1,351</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研发人员数量占比</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00" w:right="0" w:firstLine="0"/>
              <w:jc w:val="left"/>
              <w:rPr>
                <w:sz w:val="18"/>
                <w:szCs w:val="18"/>
              </w:rPr>
            </w:pPr>
            <w:r>
              <w:rPr>
                <w:rFonts w:ascii="Times New Roman" w:eastAsia="Times New Roman" w:hAnsi="Times New Roman" w:cs="Times New Roman"/>
                <w:color w:val="000000"/>
                <w:spacing w:val="0"/>
                <w:w w:val="100"/>
                <w:position w:val="0"/>
                <w:sz w:val="18"/>
                <w:szCs w:val="18"/>
              </w:rPr>
              <w:t>39.84%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540" w:right="0" w:firstLine="0"/>
              <w:jc w:val="left"/>
              <w:rPr>
                <w:sz w:val="18"/>
                <w:szCs w:val="18"/>
              </w:rPr>
            </w:pPr>
            <w:r>
              <w:rPr>
                <w:rFonts w:ascii="Times New Roman" w:eastAsia="Times New Roman" w:hAnsi="Times New Roman" w:cs="Times New Roman"/>
                <w:color w:val="000000"/>
                <w:spacing w:val="0"/>
                <w:w w:val="100"/>
                <w:position w:val="0"/>
                <w:sz w:val="18"/>
                <w:szCs w:val="18"/>
              </w:rPr>
              <w:t>34.78%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560" w:right="0" w:firstLine="0"/>
              <w:jc w:val="both"/>
              <w:rPr>
                <w:sz w:val="18"/>
                <w:szCs w:val="18"/>
              </w:rPr>
            </w:pPr>
            <w:r>
              <w:rPr>
                <w:rFonts w:ascii="Times New Roman" w:eastAsia="Times New Roman" w:hAnsi="Times New Roman" w:cs="Times New Roman"/>
                <w:color w:val="000000"/>
                <w:spacing w:val="0"/>
                <w:w w:val="100"/>
                <w:position w:val="0"/>
                <w:sz w:val="18"/>
                <w:szCs w:val="18"/>
              </w:rPr>
              <w:t>37.71%</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研发投入金额（元）</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20"/>
              <w:jc w:val="left"/>
              <w:rPr>
                <w:sz w:val="18"/>
                <w:szCs w:val="18"/>
              </w:rPr>
            </w:pPr>
            <w:r>
              <w:rPr>
                <w:rFonts w:ascii="Times New Roman" w:eastAsia="Times New Roman" w:hAnsi="Times New Roman" w:cs="Times New Roman"/>
                <w:color w:val="000000"/>
                <w:spacing w:val="0"/>
                <w:w w:val="100"/>
                <w:position w:val="0"/>
                <w:sz w:val="18"/>
                <w:szCs w:val="18"/>
              </w:rPr>
              <w:t>213,562,648.98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255,188,850.25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227,659,454.38</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研发投入占营业收入比例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5.94%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540" w:right="0" w:firstLine="0"/>
              <w:jc w:val="left"/>
              <w:rPr>
                <w:sz w:val="18"/>
                <w:szCs w:val="18"/>
              </w:rPr>
            </w:pPr>
            <w:r>
              <w:rPr>
                <w:rFonts w:ascii="Times New Roman" w:eastAsia="Times New Roman" w:hAnsi="Times New Roman" w:cs="Times New Roman"/>
                <w:color w:val="000000"/>
                <w:spacing w:val="0"/>
                <w:w w:val="100"/>
                <w:position w:val="0"/>
                <w:sz w:val="18"/>
                <w:szCs w:val="18"/>
              </w:rPr>
              <w:t>14.36%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560" w:right="0" w:firstLine="0"/>
              <w:jc w:val="both"/>
              <w:rPr>
                <w:sz w:val="18"/>
                <w:szCs w:val="18"/>
              </w:rPr>
            </w:pPr>
            <w:r>
              <w:rPr>
                <w:rFonts w:ascii="Times New Roman" w:eastAsia="Times New Roman" w:hAnsi="Times New Roman" w:cs="Times New Roman"/>
                <w:color w:val="000000"/>
                <w:spacing w:val="0"/>
                <w:w w:val="100"/>
                <w:position w:val="0"/>
                <w:sz w:val="18"/>
                <w:szCs w:val="18"/>
              </w:rPr>
              <w:t>11.27%</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研发支出资本化的金额（元）</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76,171,228.73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100,267,632.46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125,212,494.76</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资本化研发支出占研发投入的比例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00" w:right="0" w:firstLine="0"/>
              <w:jc w:val="left"/>
              <w:rPr>
                <w:sz w:val="18"/>
                <w:szCs w:val="18"/>
              </w:rPr>
            </w:pPr>
            <w:r>
              <w:rPr>
                <w:rFonts w:ascii="Times New Roman" w:eastAsia="Times New Roman" w:hAnsi="Times New Roman" w:cs="Times New Roman"/>
                <w:color w:val="000000"/>
                <w:spacing w:val="0"/>
                <w:w w:val="100"/>
                <w:position w:val="0"/>
                <w:sz w:val="18"/>
                <w:szCs w:val="18"/>
              </w:rPr>
              <w:t>35.67%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540" w:right="0" w:firstLine="0"/>
              <w:jc w:val="left"/>
              <w:rPr>
                <w:sz w:val="18"/>
                <w:szCs w:val="18"/>
              </w:rPr>
            </w:pPr>
            <w:r>
              <w:rPr>
                <w:rFonts w:ascii="Times New Roman" w:eastAsia="Times New Roman" w:hAnsi="Times New Roman" w:cs="Times New Roman"/>
                <w:color w:val="000000"/>
                <w:spacing w:val="0"/>
                <w:w w:val="100"/>
                <w:position w:val="0"/>
                <w:sz w:val="18"/>
                <w:szCs w:val="18"/>
              </w:rPr>
              <w:t>39.29%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560" w:right="0" w:firstLine="0"/>
              <w:jc w:val="both"/>
              <w:rPr>
                <w:sz w:val="18"/>
                <w:szCs w:val="18"/>
              </w:rPr>
            </w:pPr>
            <w:r>
              <w:rPr>
                <w:rFonts w:ascii="Times New Roman" w:eastAsia="Times New Roman" w:hAnsi="Times New Roman" w:cs="Times New Roman"/>
                <w:color w:val="000000"/>
                <w:spacing w:val="0"/>
                <w:w w:val="100"/>
                <w:position w:val="0"/>
                <w:sz w:val="18"/>
                <w:szCs w:val="18"/>
              </w:rPr>
              <w:t>55.00%</w:t>
            </w:r>
          </w:p>
        </w:tc>
      </w:tr>
      <w:tr>
        <w:trPr>
          <w:trHeight w:val="408"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资本化研发支出占当期净利润的比重</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00" w:right="0" w:firstLine="0"/>
              <w:jc w:val="left"/>
              <w:rPr>
                <w:sz w:val="18"/>
                <w:szCs w:val="18"/>
              </w:rPr>
            </w:pPr>
            <w:r>
              <w:rPr>
                <w:rFonts w:ascii="Times New Roman" w:eastAsia="Times New Roman" w:hAnsi="Times New Roman" w:cs="Times New Roman"/>
                <w:color w:val="000000"/>
                <w:spacing w:val="0"/>
                <w:w w:val="100"/>
                <w:position w:val="0"/>
                <w:sz w:val="18"/>
                <w:szCs w:val="18"/>
              </w:rPr>
              <w:t>23.27%</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-6.82%</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158.81%</w:t>
            </w:r>
          </w:p>
        </w:tc>
      </w:tr>
    </w:tbl>
    <w:p>
      <w:pPr>
        <w:sectPr>
          <w:headerReference w:type="default" r:id="rId141"/>
          <w:footerReference w:type="default" r:id="rId142"/>
          <w:headerReference w:type="even" r:id="rId143"/>
          <w:footerReference w:type="even" r:id="rId144"/>
          <w:headerReference w:type="first" r:id="rId145"/>
          <w:footerReference w:type="first" r:id="rId146"/>
          <w:footnotePr>
            <w:pos w:val="pageBottom"/>
            <w:numFmt w:val="decimal"/>
            <w:numRestart w:val="continuous"/>
          </w:footnotePr>
          <w:pgSz w:w="11904" w:h="17375"/>
          <w:pgMar w:top="1675" w:right="936" w:bottom="1702" w:left="926" w:header="0" w:footer="3" w:gutter="0"/>
          <w:cols w:space="720"/>
          <w:noEndnote/>
          <w:titlePg/>
          <w:rtlGutter w:val="0"/>
          <w:docGrid w:linePitch="360"/>
        </w:sectPr>
      </w:pPr>
    </w:p>
    <w:p>
      <w:pPr>
        <w:pStyle w:val="Style41"/>
        <w:keepNext w:val="0"/>
        <w:keepLines w:val="0"/>
        <w:widowControl w:val="0"/>
        <w:shd w:val="clear" w:color="auto" w:fill="auto"/>
        <w:bidi w:val="0"/>
        <w:spacing w:before="0" w:after="260" w:line="240" w:lineRule="auto"/>
        <w:ind w:left="0" w:right="0" w:firstLine="0"/>
        <w:jc w:val="left"/>
      </w:pPr>
      <w:r>
        <w:rPr>
          <w:b/>
          <w:bCs/>
          <w:color w:val="000000"/>
          <w:spacing w:val="0"/>
          <w:w w:val="100"/>
          <w:position w:val="0"/>
        </w:rPr>
        <w:t>研发投入总额占营业收入的比重较上年发生显著变化的原因</w:t>
      </w:r>
    </w:p>
    <w:p>
      <w:pPr>
        <w:pStyle w:val="Style41"/>
        <w:keepNext w:val="0"/>
        <w:keepLines w:val="0"/>
        <w:widowControl w:val="0"/>
        <w:shd w:val="clear" w:color="auto" w:fill="auto"/>
        <w:bidi w:val="0"/>
        <w:spacing w:before="0" w:after="26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b/>
          <w:bCs/>
          <w:color w:val="000000"/>
          <w:spacing w:val="0"/>
          <w:w w:val="100"/>
          <w:position w:val="0"/>
          <w:sz w:val="19"/>
          <w:szCs w:val="19"/>
        </w:rPr>
        <w:t>寸</w:t>
      </w:r>
      <w:r>
        <w:rPr>
          <w:b/>
          <w:bCs/>
          <w:color w:val="000000"/>
          <w:spacing w:val="0"/>
          <w:w w:val="100"/>
          <w:position w:val="0"/>
        </w:rPr>
        <w:t>不适用</w:t>
      </w:r>
    </w:p>
    <w:p>
      <w:pPr>
        <w:pStyle w:val="Style41"/>
        <w:keepNext w:val="0"/>
        <w:keepLines w:val="0"/>
        <w:widowControl w:val="0"/>
        <w:shd w:val="clear" w:color="auto" w:fill="auto"/>
        <w:bidi w:val="0"/>
        <w:spacing w:before="0" w:after="260" w:line="240" w:lineRule="auto"/>
        <w:ind w:left="0" w:right="0" w:firstLine="0"/>
        <w:jc w:val="left"/>
      </w:pPr>
      <w:r>
        <w:rPr>
          <w:b/>
          <w:bCs/>
          <w:color w:val="000000"/>
          <w:spacing w:val="0"/>
          <w:w w:val="100"/>
          <w:position w:val="0"/>
        </w:rPr>
        <w:t>研发投入资本化率大幅变动的原因及其合理性说明</w:t>
      </w:r>
    </w:p>
    <w:p>
      <w:pPr>
        <w:pStyle w:val="Style41"/>
        <w:keepNext w:val="0"/>
        <w:keepLines w:val="0"/>
        <w:widowControl w:val="0"/>
        <w:shd w:val="clear" w:color="auto" w:fill="auto"/>
        <w:bidi w:val="0"/>
        <w:spacing w:before="0" w:after="26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b/>
          <w:bCs/>
          <w:color w:val="000000"/>
          <w:spacing w:val="0"/>
          <w:w w:val="100"/>
          <w:position w:val="0"/>
          <w:sz w:val="19"/>
          <w:szCs w:val="19"/>
        </w:rPr>
        <w:t>寸</w:t>
      </w:r>
      <w:r>
        <w:rPr>
          <w:b/>
          <w:bCs/>
          <w:color w:val="000000"/>
          <w:spacing w:val="0"/>
          <w:w w:val="100"/>
          <w:position w:val="0"/>
        </w:rPr>
        <w:t>不适用</w:t>
      </w:r>
    </w:p>
    <w:p>
      <w:pPr>
        <w:pStyle w:val="Style41"/>
        <w:keepNext w:val="0"/>
        <w:keepLines w:val="0"/>
        <w:widowControl w:val="0"/>
        <w:shd w:val="clear" w:color="auto" w:fill="auto"/>
        <w:bidi w:val="0"/>
        <w:spacing w:before="0" w:after="260" w:line="240" w:lineRule="auto"/>
        <w:ind w:left="0" w:right="0" w:firstLine="0"/>
        <w:jc w:val="left"/>
      </w:pPr>
      <w:r>
        <w:rPr>
          <w:color w:val="000000"/>
          <w:spacing w:val="0"/>
          <w:w w:val="100"/>
          <w:position w:val="0"/>
        </w:rPr>
        <w:t>公司需遵守《深圳证券交易所行业信息披露指引第</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号——上市公司从事软件与信息技术服务业务》的披露要求</w:t>
      </w:r>
    </w:p>
    <w:p>
      <w:pPr>
        <w:pStyle w:val="Style20"/>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单位：元</w:t>
      </w:r>
    </w:p>
    <w:tbl>
      <w:tblPr>
        <w:tblOverlap w:val="never"/>
        <w:jc w:val="center"/>
        <w:tblLayout w:type="fixed"/>
      </w:tblPr>
      <w:tblGrid>
        <w:gridCol w:w="2021"/>
        <w:gridCol w:w="1685"/>
        <w:gridCol w:w="5218"/>
        <w:gridCol w:w="946"/>
      </w:tblGrid>
      <w:tr>
        <w:trPr>
          <w:trHeight w:val="720"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rPr>
              <w:t>项目名称</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20"/>
                <w:szCs w:val="20"/>
              </w:rPr>
              <w:t>研发资本化金额</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0"/>
                <w:szCs w:val="20"/>
              </w:rPr>
              <w:t>相关项目的基本情况</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firstLine="0"/>
              <w:jc w:val="center"/>
              <w:rPr>
                <w:sz w:val="20"/>
                <w:szCs w:val="20"/>
              </w:rPr>
            </w:pPr>
            <w:r>
              <w:rPr>
                <w:b/>
                <w:bCs/>
                <w:color w:val="000000"/>
                <w:spacing w:val="0"/>
                <w:w w:val="100"/>
                <w:position w:val="0"/>
                <w:sz w:val="20"/>
                <w:szCs w:val="20"/>
              </w:rPr>
              <w:t>实施进 度</w:t>
            </w: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服务能力交互平台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4,106,151.57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本项目完成后可以构建一个平台生态化、运营智慧化、管理集约 化、安全系统化的服务能力交互平台。</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已经结项</w:t>
            </w:r>
          </w:p>
        </w:tc>
      </w:tr>
      <w:tr>
        <w:trPr>
          <w:trHeight w:val="102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pPr>
            <w:r>
              <w:rPr>
                <w:color w:val="000000"/>
                <w:spacing w:val="0"/>
                <w:w w:val="100"/>
                <w:position w:val="0"/>
              </w:rPr>
              <w:t>混合云原生管理平台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1,632,685.85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本项目完成后支持多基础设施资源模型统一，提供服务编排、服 务目录等服务管理能力，实现资源、运维、运营、门户、安全的 统一管理。</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已经结项</w:t>
            </w:r>
          </w:p>
        </w:tc>
      </w:tr>
      <w:tr>
        <w:trPr>
          <w:trHeight w:val="1339"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家客端到端平台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2,529,181.07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本项目基于</w:t>
            </w:r>
            <w:r>
              <w:rPr>
                <w:rFonts w:ascii="Times New Roman" w:eastAsia="Times New Roman" w:hAnsi="Times New Roman" w:cs="Times New Roman"/>
                <w:color w:val="000000"/>
                <w:spacing w:val="0"/>
                <w:w w:val="100"/>
                <w:position w:val="0"/>
                <w:sz w:val="18"/>
                <w:szCs w:val="18"/>
              </w:rPr>
              <w:t>GP</w:t>
            </w:r>
            <w:r>
              <w:rPr>
                <w:color w:val="000000"/>
                <w:spacing w:val="0"/>
                <w:w w:val="100"/>
                <w:position w:val="0"/>
              </w:rPr>
              <w:t>平台架构，结合大数据计算分析需求及已有的技 术，从业务、地域、网元、用户、资源、服务等维度打造家客业 务质量与业务运维全方位闭环管理体系，提升业务质量、降低投 诉总量、节约成本开支。</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已经结项</w:t>
            </w:r>
          </w:p>
        </w:tc>
      </w:tr>
      <w:tr>
        <w:trPr>
          <w:trHeight w:val="196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98" w:lineRule="exact"/>
              <w:ind w:left="0" w:right="0" w:firstLine="0"/>
              <w:jc w:val="center"/>
            </w:pPr>
            <w:r>
              <w:rPr>
                <w:color w:val="000000"/>
                <w:spacing w:val="0"/>
                <w:w w:val="100"/>
                <w:position w:val="0"/>
              </w:rPr>
              <w:t>可汗研发运维一体化 平台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2,617,020.08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center"/>
            </w:pPr>
            <w:r>
              <w:rPr>
                <w:color w:val="000000"/>
                <w:spacing w:val="0"/>
                <w:w w:val="100"/>
                <w:position w:val="0"/>
              </w:rPr>
              <w:t>本项目基于微服务架构，结合</w:t>
            </w:r>
            <w:r>
              <w:rPr>
                <w:rFonts w:ascii="Times New Roman" w:eastAsia="Times New Roman" w:hAnsi="Times New Roman" w:cs="Times New Roman"/>
                <w:color w:val="000000"/>
                <w:spacing w:val="0"/>
                <w:w w:val="100"/>
                <w:position w:val="0"/>
                <w:sz w:val="18"/>
                <w:szCs w:val="18"/>
              </w:rPr>
              <w:t>devops</w:t>
            </w:r>
            <w:r>
              <w:rPr>
                <w:color w:val="000000"/>
                <w:spacing w:val="0"/>
                <w:w w:val="100"/>
                <w:position w:val="0"/>
              </w:rPr>
              <w:t>需求及已有的技术，建设 一套全生命周期（需求、迭代、开发、编译、构建、测试、打包、 发布、配置、监控等）的</w:t>
            </w:r>
            <w:r>
              <w:rPr>
                <w:rFonts w:ascii="Times New Roman" w:eastAsia="Times New Roman" w:hAnsi="Times New Roman" w:cs="Times New Roman"/>
                <w:color w:val="000000"/>
                <w:spacing w:val="0"/>
                <w:w w:val="100"/>
                <w:position w:val="0"/>
                <w:sz w:val="18"/>
                <w:szCs w:val="18"/>
              </w:rPr>
              <w:t>DevOps</w:t>
            </w:r>
            <w:r>
              <w:rPr>
                <w:color w:val="000000"/>
                <w:spacing w:val="0"/>
                <w:w w:val="100"/>
                <w:position w:val="0"/>
              </w:rPr>
              <w:t>的工具链，实现高效的敏捷开 发模式、持续集成打包部署、自动测试审查，打造从需求收集、 代码开发、编译构建、系统测试、制品管理、上线发布的全流程 研发过程管控平台。</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已经结项</w:t>
            </w:r>
          </w:p>
        </w:tc>
      </w:tr>
      <w:tr>
        <w:trPr>
          <w:trHeight w:val="16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pPr>
            <w:r>
              <w:rPr>
                <w:color w:val="000000"/>
                <w:spacing w:val="0"/>
                <w:w w:val="100"/>
                <w:position w:val="0"/>
              </w:rPr>
              <w:t>内容网络一体化平台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5,195,412.50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1" w:lineRule="exact"/>
              <w:ind w:left="0" w:right="0" w:firstLine="0"/>
              <w:jc w:val="both"/>
            </w:pPr>
            <w:r>
              <w:rPr>
                <w:color w:val="000000"/>
                <w:spacing w:val="0"/>
                <w:w w:val="100"/>
                <w:position w:val="0"/>
              </w:rPr>
              <w:t>本项目采集省网内容网络各节点的网管资源、网管性能、告警， 进行大数据处理、自动巡检进行日志处理和定期日常维护扫描 等，通过流程进行故障协作、应急预案制定和演练完成后可为客 户提供内容网络全面，统一的运维服务体验，加快数据的分析效 率，提高故障的处理效率；降低企业运维成本，方便扩展和迁移。</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已经结项</w:t>
            </w:r>
          </w:p>
        </w:tc>
      </w:tr>
      <w:tr>
        <w:trPr>
          <w:trHeight w:val="102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运营商级信息触点融 合通信平台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7,857,070.71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本项目完成后可以为运营窗口升级</w:t>
            </w:r>
            <w:r>
              <w:rPr>
                <w:rFonts w:ascii="Times New Roman" w:eastAsia="Times New Roman" w:hAnsi="Times New Roman" w:cs="Times New Roman"/>
                <w:color w:val="000000"/>
                <w:spacing w:val="0"/>
                <w:w w:val="100"/>
                <w:position w:val="0"/>
                <w:sz w:val="18"/>
                <w:szCs w:val="18"/>
              </w:rPr>
              <w:t>5G</w:t>
            </w:r>
            <w:r>
              <w:rPr>
                <w:color w:val="000000"/>
                <w:spacing w:val="0"/>
                <w:w w:val="100"/>
                <w:position w:val="0"/>
              </w:rPr>
              <w:t>消息，为商户提供集成内 容与交互的运营消息服务，针对不同合作对象不同应用场景，推 出多种创新商业解决方案。</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已经结项</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 xml:space="preserve">Odyssey </w:t>
            </w:r>
            <w:r>
              <w:rPr>
                <w:color w:val="000000"/>
                <w:spacing w:val="0"/>
                <w:w w:val="100"/>
                <w:position w:val="0"/>
              </w:rPr>
              <w:t>（太空项目）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left"/>
              <w:rPr>
                <w:sz w:val="18"/>
                <w:szCs w:val="18"/>
              </w:rPr>
            </w:pPr>
            <w:r>
              <w:rPr>
                <w:rFonts w:ascii="Times New Roman" w:eastAsia="Times New Roman" w:hAnsi="Times New Roman" w:cs="Times New Roman"/>
                <w:color w:val="000000"/>
                <w:spacing w:val="0"/>
                <w:w w:val="100"/>
                <w:position w:val="0"/>
                <w:sz w:val="18"/>
                <w:szCs w:val="18"/>
              </w:rPr>
              <w:t>10,640,278.43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22" w:lineRule="exact"/>
              <w:ind w:left="0" w:right="0" w:firstLine="0"/>
              <w:jc w:val="center"/>
            </w:pPr>
            <w:r>
              <w:rPr>
                <w:color w:val="000000"/>
                <w:spacing w:val="0"/>
                <w:w w:val="100"/>
                <w:position w:val="0"/>
              </w:rPr>
              <w:t>游戏采用</w:t>
            </w:r>
            <w:r>
              <w:rPr>
                <w:rFonts w:ascii="Times New Roman" w:eastAsia="Times New Roman" w:hAnsi="Times New Roman" w:cs="Times New Roman"/>
                <w:color w:val="000000"/>
                <w:spacing w:val="0"/>
                <w:w w:val="100"/>
                <w:position w:val="0"/>
                <w:sz w:val="18"/>
                <w:szCs w:val="18"/>
              </w:rPr>
              <w:t>Unity3D</w:t>
            </w:r>
            <w:r>
              <w:rPr>
                <w:color w:val="000000"/>
                <w:spacing w:val="0"/>
                <w:w w:val="100"/>
                <w:position w:val="0"/>
              </w:rPr>
              <w:t>引擎进行开发，立足科幻题材，打造符合世界 观和公司传统</w:t>
            </w:r>
            <w:r>
              <w:rPr>
                <w:rFonts w:ascii="Times New Roman" w:eastAsia="Times New Roman" w:hAnsi="Times New Roman" w:cs="Times New Roman"/>
                <w:color w:val="000000"/>
                <w:spacing w:val="0"/>
                <w:w w:val="100"/>
                <w:position w:val="0"/>
                <w:sz w:val="18"/>
                <w:szCs w:val="18"/>
              </w:rPr>
              <w:t>SLG</w:t>
            </w:r>
            <w:r>
              <w:rPr>
                <w:color w:val="000000"/>
                <w:spacing w:val="0"/>
                <w:w w:val="100"/>
                <w:position w:val="0"/>
              </w:rPr>
              <w:t>架构的创新型</w:t>
            </w:r>
            <w:r>
              <w:rPr>
                <w:rFonts w:ascii="Times New Roman" w:eastAsia="Times New Roman" w:hAnsi="Times New Roman" w:cs="Times New Roman"/>
                <w:color w:val="000000"/>
                <w:spacing w:val="0"/>
                <w:w w:val="100"/>
                <w:position w:val="0"/>
                <w:sz w:val="18"/>
                <w:szCs w:val="18"/>
              </w:rPr>
              <w:t>SLG</w:t>
            </w:r>
            <w:r>
              <w:rPr>
                <w:color w:val="000000"/>
                <w:spacing w:val="0"/>
                <w:w w:val="100"/>
                <w:position w:val="0"/>
              </w:rPr>
              <w:t>产品。</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已经结项</w:t>
            </w:r>
          </w:p>
        </w:tc>
      </w:tr>
      <w:tr>
        <w:trPr>
          <w:trHeight w:val="102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长距离物联网数据中 台系统项目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7,881,198.11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0"/>
              <w:jc w:val="both"/>
            </w:pPr>
            <w:r>
              <w:rPr>
                <w:color w:val="000000"/>
                <w:spacing w:val="0"/>
                <w:w w:val="100"/>
                <w:position w:val="0"/>
              </w:rPr>
              <w:t>本项目完成后将实现设备互联互通、数据价值效益最大化提供， 为业务侧提供丰富、多样、安全可靠的业务数据，从而提高数据</w:t>
            </w:r>
          </w:p>
          <w:p>
            <w:pPr>
              <w:pStyle w:val="Style2"/>
              <w:keepNext w:val="0"/>
              <w:keepLines w:val="0"/>
              <w:widowControl w:val="0"/>
              <w:shd w:val="clear" w:color="auto" w:fill="auto"/>
              <w:bidi w:val="0"/>
              <w:spacing w:before="0" w:after="0" w:line="307" w:lineRule="exact"/>
              <w:ind w:left="0" w:right="0" w:firstLine="0"/>
              <w:jc w:val="center"/>
            </w:pPr>
            <w:r>
              <w:rPr>
                <w:color w:val="000000"/>
                <w:spacing w:val="0"/>
                <w:w w:val="100"/>
                <w:position w:val="0"/>
              </w:rPr>
              <w:t>对业务的价值和效益。</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98" w:lineRule="exact"/>
              <w:ind w:left="0" w:right="0" w:firstLine="0"/>
              <w:jc w:val="center"/>
            </w:pPr>
            <w:r>
              <w:rPr>
                <w:color w:val="000000"/>
                <w:spacing w:val="0"/>
                <w:w w:val="100"/>
                <w:position w:val="0"/>
              </w:rPr>
              <w:t>正在研发 中</w:t>
            </w:r>
          </w:p>
        </w:tc>
      </w:tr>
      <w:tr>
        <w:trPr>
          <w:trHeight w:val="725"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分布式通信系统</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3,209,609.91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本项目完成后，可以解决坑道、洞库、地下指挥所、核岛等特殊 场景和封闭地下空间提供无线通信。</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已经结项</w:t>
            </w:r>
          </w:p>
        </w:tc>
      </w:tr>
    </w:tbl>
    <w:p>
      <w:pPr>
        <w:spacing w:lineRule="exact" w:line="1"/>
        <w:rPr>
          <w:sz w:val="2"/>
          <w:szCs w:val="2"/>
        </w:rPr>
      </w:pPr>
      <w:r>
        <w:br w:type="page"/>
      </w:r>
    </w:p>
    <w:tbl>
      <w:tblPr>
        <w:tblOverlap w:val="never"/>
        <w:jc w:val="center"/>
        <w:tblLayout w:type="fixed"/>
      </w:tblPr>
      <w:tblGrid>
        <w:gridCol w:w="2021"/>
        <w:gridCol w:w="1685"/>
        <w:gridCol w:w="5218"/>
        <w:gridCol w:w="946"/>
      </w:tblGrid>
      <w:tr>
        <w:trPr>
          <w:trHeight w:val="134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智能便携终端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rPr>
                <w:sz w:val="18"/>
                <w:szCs w:val="18"/>
              </w:rPr>
            </w:pPr>
            <w:r>
              <w:rPr>
                <w:rFonts w:ascii="Times New Roman" w:eastAsia="Times New Roman" w:hAnsi="Times New Roman" w:cs="Times New Roman"/>
                <w:color w:val="000000"/>
                <w:spacing w:val="0"/>
                <w:w w:val="100"/>
                <w:position w:val="0"/>
                <w:sz w:val="18"/>
                <w:szCs w:val="18"/>
              </w:rPr>
              <w:t>531,283.13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本项目完成后为客户提供高可靠性，高度安全的多功能智能便携 终端，该设备高度集成，功能多样，可以满足用户的多样化需求， 尤其是能满足核电用户电磁安全和信息安全的刚性需求，降低综 合成本。</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已经结项</w:t>
            </w:r>
          </w:p>
        </w:tc>
      </w:tr>
      <w:tr>
        <w:trPr>
          <w:trHeight w:val="16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综合通信基站</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2,158,471.75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center"/>
            </w:pPr>
            <w:r>
              <w:rPr>
                <w:color w:val="000000"/>
                <w:spacing w:val="0"/>
                <w:w w:val="100"/>
                <w:position w:val="0"/>
              </w:rPr>
              <w:t>本项目集</w:t>
            </w:r>
            <w:r>
              <w:rPr>
                <w:rFonts w:ascii="Times New Roman" w:eastAsia="Times New Roman" w:hAnsi="Times New Roman" w:cs="Times New Roman"/>
                <w:color w:val="000000"/>
                <w:spacing w:val="0"/>
                <w:w w:val="100"/>
                <w:position w:val="0"/>
                <w:sz w:val="18"/>
                <w:szCs w:val="18"/>
              </w:rPr>
              <w:t>WiFi</w:t>
            </w:r>
            <w:r>
              <w:rPr>
                <w:color w:val="000000"/>
                <w:spacing w:val="0"/>
                <w:w w:val="100"/>
                <w:position w:val="0"/>
              </w:rPr>
              <w:t>技术、物联网通信技术和入侵检测技术于一体， 为客户提供高度集成的一揽子解决方案，加快客户的部署速度， 降低客户的维护成本，综合通信基站设备配合多业务控制器、集 中转发器、数据分发服务器完成宽带数据接入和物联网数据汇聚 转发等功能。</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已经结项</w:t>
            </w:r>
          </w:p>
        </w:tc>
      </w:tr>
      <w:tr>
        <w:trPr>
          <w:trHeight w:val="1651"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200"/>
              <w:jc w:val="left"/>
            </w:pPr>
            <w:r>
              <w:rPr>
                <w:color w:val="000000"/>
                <w:spacing w:val="0"/>
                <w:w w:val="100"/>
                <w:position w:val="0"/>
              </w:rPr>
              <w:t>核电站专用耐辐照基</w:t>
            </w:r>
          </w:p>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站系统</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2,703,038.03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1" w:lineRule="exact"/>
              <w:ind w:left="0" w:right="0" w:firstLine="0"/>
              <w:jc w:val="center"/>
            </w:pPr>
            <w:r>
              <w:rPr>
                <w:color w:val="000000"/>
                <w:spacing w:val="0"/>
                <w:w w:val="100"/>
                <w:position w:val="0"/>
              </w:rPr>
              <w:t>本项目为核电用户提供在所有非辐射区及辐射区的建筑物内需 要覆盖无线信号的区域，包括核岛内非辐射及辐射区厂房、常规 岛非辐射及辐射区厂房、厂内</w:t>
            </w:r>
            <w:r>
              <w:rPr>
                <w:rFonts w:ascii="Times New Roman" w:eastAsia="Times New Roman" w:hAnsi="Times New Roman" w:cs="Times New Roman"/>
                <w:color w:val="000000"/>
                <w:spacing w:val="0"/>
                <w:w w:val="100"/>
                <w:position w:val="0"/>
                <w:sz w:val="18"/>
                <w:szCs w:val="18"/>
              </w:rPr>
              <w:t>BOP</w:t>
            </w:r>
            <w:r>
              <w:rPr>
                <w:color w:val="000000"/>
                <w:spacing w:val="0"/>
                <w:w w:val="100"/>
                <w:position w:val="0"/>
              </w:rPr>
              <w:t>和厂外</w:t>
            </w:r>
            <w:r>
              <w:rPr>
                <w:rFonts w:ascii="Times New Roman" w:eastAsia="Times New Roman" w:hAnsi="Times New Roman" w:cs="Times New Roman"/>
                <w:color w:val="000000"/>
                <w:spacing w:val="0"/>
                <w:w w:val="100"/>
                <w:position w:val="0"/>
                <w:sz w:val="18"/>
                <w:szCs w:val="18"/>
              </w:rPr>
              <w:t>BOP</w:t>
            </w:r>
            <w:r>
              <w:rPr>
                <w:color w:val="000000"/>
                <w:spacing w:val="0"/>
                <w:w w:val="100"/>
                <w:position w:val="0"/>
              </w:rPr>
              <w:t>的建筑，以满足 核电用户在厂区要求全覆盖的刚性需求；本项目满足核电站的信 息安全、电磁兼容、信号覆盖和耐辐照等需求。</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已经结项</w:t>
            </w:r>
          </w:p>
        </w:tc>
      </w:tr>
      <w:tr>
        <w:trPr>
          <w:trHeight w:val="102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电力物联网传感器系 统</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4,700,352.12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center"/>
            </w:pPr>
            <w:r>
              <w:rPr>
                <w:color w:val="000000"/>
                <w:spacing w:val="0"/>
                <w:w w:val="100"/>
                <w:position w:val="0"/>
              </w:rPr>
              <w:t>本项目是完成后可以实现在具体的电力实施环境中对电力设备 的运行状态和当前设备的运行环境进行实时的侦测和上传，同时 后台可以根据大数据做进一步的分析操作。</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已经结项</w:t>
            </w:r>
          </w:p>
        </w:tc>
      </w:tr>
      <w:tr>
        <w:trPr>
          <w:trHeight w:val="1339"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长距离周界系统</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4,071,389.49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center"/>
            </w:pPr>
            <w:r>
              <w:rPr>
                <w:color w:val="000000"/>
                <w:spacing w:val="0"/>
                <w:w w:val="100"/>
                <w:position w:val="0"/>
              </w:rPr>
              <w:t>本项目是完成后可以增加视频复核功能，提高系统的易用性和实 用性，增加模型管理模块，方便用户之间实现模型的管理和更新 替换，可以使系统适用于多种复杂环境，扩大最大告警范围至</w:t>
            </w:r>
            <w:r>
              <w:rPr>
                <w:rFonts w:ascii="Times New Roman" w:eastAsia="Times New Roman" w:hAnsi="Times New Roman" w:cs="Times New Roman"/>
                <w:color w:val="000000"/>
                <w:spacing w:val="0"/>
                <w:w w:val="100"/>
                <w:position w:val="0"/>
                <w:sz w:val="18"/>
                <w:szCs w:val="18"/>
              </w:rPr>
              <w:t xml:space="preserve">20 </w:t>
            </w:r>
            <w:r>
              <w:rPr>
                <w:color w:val="000000"/>
                <w:spacing w:val="0"/>
                <w:w w:val="100"/>
                <w:position w:val="0"/>
              </w:rPr>
              <w:t>倍。</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已经结项</w:t>
            </w:r>
          </w:p>
        </w:tc>
      </w:tr>
      <w:tr>
        <w:trPr>
          <w:trHeight w:val="195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法律搜索平台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2,720,842.40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center"/>
            </w:pPr>
            <w:r>
              <w:rPr>
                <w:color w:val="000000"/>
                <w:spacing w:val="0"/>
                <w:w w:val="100"/>
                <w:position w:val="0"/>
              </w:rPr>
              <w:t>利用</w:t>
            </w:r>
            <w:r>
              <w:rPr>
                <w:rFonts w:ascii="Times New Roman" w:eastAsia="Times New Roman" w:hAnsi="Times New Roman" w:cs="Times New Roman"/>
                <w:color w:val="000000"/>
                <w:spacing w:val="0"/>
                <w:w w:val="100"/>
                <w:position w:val="0"/>
                <w:sz w:val="18"/>
                <w:szCs w:val="18"/>
              </w:rPr>
              <w:t>AI</w:t>
            </w:r>
            <w:r>
              <w:rPr>
                <w:color w:val="000000"/>
                <w:spacing w:val="0"/>
                <w:w w:val="100"/>
                <w:position w:val="0"/>
              </w:rPr>
              <w:t>研究院自主创新研发的中文语义理解技术，将信息抽取、 文本分类、实体识别、指代消解、语义消歧等技术手段与司法知 识体系有机结合，精准提取司法数据中的知识点，实现司法知识 信息的结构化落地，形成全面的司法知识图谱。最终以司法知识 图谱为支撑，结合搜索引擎、意图识别等自然语言理解技术提供 司法检索服务。</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已经结项</w:t>
            </w:r>
          </w:p>
        </w:tc>
      </w:tr>
      <w:tr>
        <w:trPr>
          <w:trHeight w:val="102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实体分析平台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2,943,465.81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center"/>
            </w:pPr>
            <w:r>
              <w:rPr>
                <w:color w:val="000000"/>
                <w:spacing w:val="0"/>
                <w:w w:val="100"/>
                <w:position w:val="0"/>
              </w:rPr>
              <w:t>本项目完成后可以实现数据资源盘点、联接、规范管理，形成企 业的</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数据资产</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管理体系，避免重复开发，确保前端业务</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轻量 化</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，同时提升数据提取、整合与统一输出的能力。</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已经结项</w:t>
            </w:r>
          </w:p>
        </w:tc>
      </w:tr>
      <w:tr>
        <w:trPr>
          <w:trHeight w:val="102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业务定义平台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3,519,985.18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本项目完成后提供灵活、易用、高效可视化构建业务场景能力， 通过利用可视化组件，对业务功能场景进行自由编排，是一个简 单易用的</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业务场景生成器</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业务功能生成工具。</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已经结项</w:t>
            </w:r>
          </w:p>
        </w:tc>
      </w:tr>
      <w:tr>
        <w:trPr>
          <w:trHeight w:val="196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22" w:lineRule="exact"/>
              <w:ind w:left="0" w:right="0" w:firstLine="0"/>
              <w:jc w:val="center"/>
            </w:pPr>
            <w:r>
              <w:rPr>
                <w:color w:val="000000"/>
                <w:spacing w:val="0"/>
                <w:w w:val="100"/>
                <w:position w:val="0"/>
              </w:rPr>
              <w:t>基于</w:t>
            </w:r>
            <w:r>
              <w:rPr>
                <w:rFonts w:ascii="Times New Roman" w:eastAsia="Times New Roman" w:hAnsi="Times New Roman" w:cs="Times New Roman"/>
                <w:color w:val="000000"/>
                <w:spacing w:val="0"/>
                <w:w w:val="100"/>
                <w:position w:val="0"/>
                <w:sz w:val="18"/>
                <w:szCs w:val="18"/>
              </w:rPr>
              <w:t>3D</w:t>
            </w:r>
            <w:r>
              <w:rPr>
                <w:color w:val="000000"/>
                <w:spacing w:val="0"/>
                <w:w w:val="100"/>
                <w:position w:val="0"/>
              </w:rPr>
              <w:t>可视化的机房 管理系统</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2,061,535.54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5" w:lineRule="exact"/>
              <w:ind w:left="0" w:right="0" w:firstLine="0"/>
              <w:jc w:val="center"/>
            </w:pPr>
            <w:r>
              <w:rPr>
                <w:color w:val="000000"/>
                <w:spacing w:val="0"/>
                <w:w w:val="100"/>
                <w:position w:val="0"/>
              </w:rPr>
              <w:t>本项目以</w:t>
            </w:r>
            <w:r>
              <w:rPr>
                <w:rFonts w:ascii="Times New Roman" w:eastAsia="Times New Roman" w:hAnsi="Times New Roman" w:cs="Times New Roman"/>
                <w:color w:val="000000"/>
                <w:spacing w:val="0"/>
                <w:w w:val="100"/>
                <w:position w:val="0"/>
                <w:sz w:val="18"/>
                <w:szCs w:val="18"/>
              </w:rPr>
              <w:t>3D</w:t>
            </w:r>
            <w:r>
              <w:rPr>
                <w:color w:val="000000"/>
                <w:spacing w:val="0"/>
                <w:w w:val="100"/>
                <w:position w:val="0"/>
              </w:rPr>
              <w:t>可视化作为重要管理手段，对机房资产设备，资源 设备运行状况等进行全面监控和管理。通过采集设备、传输设备 和管理设备等，将机房内分散的多种专业监控系统、资产管理系 统、运维流程管理系统融合在构建数据中心的</w:t>
            </w:r>
            <w:r>
              <w:rPr>
                <w:rFonts w:ascii="Times New Roman" w:eastAsia="Times New Roman" w:hAnsi="Times New Roman" w:cs="Times New Roman"/>
                <w:color w:val="000000"/>
                <w:spacing w:val="0"/>
                <w:w w:val="100"/>
                <w:position w:val="0"/>
                <w:sz w:val="18"/>
                <w:szCs w:val="18"/>
              </w:rPr>
              <w:t>3D</w:t>
            </w:r>
            <w:r>
              <w:rPr>
                <w:color w:val="000000"/>
                <w:spacing w:val="0"/>
                <w:w w:val="100"/>
                <w:position w:val="0"/>
              </w:rPr>
              <w:t>全息图景中； 建立统一监控、统一预警、统一资产管理以及统一空间规划，并 提供规范化的系统管理流程。</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98" w:lineRule="exact"/>
              <w:ind w:left="0" w:right="0" w:firstLine="0"/>
              <w:jc w:val="center"/>
            </w:pPr>
            <w:r>
              <w:rPr>
                <w:color w:val="000000"/>
                <w:spacing w:val="0"/>
                <w:w w:val="100"/>
                <w:position w:val="0"/>
              </w:rPr>
              <w:t>正在研发 中</w:t>
            </w:r>
          </w:p>
        </w:tc>
      </w:tr>
      <w:tr>
        <w:trPr>
          <w:trHeight w:val="682"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pPr>
            <w:r>
              <w:rPr>
                <w:color w:val="000000"/>
                <w:spacing w:val="0"/>
                <w:w w:val="100"/>
                <w:position w:val="0"/>
              </w:rPr>
              <w:t>商业气象云服务平台</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2,368,154.02</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02" w:lineRule="exact"/>
              <w:ind w:left="0" w:right="0" w:firstLine="0"/>
              <w:jc w:val="both"/>
            </w:pPr>
            <w:r>
              <w:rPr>
                <w:color w:val="000000"/>
                <w:spacing w:val="0"/>
                <w:w w:val="100"/>
                <w:position w:val="0"/>
              </w:rPr>
              <w:t>本项目主要建设气象云数据服务平台，通过对气象数据的收集， 加工处理并结合交通、农业、电力、旅游等行业利于大数据、人</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已经结项</w:t>
            </w:r>
          </w:p>
        </w:tc>
      </w:tr>
    </w:tbl>
    <w:p>
      <w:pPr>
        <w:sectPr>
          <w:headerReference w:type="default" r:id="rId147"/>
          <w:footerReference w:type="default" r:id="rId148"/>
          <w:headerReference w:type="even" r:id="rId149"/>
          <w:footerReference w:type="even" r:id="rId150"/>
          <w:headerReference w:type="first" r:id="rId151"/>
          <w:footerReference w:type="first" r:id="rId152"/>
          <w:footnotePr>
            <w:pos w:val="pageBottom"/>
            <w:numFmt w:val="decimal"/>
            <w:numRestart w:val="continuous"/>
          </w:footnotePr>
          <w:pgSz w:w="11904" w:h="17375"/>
          <w:pgMar w:top="1675" w:right="936" w:bottom="1702" w:left="926" w:header="0" w:footer="3" w:gutter="0"/>
          <w:cols w:space="720"/>
          <w:noEndnote/>
          <w:titlePg/>
          <w:rtlGutter w:val="0"/>
          <w:docGrid w:linePitch="360"/>
        </w:sectPr>
      </w:pPr>
    </w:p>
    <w:tbl>
      <w:tblPr>
        <w:tblOverlap w:val="never"/>
        <w:jc w:val="center"/>
        <w:tblLayout w:type="fixed"/>
      </w:tblPr>
      <w:tblGrid>
        <w:gridCol w:w="2021"/>
        <w:gridCol w:w="1685"/>
        <w:gridCol w:w="5218"/>
        <w:gridCol w:w="946"/>
      </w:tblGrid>
      <w:tr>
        <w:trPr>
          <w:trHeight w:val="1061"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center"/>
            </w:pPr>
            <w:r>
              <w:rPr>
                <w:color w:val="000000"/>
                <w:spacing w:val="0"/>
                <w:w w:val="100"/>
                <w:position w:val="0"/>
              </w:rPr>
              <w:t>工识别等技术形成气象</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行业的产品，建设分布式的数据及产品 的存储环境。通过数据服务、产品推送等方式实现气象产品的应 用。</w:t>
            </w: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德丰</w:t>
            </w:r>
            <w:r>
              <w:rPr>
                <w:rFonts w:ascii="Times New Roman" w:eastAsia="Times New Roman" w:hAnsi="Times New Roman" w:cs="Times New Roman"/>
                <w:color w:val="000000"/>
                <w:spacing w:val="0"/>
                <w:w w:val="100"/>
                <w:position w:val="0"/>
                <w:sz w:val="18"/>
                <w:szCs w:val="18"/>
              </w:rPr>
              <w:t>5G</w:t>
            </w:r>
            <w:r>
              <w:rPr>
                <w:color w:val="000000"/>
                <w:spacing w:val="0"/>
                <w:w w:val="100"/>
                <w:position w:val="0"/>
              </w:rPr>
              <w:t>消息气象服务</w:t>
            </w:r>
          </w:p>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云平台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left"/>
              <w:rPr>
                <w:sz w:val="18"/>
                <w:szCs w:val="18"/>
              </w:rPr>
            </w:pPr>
            <w:r>
              <w:rPr>
                <w:rFonts w:ascii="Times New Roman" w:eastAsia="Times New Roman" w:hAnsi="Times New Roman" w:cs="Times New Roman"/>
                <w:color w:val="000000"/>
                <w:spacing w:val="0"/>
                <w:w w:val="100"/>
                <w:position w:val="0"/>
                <w:sz w:val="18"/>
                <w:szCs w:val="18"/>
              </w:rPr>
              <w:t>2,706,541.44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9" w:lineRule="exact"/>
              <w:ind w:left="0" w:right="0" w:firstLine="0"/>
              <w:jc w:val="center"/>
            </w:pPr>
            <w:r>
              <w:rPr>
                <w:color w:val="000000"/>
                <w:spacing w:val="0"/>
                <w:w w:val="100"/>
                <w:position w:val="0"/>
              </w:rPr>
              <w:t>本项目基于</w:t>
            </w:r>
            <w:r>
              <w:rPr>
                <w:rFonts w:ascii="Times New Roman" w:eastAsia="Times New Roman" w:hAnsi="Times New Roman" w:cs="Times New Roman"/>
                <w:color w:val="000000"/>
                <w:spacing w:val="0"/>
                <w:w w:val="100"/>
                <w:position w:val="0"/>
                <w:sz w:val="18"/>
                <w:szCs w:val="18"/>
              </w:rPr>
              <w:t>spnngboot</w:t>
            </w:r>
            <w:r>
              <w:rPr>
                <w:color w:val="000000"/>
                <w:spacing w:val="0"/>
                <w:w w:val="100"/>
                <w:position w:val="0"/>
              </w:rPr>
              <w:t>和微服务思想开发的管理平台，提供一整 套气象</w:t>
            </w:r>
            <w:r>
              <w:rPr>
                <w:rFonts w:ascii="Times New Roman" w:eastAsia="Times New Roman" w:hAnsi="Times New Roman" w:cs="Times New Roman"/>
                <w:color w:val="000000"/>
                <w:spacing w:val="0"/>
                <w:w w:val="100"/>
                <w:position w:val="0"/>
                <w:sz w:val="18"/>
                <w:szCs w:val="18"/>
              </w:rPr>
              <w:t>5G</w:t>
            </w:r>
            <w:r>
              <w:rPr>
                <w:color w:val="000000"/>
                <w:spacing w:val="0"/>
                <w:w w:val="100"/>
                <w:position w:val="0"/>
              </w:rPr>
              <w:t>消息云平台处理方案。可以在平台可视化操作后台服 务，各个服务之间通过配置中心联系在一起服务于管理系统。</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98" w:lineRule="exact"/>
              <w:ind w:left="0" w:right="0" w:firstLine="0"/>
              <w:jc w:val="center"/>
            </w:pPr>
            <w:r>
              <w:rPr>
                <w:color w:val="000000"/>
                <w:spacing w:val="0"/>
                <w:w w:val="100"/>
                <w:position w:val="0"/>
              </w:rPr>
              <w:t>正在研发 中</w:t>
            </w:r>
          </w:p>
        </w:tc>
      </w:tr>
      <w:tr>
        <w:trPr>
          <w:trHeight w:val="1651"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北京市教育教学工作 专家评审复核平台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left"/>
              <w:rPr>
                <w:sz w:val="18"/>
                <w:szCs w:val="18"/>
              </w:rPr>
            </w:pPr>
            <w:r>
              <w:rPr>
                <w:rFonts w:ascii="Times New Roman" w:eastAsia="Times New Roman" w:hAnsi="Times New Roman" w:cs="Times New Roman"/>
                <w:color w:val="000000"/>
                <w:spacing w:val="0"/>
                <w:w w:val="100"/>
                <w:position w:val="0"/>
                <w:sz w:val="18"/>
                <w:szCs w:val="18"/>
              </w:rPr>
              <w:t>17,561.59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3" w:lineRule="exact"/>
              <w:ind w:left="0" w:right="0" w:firstLine="0"/>
              <w:jc w:val="center"/>
            </w:pPr>
            <w:r>
              <w:rPr>
                <w:color w:val="000000"/>
                <w:spacing w:val="0"/>
                <w:w w:val="100"/>
                <w:position w:val="0"/>
              </w:rPr>
              <w:t>教育教学工作专家评审复核平台通过与教学整改系统对接，采用 大数据分析技术，灵活的教学整改评分和审核机制，通过标准化 的评分标准设置，对教学整改效果进行多方位、深层次的综合分 析评分，对校方教育、教学、管理进行综合评分评价，为校方教 学整改提供有数据依据的意见和建议。</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已经结项</w:t>
            </w:r>
          </w:p>
        </w:tc>
      </w:tr>
      <w:tr>
        <w:trPr>
          <w:trHeight w:val="41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left"/>
              <w:rPr>
                <w:sz w:val="18"/>
                <w:szCs w:val="18"/>
              </w:rPr>
            </w:pPr>
            <w:r>
              <w:rPr>
                <w:rFonts w:ascii="Times New Roman" w:eastAsia="Times New Roman" w:hAnsi="Times New Roman" w:cs="Times New Roman"/>
                <w:b/>
                <w:bCs/>
                <w:color w:val="000000"/>
                <w:spacing w:val="0"/>
                <w:w w:val="100"/>
                <w:position w:val="0"/>
                <w:sz w:val="18"/>
                <w:szCs w:val="18"/>
              </w:rPr>
              <w:t>76,171,228.73</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pStyle w:val="Style41"/>
        <w:keepNext w:val="0"/>
        <w:keepLines w:val="0"/>
        <w:widowControl w:val="0"/>
        <w:shd w:val="clear" w:color="auto" w:fill="auto"/>
        <w:bidi w:val="0"/>
        <w:spacing w:before="0" w:after="0" w:line="480" w:lineRule="exact"/>
        <w:ind w:left="0" w:right="0" w:firstLine="0"/>
        <w:jc w:val="left"/>
      </w:pPr>
      <w:r>
        <w:rPr>
          <w:b/>
          <w:bCs/>
          <w:color w:val="000000"/>
          <w:spacing w:val="0"/>
          <w:w w:val="100"/>
          <w:position w:val="0"/>
        </w:rPr>
        <w:t>公司研发投入资本化的依据及相关内控制度的内容和执行情况：</w:t>
      </w:r>
    </w:p>
    <w:p>
      <w:pPr>
        <w:pStyle w:val="Style41"/>
        <w:keepNext w:val="0"/>
        <w:keepLines w:val="0"/>
        <w:widowControl w:val="0"/>
        <w:shd w:val="clear" w:color="auto" w:fill="auto"/>
        <w:bidi w:val="0"/>
        <w:spacing w:before="0" w:after="0" w:line="480" w:lineRule="exact"/>
        <w:ind w:left="0" w:right="0" w:firstLine="0"/>
        <w:jc w:val="left"/>
      </w:pPr>
      <w:r>
        <w:rPr>
          <w:color w:val="000000"/>
          <w:spacing w:val="0"/>
          <w:w w:val="100"/>
          <w:position w:val="0"/>
        </w:rPr>
        <w:t>公司内部研究开发项目的支出分为研究阶段支出和开发阶段支出。研究阶段的支出，在发生时计入当期损益。内部研究开发 项目开发阶段的支出，同时满足下列条件时确认为无形资产：</w:t>
      </w:r>
    </w:p>
    <w:p>
      <w:pPr>
        <w:pStyle w:val="Style41"/>
        <w:keepNext w:val="0"/>
        <w:keepLines w:val="0"/>
        <w:widowControl w:val="0"/>
        <w:shd w:val="clear" w:color="auto" w:fill="auto"/>
        <w:tabs>
          <w:tab w:pos="445" w:val="left"/>
        </w:tabs>
        <w:bidi w:val="0"/>
        <w:spacing w:before="0" w:after="0" w:line="480" w:lineRule="exact"/>
        <w:ind w:left="0" w:right="0" w:firstLine="0"/>
        <w:jc w:val="left"/>
      </w:pPr>
      <w:bookmarkStart w:id="281" w:name="bookmark281"/>
      <w:r>
        <w:rPr>
          <w:color w:val="000000"/>
          <w:spacing w:val="0"/>
          <w:w w:val="100"/>
          <w:position w:val="0"/>
        </w:rPr>
        <w:t>（</w:t>
      </w:r>
      <w:bookmarkEnd w:id="281"/>
      <w:r>
        <w:rPr>
          <w:rFonts w:ascii="Times New Roman" w:eastAsia="Times New Roman" w:hAnsi="Times New Roman" w:cs="Times New Roman"/>
          <w:color w:val="000000"/>
          <w:spacing w:val="0"/>
          <w:w w:val="100"/>
          <w:position w:val="0"/>
          <w:sz w:val="18"/>
          <w:szCs w:val="18"/>
        </w:rPr>
        <w:t>1</w:t>
      </w:r>
      <w:r>
        <w:rPr>
          <w:color w:val="000000"/>
          <w:spacing w:val="0"/>
          <w:w w:val="100"/>
          <w:position w:val="0"/>
        </w:rPr>
        <w:t>）</w:t>
        <w:tab/>
        <w:t>完成该无形资产以使其能够使用或出售在技术上具有可行性；</w:t>
      </w:r>
    </w:p>
    <w:p>
      <w:pPr>
        <w:pStyle w:val="Style41"/>
        <w:keepNext w:val="0"/>
        <w:keepLines w:val="0"/>
        <w:widowControl w:val="0"/>
        <w:shd w:val="clear" w:color="auto" w:fill="auto"/>
        <w:tabs>
          <w:tab w:pos="445" w:val="left"/>
        </w:tabs>
        <w:bidi w:val="0"/>
        <w:spacing w:before="0" w:after="0" w:line="480" w:lineRule="exact"/>
        <w:ind w:left="0" w:right="0" w:firstLine="0"/>
        <w:jc w:val="left"/>
      </w:pPr>
      <w:bookmarkStart w:id="282" w:name="bookmark282"/>
      <w:r>
        <w:rPr>
          <w:color w:val="000000"/>
          <w:spacing w:val="0"/>
          <w:w w:val="100"/>
          <w:position w:val="0"/>
        </w:rPr>
        <w:t>（</w:t>
      </w:r>
      <w:bookmarkEnd w:id="282"/>
      <w:r>
        <w:rPr>
          <w:rFonts w:ascii="Times New Roman" w:eastAsia="Times New Roman" w:hAnsi="Times New Roman" w:cs="Times New Roman"/>
          <w:color w:val="000000"/>
          <w:spacing w:val="0"/>
          <w:w w:val="100"/>
          <w:position w:val="0"/>
          <w:sz w:val="18"/>
          <w:szCs w:val="18"/>
        </w:rPr>
        <w:t>2</w:t>
      </w:r>
      <w:r>
        <w:rPr>
          <w:color w:val="000000"/>
          <w:spacing w:val="0"/>
          <w:w w:val="100"/>
          <w:position w:val="0"/>
        </w:rPr>
        <w:t>）</w:t>
        <w:tab/>
        <w:t>具有完成该无形资产并使用或出售的意图；</w:t>
      </w:r>
    </w:p>
    <w:p>
      <w:pPr>
        <w:pStyle w:val="Style41"/>
        <w:keepNext w:val="0"/>
        <w:keepLines w:val="0"/>
        <w:widowControl w:val="0"/>
        <w:shd w:val="clear" w:color="auto" w:fill="auto"/>
        <w:tabs>
          <w:tab w:pos="541" w:val="left"/>
        </w:tabs>
        <w:bidi w:val="0"/>
        <w:spacing w:before="0" w:after="0" w:line="480" w:lineRule="exact"/>
        <w:ind w:left="0" w:right="0" w:firstLine="0"/>
        <w:jc w:val="left"/>
      </w:pPr>
      <w:bookmarkStart w:id="283" w:name="bookmark283"/>
      <w:r>
        <w:rPr>
          <w:color w:val="000000"/>
          <w:spacing w:val="0"/>
          <w:w w:val="100"/>
          <w:position w:val="0"/>
        </w:rPr>
        <w:t>（</w:t>
      </w:r>
      <w:bookmarkEnd w:id="283"/>
      <w:r>
        <w:rPr>
          <w:rFonts w:ascii="Times New Roman" w:eastAsia="Times New Roman" w:hAnsi="Times New Roman" w:cs="Times New Roman"/>
          <w:color w:val="000000"/>
          <w:spacing w:val="0"/>
          <w:w w:val="100"/>
          <w:position w:val="0"/>
          <w:sz w:val="18"/>
          <w:szCs w:val="18"/>
        </w:rPr>
        <w:t>3</w:t>
      </w:r>
      <w:r>
        <w:rPr>
          <w:color w:val="000000"/>
          <w:spacing w:val="0"/>
          <w:w w:val="100"/>
          <w:position w:val="0"/>
        </w:rPr>
        <w:t>）</w:t>
        <w:tab/>
        <w:t>无形资产产生经济利益的方式，包括能够证明运用该无形资产生产的产品存在市场或无形资产自身存在市场，无形资 产将在内部使用的，能够证明其有用性；</w:t>
      </w:r>
    </w:p>
    <w:p>
      <w:pPr>
        <w:pStyle w:val="Style41"/>
        <w:keepNext w:val="0"/>
        <w:keepLines w:val="0"/>
        <w:widowControl w:val="0"/>
        <w:shd w:val="clear" w:color="auto" w:fill="auto"/>
        <w:tabs>
          <w:tab w:pos="445" w:val="left"/>
        </w:tabs>
        <w:bidi w:val="0"/>
        <w:spacing w:before="0" w:after="0" w:line="466" w:lineRule="exact"/>
        <w:ind w:left="0" w:right="0" w:firstLine="0"/>
        <w:jc w:val="left"/>
      </w:pPr>
      <w:bookmarkStart w:id="284" w:name="bookmark284"/>
      <w:r>
        <w:rPr>
          <w:color w:val="000000"/>
          <w:spacing w:val="0"/>
          <w:w w:val="100"/>
          <w:position w:val="0"/>
        </w:rPr>
        <w:t>（</w:t>
      </w:r>
      <w:bookmarkEnd w:id="284"/>
      <w:r>
        <w:rPr>
          <w:rFonts w:ascii="Times New Roman" w:eastAsia="Times New Roman" w:hAnsi="Times New Roman" w:cs="Times New Roman"/>
          <w:color w:val="000000"/>
          <w:spacing w:val="0"/>
          <w:w w:val="100"/>
          <w:position w:val="0"/>
          <w:sz w:val="18"/>
          <w:szCs w:val="18"/>
        </w:rPr>
        <w:t>4</w:t>
      </w:r>
      <w:r>
        <w:rPr>
          <w:color w:val="000000"/>
          <w:spacing w:val="0"/>
          <w:w w:val="100"/>
          <w:position w:val="0"/>
        </w:rPr>
        <w:t>）</w:t>
        <w:tab/>
        <w:t>有足够的技术、财务资源和其他资源支持，以完成该无形资产的开发，并有能力使用或出售该无形资产；</w:t>
      </w:r>
    </w:p>
    <w:p>
      <w:pPr>
        <w:pStyle w:val="Style41"/>
        <w:keepNext w:val="0"/>
        <w:keepLines w:val="0"/>
        <w:widowControl w:val="0"/>
        <w:shd w:val="clear" w:color="auto" w:fill="auto"/>
        <w:tabs>
          <w:tab w:pos="445" w:val="left"/>
        </w:tabs>
        <w:bidi w:val="0"/>
        <w:spacing w:before="0" w:after="0" w:line="466" w:lineRule="exact"/>
        <w:ind w:left="0" w:right="0" w:firstLine="0"/>
        <w:jc w:val="left"/>
      </w:pPr>
      <w:bookmarkStart w:id="285" w:name="bookmark285"/>
      <w:r>
        <w:rPr>
          <w:color w:val="000000"/>
          <w:spacing w:val="0"/>
          <w:w w:val="100"/>
          <w:position w:val="0"/>
        </w:rPr>
        <w:t>（</w:t>
      </w:r>
      <w:bookmarkEnd w:id="285"/>
      <w:r>
        <w:rPr>
          <w:rFonts w:ascii="Times New Roman" w:eastAsia="Times New Roman" w:hAnsi="Times New Roman" w:cs="Times New Roman"/>
          <w:color w:val="000000"/>
          <w:spacing w:val="0"/>
          <w:w w:val="100"/>
          <w:position w:val="0"/>
          <w:sz w:val="18"/>
          <w:szCs w:val="18"/>
        </w:rPr>
        <w:t>5</w:t>
      </w:r>
      <w:r>
        <w:rPr>
          <w:color w:val="000000"/>
          <w:spacing w:val="0"/>
          <w:w w:val="100"/>
          <w:position w:val="0"/>
        </w:rPr>
        <w:t>）</w:t>
        <w:tab/>
        <w:t>归属于该无形资产开发阶段的支出能够可靠地计量。</w:t>
      </w:r>
    </w:p>
    <w:p>
      <w:pPr>
        <w:pStyle w:val="Style41"/>
        <w:keepNext w:val="0"/>
        <w:keepLines w:val="0"/>
        <w:widowControl w:val="0"/>
        <w:shd w:val="clear" w:color="auto" w:fill="auto"/>
        <w:bidi w:val="0"/>
        <w:spacing w:before="0" w:after="0" w:line="466" w:lineRule="exact"/>
        <w:ind w:left="0" w:right="0" w:firstLine="0"/>
        <w:jc w:val="left"/>
      </w:pPr>
      <w:r>
        <w:rPr>
          <w:color w:val="000000"/>
          <w:spacing w:val="0"/>
          <w:w w:val="100"/>
          <w:position w:val="0"/>
        </w:rPr>
        <w:t>开发阶段的支出，若不满足上列条件的，于发生时计入当期损益。</w:t>
      </w:r>
    </w:p>
    <w:p>
      <w:pPr>
        <w:pStyle w:val="Style41"/>
        <w:keepNext w:val="0"/>
        <w:keepLines w:val="0"/>
        <w:widowControl w:val="0"/>
        <w:shd w:val="clear" w:color="auto" w:fill="auto"/>
        <w:bidi w:val="0"/>
        <w:spacing w:before="0" w:after="480" w:line="466" w:lineRule="exact"/>
        <w:ind w:left="0" w:right="0" w:firstLine="0"/>
        <w:jc w:val="left"/>
      </w:pPr>
      <w:r>
        <w:rPr>
          <w:color w:val="000000"/>
          <w:spacing w:val="0"/>
          <w:w w:val="100"/>
          <w:position w:val="0"/>
        </w:rPr>
        <w:t>公司研究开发项目在满足上述条件，根据相关立项及审批文件，进入开发阶段。公司制定了《关于研发支出归集及内部控制 管理制度》，依据管理制度执行，对研究开发项目单独归集核算，确保资本化的准确。</w:t>
      </w:r>
    </w:p>
    <w:p>
      <w:pPr>
        <w:pStyle w:val="Style47"/>
        <w:keepNext/>
        <w:keepLines/>
        <w:widowControl w:val="0"/>
        <w:shd w:val="clear" w:color="auto" w:fill="auto"/>
        <w:bidi w:val="0"/>
        <w:spacing w:before="0" w:after="380" w:line="240" w:lineRule="auto"/>
        <w:ind w:left="0" w:right="0" w:firstLine="0"/>
        <w:jc w:val="left"/>
      </w:pPr>
      <w:bookmarkStart w:id="286" w:name="bookmark286"/>
      <w:bookmarkStart w:id="287" w:name="bookmark287"/>
      <w:bookmarkStart w:id="288" w:name="bookmark288"/>
      <w:bookmarkStart w:id="289" w:name="bookmark289"/>
      <w:r>
        <w:rPr>
          <w:color w:val="000000"/>
          <w:spacing w:val="0"/>
          <w:w w:val="100"/>
          <w:position w:val="0"/>
        </w:rPr>
        <w:t>5</w:t>
      </w:r>
      <w:bookmarkEnd w:id="288"/>
      <w:r>
        <w:rPr>
          <w:color w:val="000000"/>
          <w:spacing w:val="0"/>
          <w:w w:val="100"/>
          <w:position w:val="0"/>
        </w:rPr>
        <w:t>、现金流</w:t>
      </w:r>
      <w:bookmarkEnd w:id="286"/>
      <w:bookmarkEnd w:id="287"/>
      <w:bookmarkEnd w:id="289"/>
    </w:p>
    <w:p>
      <w:pPr>
        <w:pStyle w:val="Style20"/>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单位：元</w:t>
      </w:r>
    </w:p>
    <w:tbl>
      <w:tblPr>
        <w:tblOverlap w:val="never"/>
        <w:jc w:val="center"/>
        <w:tblLayout w:type="fixed"/>
      </w:tblPr>
      <w:tblGrid>
        <w:gridCol w:w="2429"/>
        <w:gridCol w:w="2429"/>
        <w:gridCol w:w="2419"/>
        <w:gridCol w:w="2434"/>
      </w:tblGrid>
      <w:tr>
        <w:trPr>
          <w:trHeight w:val="40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 xml:space="preserve">2020 </w:t>
            </w:r>
            <w:r>
              <w:rPr>
                <w:color w:val="000000"/>
                <w:spacing w:val="0"/>
                <w:w w:val="100"/>
                <w:position w:val="0"/>
              </w:rPr>
              <w:t>年</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 xml:space="preserve">2019 </w:t>
            </w:r>
            <w:r>
              <w:rPr>
                <w:color w:val="000000"/>
                <w:spacing w:val="0"/>
                <w:w w:val="100"/>
                <w:position w:val="0"/>
              </w:rPr>
              <w:t>年</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同比增减</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经营活动现金流入小计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20" w:right="0" w:firstLine="0"/>
              <w:jc w:val="left"/>
              <w:rPr>
                <w:sz w:val="18"/>
                <w:szCs w:val="18"/>
              </w:rPr>
            </w:pPr>
            <w:r>
              <w:rPr>
                <w:rFonts w:ascii="Times New Roman" w:eastAsia="Times New Roman" w:hAnsi="Times New Roman" w:cs="Times New Roman"/>
                <w:color w:val="000000"/>
                <w:spacing w:val="0"/>
                <w:w w:val="100"/>
                <w:position w:val="0"/>
                <w:sz w:val="18"/>
                <w:szCs w:val="18"/>
              </w:rPr>
              <w:t>3,119,093,688.27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20" w:right="0" w:firstLine="0"/>
              <w:jc w:val="left"/>
              <w:rPr>
                <w:sz w:val="18"/>
                <w:szCs w:val="18"/>
              </w:rPr>
            </w:pPr>
            <w:r>
              <w:rPr>
                <w:rFonts w:ascii="Times New Roman" w:eastAsia="Times New Roman" w:hAnsi="Times New Roman" w:cs="Times New Roman"/>
                <w:color w:val="000000"/>
                <w:spacing w:val="0"/>
                <w:w w:val="100"/>
                <w:position w:val="0"/>
                <w:sz w:val="18"/>
                <w:szCs w:val="18"/>
              </w:rPr>
              <w:t>2,515,610,193.40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23.99%</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经营活动现金流出小计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20" w:right="0" w:firstLine="0"/>
              <w:jc w:val="left"/>
              <w:rPr>
                <w:sz w:val="18"/>
                <w:szCs w:val="18"/>
              </w:rPr>
            </w:pPr>
            <w:r>
              <w:rPr>
                <w:rFonts w:ascii="Times New Roman" w:eastAsia="Times New Roman" w:hAnsi="Times New Roman" w:cs="Times New Roman"/>
                <w:color w:val="000000"/>
                <w:spacing w:val="0"/>
                <w:w w:val="100"/>
                <w:position w:val="0"/>
                <w:sz w:val="18"/>
                <w:szCs w:val="18"/>
              </w:rPr>
              <w:t>2,477,589,987.51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20" w:right="0" w:firstLine="0"/>
              <w:jc w:val="left"/>
              <w:rPr>
                <w:sz w:val="18"/>
                <w:szCs w:val="18"/>
              </w:rPr>
            </w:pPr>
            <w:r>
              <w:rPr>
                <w:rFonts w:ascii="Times New Roman" w:eastAsia="Times New Roman" w:hAnsi="Times New Roman" w:cs="Times New Roman"/>
                <w:color w:val="000000"/>
                <w:spacing w:val="0"/>
                <w:w w:val="100"/>
                <w:position w:val="0"/>
                <w:sz w:val="18"/>
                <w:szCs w:val="18"/>
              </w:rPr>
              <w:t>2,350,723,911.91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5.40%</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经营活动产生的现金流量净额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60" w:right="0" w:firstLine="0"/>
              <w:jc w:val="left"/>
              <w:rPr>
                <w:sz w:val="18"/>
                <w:szCs w:val="18"/>
              </w:rPr>
            </w:pPr>
            <w:r>
              <w:rPr>
                <w:rFonts w:ascii="Times New Roman" w:eastAsia="Times New Roman" w:hAnsi="Times New Roman" w:cs="Times New Roman"/>
                <w:color w:val="000000"/>
                <w:spacing w:val="0"/>
                <w:w w:val="100"/>
                <w:position w:val="0"/>
                <w:sz w:val="18"/>
                <w:szCs w:val="18"/>
              </w:rPr>
              <w:t>641,503,700.76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60" w:right="0" w:firstLine="0"/>
              <w:jc w:val="left"/>
              <w:rPr>
                <w:sz w:val="18"/>
                <w:szCs w:val="18"/>
              </w:rPr>
            </w:pPr>
            <w:r>
              <w:rPr>
                <w:rFonts w:ascii="Times New Roman" w:eastAsia="Times New Roman" w:hAnsi="Times New Roman" w:cs="Times New Roman"/>
                <w:color w:val="000000"/>
                <w:spacing w:val="0"/>
                <w:w w:val="100"/>
                <w:position w:val="0"/>
                <w:sz w:val="18"/>
                <w:szCs w:val="18"/>
              </w:rPr>
              <w:t>164,886,281.49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289.06%</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投资活动现金流入小计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60" w:right="0" w:firstLine="0"/>
              <w:jc w:val="left"/>
              <w:rPr>
                <w:sz w:val="18"/>
                <w:szCs w:val="18"/>
              </w:rPr>
            </w:pPr>
            <w:r>
              <w:rPr>
                <w:rFonts w:ascii="Times New Roman" w:eastAsia="Times New Roman" w:hAnsi="Times New Roman" w:cs="Times New Roman"/>
                <w:color w:val="000000"/>
                <w:spacing w:val="0"/>
                <w:w w:val="100"/>
                <w:position w:val="0"/>
                <w:sz w:val="18"/>
                <w:szCs w:val="18"/>
              </w:rPr>
              <w:t>294,233,063.48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60" w:right="0" w:firstLine="0"/>
              <w:jc w:val="left"/>
              <w:rPr>
                <w:sz w:val="18"/>
                <w:szCs w:val="18"/>
              </w:rPr>
            </w:pPr>
            <w:r>
              <w:rPr>
                <w:rFonts w:ascii="Times New Roman" w:eastAsia="Times New Roman" w:hAnsi="Times New Roman" w:cs="Times New Roman"/>
                <w:color w:val="000000"/>
                <w:spacing w:val="0"/>
                <w:w w:val="100"/>
                <w:position w:val="0"/>
                <w:sz w:val="18"/>
                <w:szCs w:val="18"/>
              </w:rPr>
              <w:t>494,214,224.78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-40.46%</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投资活动现金流出小计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60" w:right="0" w:firstLine="0"/>
              <w:jc w:val="left"/>
              <w:rPr>
                <w:sz w:val="18"/>
                <w:szCs w:val="18"/>
              </w:rPr>
            </w:pPr>
            <w:r>
              <w:rPr>
                <w:rFonts w:ascii="Times New Roman" w:eastAsia="Times New Roman" w:hAnsi="Times New Roman" w:cs="Times New Roman"/>
                <w:color w:val="000000"/>
                <w:spacing w:val="0"/>
                <w:w w:val="100"/>
                <w:position w:val="0"/>
                <w:sz w:val="18"/>
                <w:szCs w:val="18"/>
              </w:rPr>
              <w:t>509,642,354.62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60" w:right="0" w:firstLine="0"/>
              <w:jc w:val="left"/>
              <w:rPr>
                <w:sz w:val="18"/>
                <w:szCs w:val="18"/>
              </w:rPr>
            </w:pPr>
            <w:r>
              <w:rPr>
                <w:rFonts w:ascii="Times New Roman" w:eastAsia="Times New Roman" w:hAnsi="Times New Roman" w:cs="Times New Roman"/>
                <w:color w:val="000000"/>
                <w:spacing w:val="0"/>
                <w:w w:val="100"/>
                <w:position w:val="0"/>
                <w:sz w:val="18"/>
                <w:szCs w:val="18"/>
              </w:rPr>
              <w:t>373,781,838.76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36.35%</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投资活动产生的现金流量净额</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-215,409,291.14</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60" w:right="0" w:firstLine="0"/>
              <w:jc w:val="left"/>
              <w:rPr>
                <w:sz w:val="18"/>
                <w:szCs w:val="18"/>
              </w:rPr>
            </w:pPr>
            <w:r>
              <w:rPr>
                <w:rFonts w:ascii="Times New Roman" w:eastAsia="Times New Roman" w:hAnsi="Times New Roman" w:cs="Times New Roman"/>
                <w:color w:val="000000"/>
                <w:spacing w:val="0"/>
                <w:w w:val="100"/>
                <w:position w:val="0"/>
                <w:sz w:val="18"/>
                <w:szCs w:val="18"/>
              </w:rPr>
              <w:t>120,432,386.02</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-278.86%</w:t>
            </w:r>
          </w:p>
        </w:tc>
      </w:tr>
    </w:tbl>
    <w:tbl>
      <w:tblPr>
        <w:tblOverlap w:val="never"/>
        <w:jc w:val="center"/>
        <w:tblLayout w:type="fixed"/>
      </w:tblPr>
      <w:tblGrid>
        <w:gridCol w:w="2429"/>
        <w:gridCol w:w="2429"/>
        <w:gridCol w:w="2419"/>
        <w:gridCol w:w="2434"/>
      </w:tblGrid>
      <w:tr>
        <w:trPr>
          <w:trHeight w:val="480"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 xml:space="preserve">2020 </w:t>
            </w:r>
            <w:r>
              <w:rPr>
                <w:color w:val="000000"/>
                <w:spacing w:val="0"/>
                <w:w w:val="100"/>
                <w:position w:val="0"/>
              </w:rPr>
              <w:t>年</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 xml:space="preserve">2019 </w:t>
            </w:r>
            <w:r>
              <w:rPr>
                <w:color w:val="000000"/>
                <w:spacing w:val="0"/>
                <w:w w:val="100"/>
                <w:position w:val="0"/>
              </w:rPr>
              <w:t>年</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同比增减</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筹资活动现金流入小计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60" w:right="0" w:firstLine="0"/>
              <w:jc w:val="left"/>
              <w:rPr>
                <w:sz w:val="18"/>
                <w:szCs w:val="18"/>
              </w:rPr>
            </w:pPr>
            <w:r>
              <w:rPr>
                <w:rFonts w:ascii="Times New Roman" w:eastAsia="Times New Roman" w:hAnsi="Times New Roman" w:cs="Times New Roman"/>
                <w:color w:val="000000"/>
                <w:spacing w:val="0"/>
                <w:w w:val="100"/>
                <w:position w:val="0"/>
                <w:sz w:val="18"/>
                <w:szCs w:val="18"/>
              </w:rPr>
              <w:t>529,502,658.66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20" w:right="0" w:firstLine="0"/>
              <w:jc w:val="left"/>
              <w:rPr>
                <w:sz w:val="18"/>
                <w:szCs w:val="18"/>
              </w:rPr>
            </w:pPr>
            <w:r>
              <w:rPr>
                <w:rFonts w:ascii="Times New Roman" w:eastAsia="Times New Roman" w:hAnsi="Times New Roman" w:cs="Times New Roman"/>
                <w:color w:val="000000"/>
                <w:spacing w:val="0"/>
                <w:w w:val="100"/>
                <w:position w:val="0"/>
                <w:sz w:val="18"/>
                <w:szCs w:val="18"/>
              </w:rPr>
              <w:t>1,092,221,858.46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-51.52%</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筹资活动现金流出小计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60" w:right="0" w:firstLine="0"/>
              <w:jc w:val="left"/>
              <w:rPr>
                <w:sz w:val="18"/>
                <w:szCs w:val="18"/>
              </w:rPr>
            </w:pPr>
            <w:r>
              <w:rPr>
                <w:rFonts w:ascii="Times New Roman" w:eastAsia="Times New Roman" w:hAnsi="Times New Roman" w:cs="Times New Roman"/>
                <w:color w:val="000000"/>
                <w:spacing w:val="0"/>
                <w:w w:val="100"/>
                <w:position w:val="0"/>
                <w:sz w:val="18"/>
                <w:szCs w:val="18"/>
              </w:rPr>
              <w:t>899,061,410.25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20" w:right="0" w:firstLine="0"/>
              <w:jc w:val="left"/>
              <w:rPr>
                <w:sz w:val="18"/>
                <w:szCs w:val="18"/>
              </w:rPr>
            </w:pPr>
            <w:r>
              <w:rPr>
                <w:rFonts w:ascii="Times New Roman" w:eastAsia="Times New Roman" w:hAnsi="Times New Roman" w:cs="Times New Roman"/>
                <w:color w:val="000000"/>
                <w:spacing w:val="0"/>
                <w:w w:val="100"/>
                <w:position w:val="0"/>
                <w:sz w:val="18"/>
                <w:szCs w:val="18"/>
              </w:rPr>
              <w:t>1,092,517,104.07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-17.71%</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筹资活动产生的现金流量净额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-369,558,751.59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-295,245.61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-125069.94%</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现金及现金等价物净增加额</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35,928,332.34</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288,572,821.44</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-87.55%</w:t>
            </w:r>
          </w:p>
        </w:tc>
      </w:tr>
    </w:tbl>
    <w:p>
      <w:pPr>
        <w:pStyle w:val="Style41"/>
        <w:keepNext w:val="0"/>
        <w:keepLines w:val="0"/>
        <w:widowControl w:val="0"/>
        <w:shd w:val="clear" w:color="auto" w:fill="auto"/>
        <w:bidi w:val="0"/>
        <w:spacing w:before="0" w:after="240" w:line="478" w:lineRule="exact"/>
        <w:ind w:left="0" w:right="0" w:firstLine="0"/>
        <w:jc w:val="both"/>
      </w:pPr>
      <w:r>
        <w:rPr>
          <w:b/>
          <w:bCs/>
          <w:color w:val="000000"/>
          <w:spacing w:val="0"/>
          <w:w w:val="100"/>
          <w:position w:val="0"/>
        </w:rPr>
        <w:t>相关数据同比发生重大变动的主要影响因素说明</w:t>
      </w:r>
    </w:p>
    <w:p>
      <w:pPr>
        <w:pStyle w:val="Style41"/>
        <w:keepNext w:val="0"/>
        <w:keepLines w:val="0"/>
        <w:widowControl w:val="0"/>
        <w:shd w:val="clear" w:color="auto" w:fill="auto"/>
        <w:bidi w:val="0"/>
        <w:spacing w:before="0" w:after="0" w:line="554" w:lineRule="auto"/>
        <w:ind w:left="0" w:right="0" w:firstLine="0"/>
        <w:jc w:val="both"/>
      </w:pPr>
      <w:r>
        <w:rPr>
          <w:rFonts w:ascii="Times New Roman" w:eastAsia="Times New Roman" w:hAnsi="Times New Roman" w:cs="Times New Roman"/>
          <w:b/>
          <w:bCs/>
          <w:color w:val="000000"/>
          <w:spacing w:val="0"/>
          <w:w w:val="100"/>
          <w:position w:val="0"/>
          <w:sz w:val="18"/>
          <w:szCs w:val="18"/>
        </w:rPr>
        <w:t>V</w:t>
      </w:r>
      <w:r>
        <w:rPr>
          <w:b/>
          <w:bCs/>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41"/>
        <w:keepNext w:val="0"/>
        <w:keepLines w:val="0"/>
        <w:widowControl w:val="0"/>
        <w:shd w:val="clear" w:color="auto" w:fill="auto"/>
        <w:tabs>
          <w:tab w:pos="445" w:val="left"/>
        </w:tabs>
        <w:bidi w:val="0"/>
        <w:spacing w:before="0" w:after="0" w:line="478" w:lineRule="exact"/>
        <w:ind w:left="0" w:right="0" w:firstLine="0"/>
        <w:jc w:val="both"/>
      </w:pPr>
      <w:bookmarkStart w:id="290" w:name="bookmark290"/>
      <w:r>
        <w:rPr>
          <w:color w:val="000000"/>
          <w:spacing w:val="0"/>
          <w:w w:val="100"/>
          <w:position w:val="0"/>
        </w:rPr>
        <w:t>（</w:t>
      </w:r>
      <w:bookmarkEnd w:id="290"/>
      <w:r>
        <w:rPr>
          <w:rFonts w:ascii="Times New Roman" w:eastAsia="Times New Roman" w:hAnsi="Times New Roman" w:cs="Times New Roman"/>
          <w:color w:val="000000"/>
          <w:spacing w:val="0"/>
          <w:w w:val="100"/>
          <w:position w:val="0"/>
          <w:sz w:val="18"/>
          <w:szCs w:val="18"/>
        </w:rPr>
        <w:t>1</w:t>
      </w:r>
      <w:r>
        <w:rPr>
          <w:color w:val="000000"/>
          <w:spacing w:val="0"/>
          <w:w w:val="100"/>
          <w:position w:val="0"/>
        </w:rPr>
        <w:t>）</w:t>
        <w:tab/>
        <w:t>经营活动产生的现金流量净流入较上年同期上涨，主要是销售商品、提供劳务收到的现金增加所致。</w:t>
      </w:r>
    </w:p>
    <w:p>
      <w:pPr>
        <w:pStyle w:val="Style41"/>
        <w:keepNext w:val="0"/>
        <w:keepLines w:val="0"/>
        <w:widowControl w:val="0"/>
        <w:shd w:val="clear" w:color="auto" w:fill="auto"/>
        <w:tabs>
          <w:tab w:pos="546" w:val="left"/>
        </w:tabs>
        <w:bidi w:val="0"/>
        <w:spacing w:before="0" w:after="0" w:line="485" w:lineRule="exact"/>
        <w:ind w:left="0" w:right="0" w:firstLine="0"/>
        <w:jc w:val="both"/>
      </w:pPr>
      <w:bookmarkStart w:id="291" w:name="bookmark291"/>
      <w:r>
        <w:rPr>
          <w:color w:val="000000"/>
          <w:spacing w:val="0"/>
          <w:w w:val="100"/>
          <w:position w:val="0"/>
        </w:rPr>
        <w:t>（</w:t>
      </w:r>
      <w:bookmarkEnd w:id="291"/>
      <w:r>
        <w:rPr>
          <w:rFonts w:ascii="Times New Roman" w:eastAsia="Times New Roman" w:hAnsi="Times New Roman" w:cs="Times New Roman"/>
          <w:color w:val="000000"/>
          <w:spacing w:val="0"/>
          <w:w w:val="100"/>
          <w:position w:val="0"/>
          <w:sz w:val="18"/>
          <w:szCs w:val="18"/>
        </w:rPr>
        <w:t>2</w:t>
      </w:r>
      <w:r>
        <w:rPr>
          <w:color w:val="000000"/>
          <w:spacing w:val="0"/>
          <w:w w:val="100"/>
          <w:position w:val="0"/>
        </w:rPr>
        <w:t>）</w:t>
        <w:tab/>
        <w:t>投资活动现金流入较上年同期下降，主要是上期出售参股公司大连华信计算机技术股份有限公司股权收回现金较多， 及本期赎回的银行理财产品减少所致。</w:t>
      </w:r>
    </w:p>
    <w:p>
      <w:pPr>
        <w:pStyle w:val="Style41"/>
        <w:keepNext w:val="0"/>
        <w:keepLines w:val="0"/>
        <w:widowControl w:val="0"/>
        <w:shd w:val="clear" w:color="auto" w:fill="auto"/>
        <w:tabs>
          <w:tab w:pos="541" w:val="left"/>
        </w:tabs>
        <w:bidi w:val="0"/>
        <w:spacing w:before="0" w:after="0" w:line="478" w:lineRule="exact"/>
        <w:ind w:left="0" w:right="0" w:firstLine="0"/>
        <w:jc w:val="both"/>
      </w:pPr>
      <w:bookmarkStart w:id="292" w:name="bookmark292"/>
      <w:r>
        <w:rPr>
          <w:color w:val="000000"/>
          <w:spacing w:val="0"/>
          <w:w w:val="100"/>
          <w:position w:val="0"/>
        </w:rPr>
        <w:t>（</w:t>
      </w:r>
      <w:bookmarkEnd w:id="292"/>
      <w:r>
        <w:rPr>
          <w:rFonts w:ascii="Times New Roman" w:eastAsia="Times New Roman" w:hAnsi="Times New Roman" w:cs="Times New Roman"/>
          <w:color w:val="000000"/>
          <w:spacing w:val="0"/>
          <w:w w:val="100"/>
          <w:position w:val="0"/>
          <w:sz w:val="18"/>
          <w:szCs w:val="18"/>
        </w:rPr>
        <w:t>3</w:t>
      </w:r>
      <w:r>
        <w:rPr>
          <w:color w:val="000000"/>
          <w:spacing w:val="0"/>
          <w:w w:val="100"/>
          <w:position w:val="0"/>
        </w:rPr>
        <w:t>）</w:t>
        <w:tab/>
        <w:t>投资活动产生的现金流量为净流出，上年同期为净流入，主要是本期购买银行理财产品支出高于到期赎回、子公司北 京神州泰岳智能数据技术有限公司因引进投资者不再纳入合并范围,及上期出售参股公司大连华信计算机技术股份有限公司 股权收回现金所致。</w:t>
      </w:r>
    </w:p>
    <w:p>
      <w:pPr>
        <w:pStyle w:val="Style41"/>
        <w:keepNext w:val="0"/>
        <w:keepLines w:val="0"/>
        <w:widowControl w:val="0"/>
        <w:shd w:val="clear" w:color="auto" w:fill="auto"/>
        <w:tabs>
          <w:tab w:pos="445" w:val="left"/>
        </w:tabs>
        <w:bidi w:val="0"/>
        <w:spacing w:before="0" w:after="0" w:line="478" w:lineRule="exact"/>
        <w:ind w:left="0" w:right="0" w:firstLine="0"/>
        <w:jc w:val="both"/>
      </w:pPr>
      <w:bookmarkStart w:id="293" w:name="bookmark293"/>
      <w:r>
        <w:rPr>
          <w:color w:val="000000"/>
          <w:spacing w:val="0"/>
          <w:w w:val="100"/>
          <w:position w:val="0"/>
        </w:rPr>
        <w:t>（</w:t>
      </w:r>
      <w:bookmarkEnd w:id="293"/>
      <w:r>
        <w:rPr>
          <w:rFonts w:ascii="Times New Roman" w:eastAsia="Times New Roman" w:hAnsi="Times New Roman" w:cs="Times New Roman"/>
          <w:color w:val="000000"/>
          <w:spacing w:val="0"/>
          <w:w w:val="100"/>
          <w:position w:val="0"/>
          <w:sz w:val="18"/>
          <w:szCs w:val="18"/>
        </w:rPr>
        <w:t>4</w:t>
      </w:r>
      <w:r>
        <w:rPr>
          <w:color w:val="000000"/>
          <w:spacing w:val="0"/>
          <w:w w:val="100"/>
          <w:position w:val="0"/>
        </w:rPr>
        <w:t>）</w:t>
        <w:tab/>
        <w:t>筹资活动现金流入较上年同期下降，主要是本期借款规模较上年同期下降所致。</w:t>
      </w:r>
    </w:p>
    <w:p>
      <w:pPr>
        <w:pStyle w:val="Style41"/>
        <w:keepNext w:val="0"/>
        <w:keepLines w:val="0"/>
        <w:widowControl w:val="0"/>
        <w:shd w:val="clear" w:color="auto" w:fill="auto"/>
        <w:tabs>
          <w:tab w:pos="526" w:val="left"/>
        </w:tabs>
        <w:bidi w:val="0"/>
        <w:spacing w:before="0" w:after="0" w:line="478" w:lineRule="exact"/>
        <w:ind w:left="0" w:right="0" w:firstLine="0"/>
        <w:jc w:val="both"/>
      </w:pPr>
      <w:bookmarkStart w:id="294" w:name="bookmark294"/>
      <w:r>
        <w:rPr>
          <w:color w:val="000000"/>
          <w:spacing w:val="0"/>
          <w:w w:val="100"/>
          <w:position w:val="0"/>
        </w:rPr>
        <w:t>（</w:t>
      </w:r>
      <w:bookmarkEnd w:id="294"/>
      <w:r>
        <w:rPr>
          <w:rFonts w:ascii="Times New Roman" w:eastAsia="Times New Roman" w:hAnsi="Times New Roman" w:cs="Times New Roman"/>
          <w:color w:val="000000"/>
          <w:spacing w:val="0"/>
          <w:w w:val="100"/>
          <w:position w:val="0"/>
          <w:sz w:val="18"/>
          <w:szCs w:val="18"/>
        </w:rPr>
        <w:t>5</w:t>
      </w:r>
      <w:r>
        <w:rPr>
          <w:color w:val="000000"/>
          <w:spacing w:val="0"/>
          <w:w w:val="100"/>
          <w:position w:val="0"/>
        </w:rPr>
        <w:t>）</w:t>
        <w:tab/>
        <w:t>筹资活动产生的现金净流出较上年同期上涨，主要是本期偿还借款的现金流出减去取得借款的现金流入差额上涨，及 回购股份所致。</w:t>
      </w:r>
    </w:p>
    <w:p>
      <w:pPr>
        <w:pStyle w:val="Style41"/>
        <w:keepNext w:val="0"/>
        <w:keepLines w:val="0"/>
        <w:widowControl w:val="0"/>
        <w:shd w:val="clear" w:color="auto" w:fill="auto"/>
        <w:bidi w:val="0"/>
        <w:spacing w:before="0" w:after="240" w:line="478" w:lineRule="exact"/>
        <w:ind w:left="0" w:right="0" w:firstLine="0"/>
        <w:jc w:val="left"/>
      </w:pPr>
      <w:r>
        <w:rPr>
          <w:b/>
          <w:bCs/>
          <w:color w:val="000000"/>
          <w:spacing w:val="0"/>
          <w:w w:val="100"/>
          <w:position w:val="0"/>
        </w:rPr>
        <w:t>报告期内公司经营活动产生的现金净流量与本年度净利润存在重大差异的原因说明</w:t>
      </w:r>
    </w:p>
    <w:p>
      <w:pPr>
        <w:pStyle w:val="Style41"/>
        <w:keepNext w:val="0"/>
        <w:keepLines w:val="0"/>
        <w:widowControl w:val="0"/>
        <w:shd w:val="clear" w:color="auto" w:fill="auto"/>
        <w:bidi w:val="0"/>
        <w:spacing w:before="0" w:after="0" w:line="554" w:lineRule="auto"/>
        <w:ind w:left="0" w:right="0" w:firstLine="0"/>
        <w:jc w:val="left"/>
      </w:pPr>
      <w:r>
        <w:rPr>
          <w:rFonts w:ascii="Times New Roman" w:eastAsia="Times New Roman" w:hAnsi="Times New Roman" w:cs="Times New Roman"/>
          <w:b/>
          <w:bCs/>
          <w:color w:val="000000"/>
          <w:spacing w:val="0"/>
          <w:w w:val="100"/>
          <w:position w:val="0"/>
          <w:sz w:val="18"/>
          <w:szCs w:val="18"/>
        </w:rPr>
        <w:t>V</w:t>
      </w:r>
      <w:r>
        <w:rPr>
          <w:b/>
          <w:bCs/>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41"/>
        <w:keepNext w:val="0"/>
        <w:keepLines w:val="0"/>
        <w:widowControl w:val="0"/>
        <w:shd w:val="clear" w:color="auto" w:fill="auto"/>
        <w:bidi w:val="0"/>
        <w:spacing w:before="0" w:after="0" w:line="478" w:lineRule="exact"/>
        <w:ind w:left="0" w:right="0" w:firstLine="0"/>
        <w:jc w:val="left"/>
      </w:pPr>
      <w:r>
        <w:rPr>
          <w:color w:val="000000"/>
          <w:spacing w:val="0"/>
          <w:w w:val="100"/>
          <w:position w:val="0"/>
        </w:rPr>
        <w:t>经营活动产生的现金净流量与本年度净利润存在差异，主要是：</w:t>
      </w:r>
    </w:p>
    <w:p>
      <w:pPr>
        <w:pStyle w:val="Style41"/>
        <w:keepNext w:val="0"/>
        <w:keepLines w:val="0"/>
        <w:widowControl w:val="0"/>
        <w:shd w:val="clear" w:color="auto" w:fill="auto"/>
        <w:tabs>
          <w:tab w:pos="445" w:val="left"/>
        </w:tabs>
        <w:bidi w:val="0"/>
        <w:spacing w:before="0" w:after="0" w:line="478" w:lineRule="exact"/>
        <w:ind w:left="0" w:right="0" w:firstLine="0"/>
        <w:jc w:val="left"/>
      </w:pPr>
      <w:bookmarkStart w:id="295" w:name="bookmark295"/>
      <w:r>
        <w:rPr>
          <w:color w:val="000000"/>
          <w:spacing w:val="0"/>
          <w:w w:val="100"/>
          <w:position w:val="0"/>
        </w:rPr>
        <w:t>（</w:t>
      </w:r>
      <w:bookmarkEnd w:id="295"/>
      <w:r>
        <w:rPr>
          <w:rFonts w:ascii="Times New Roman" w:eastAsia="Times New Roman" w:hAnsi="Times New Roman" w:cs="Times New Roman"/>
          <w:color w:val="000000"/>
          <w:spacing w:val="0"/>
          <w:w w:val="100"/>
          <w:position w:val="0"/>
          <w:sz w:val="18"/>
          <w:szCs w:val="18"/>
        </w:rPr>
        <w:t>1</w:t>
      </w:r>
      <w:r>
        <w:rPr>
          <w:color w:val="000000"/>
          <w:spacing w:val="0"/>
          <w:w w:val="100"/>
          <w:position w:val="0"/>
        </w:rPr>
        <w:t>）</w:t>
        <w:tab/>
        <w:t>计提折旧摊销、坏账准备等非付现成本。</w:t>
      </w:r>
    </w:p>
    <w:p>
      <w:pPr>
        <w:pStyle w:val="Style41"/>
        <w:keepNext w:val="0"/>
        <w:keepLines w:val="0"/>
        <w:widowControl w:val="0"/>
        <w:shd w:val="clear" w:color="auto" w:fill="auto"/>
        <w:tabs>
          <w:tab w:pos="445" w:val="left"/>
        </w:tabs>
        <w:bidi w:val="0"/>
        <w:spacing w:before="0" w:after="0" w:line="478" w:lineRule="exact"/>
        <w:ind w:left="0" w:right="0" w:firstLine="0"/>
        <w:jc w:val="left"/>
      </w:pPr>
      <w:bookmarkStart w:id="296" w:name="bookmark296"/>
      <w:r>
        <w:rPr>
          <w:color w:val="000000"/>
          <w:spacing w:val="0"/>
          <w:w w:val="100"/>
          <w:position w:val="0"/>
        </w:rPr>
        <w:t>（</w:t>
      </w:r>
      <w:bookmarkEnd w:id="296"/>
      <w:r>
        <w:rPr>
          <w:rFonts w:ascii="Times New Roman" w:eastAsia="Times New Roman" w:hAnsi="Times New Roman" w:cs="Times New Roman"/>
          <w:color w:val="000000"/>
          <w:spacing w:val="0"/>
          <w:w w:val="100"/>
          <w:position w:val="0"/>
          <w:sz w:val="18"/>
          <w:szCs w:val="18"/>
        </w:rPr>
        <w:t>2</w:t>
      </w:r>
      <w:r>
        <w:rPr>
          <w:color w:val="000000"/>
          <w:spacing w:val="0"/>
          <w:w w:val="100"/>
          <w:position w:val="0"/>
        </w:rPr>
        <w:t>）</w:t>
        <w:tab/>
        <w:t>利息费用等筹资活动支出。</w:t>
      </w:r>
    </w:p>
    <w:p>
      <w:pPr>
        <w:pStyle w:val="Style41"/>
        <w:keepNext w:val="0"/>
        <w:keepLines w:val="0"/>
        <w:widowControl w:val="0"/>
        <w:shd w:val="clear" w:color="auto" w:fill="auto"/>
        <w:bidi w:val="0"/>
        <w:spacing w:before="0" w:after="0" w:line="478" w:lineRule="exact"/>
        <w:ind w:left="0" w:right="0" w:firstLine="0"/>
        <w:jc w:val="left"/>
      </w:pPr>
      <w:bookmarkStart w:id="297" w:name="bookmark297"/>
      <w:r>
        <w:rPr>
          <w:color w:val="000000"/>
          <w:spacing w:val="0"/>
          <w:w w:val="100"/>
          <w:position w:val="0"/>
        </w:rPr>
        <w:t>（</w:t>
      </w:r>
      <w:bookmarkEnd w:id="297"/>
      <w:r>
        <w:rPr>
          <w:rFonts w:ascii="Times New Roman" w:eastAsia="Times New Roman" w:hAnsi="Times New Roman" w:cs="Times New Roman"/>
          <w:color w:val="000000"/>
          <w:spacing w:val="0"/>
          <w:w w:val="100"/>
          <w:position w:val="0"/>
          <w:sz w:val="18"/>
          <w:szCs w:val="18"/>
        </w:rPr>
        <w:t>3</w:t>
      </w:r>
      <w:r>
        <w:rPr>
          <w:color w:val="000000"/>
          <w:spacing w:val="0"/>
          <w:w w:val="100"/>
          <w:position w:val="0"/>
        </w:rPr>
        <w:t>） 本期因采用新收入准则，部分业务变更为按控制权转移时点一次确认，预收客户款项增加。</w:t>
      </w:r>
    </w:p>
    <w:p>
      <w:pPr>
        <w:pStyle w:val="Style41"/>
        <w:keepNext w:val="0"/>
        <w:keepLines w:val="0"/>
        <w:widowControl w:val="0"/>
        <w:shd w:val="clear" w:color="auto" w:fill="auto"/>
        <w:tabs>
          <w:tab w:pos="445" w:val="left"/>
        </w:tabs>
        <w:bidi w:val="0"/>
        <w:spacing w:before="0" w:after="440" w:line="478" w:lineRule="exact"/>
        <w:ind w:left="0" w:right="0" w:firstLine="0"/>
        <w:jc w:val="left"/>
      </w:pPr>
      <w:bookmarkStart w:id="298" w:name="bookmark298"/>
      <w:r>
        <w:rPr>
          <w:color w:val="000000"/>
          <w:spacing w:val="0"/>
          <w:w w:val="100"/>
          <w:position w:val="0"/>
        </w:rPr>
        <w:t>（</w:t>
      </w:r>
      <w:bookmarkEnd w:id="298"/>
      <w:r>
        <w:rPr>
          <w:rFonts w:ascii="Times New Roman" w:eastAsia="Times New Roman" w:hAnsi="Times New Roman" w:cs="Times New Roman"/>
          <w:color w:val="000000"/>
          <w:spacing w:val="0"/>
          <w:w w:val="100"/>
          <w:position w:val="0"/>
          <w:sz w:val="18"/>
          <w:szCs w:val="18"/>
        </w:rPr>
        <w:t>4</w:t>
      </w:r>
      <w:r>
        <w:rPr>
          <w:color w:val="000000"/>
          <w:spacing w:val="0"/>
          <w:w w:val="100"/>
          <w:position w:val="0"/>
        </w:rPr>
        <w:t>）</w:t>
        <w:tab/>
        <w:t>本期外购软硬件及服务占用资金减少。</w:t>
      </w:r>
    </w:p>
    <w:p>
      <w:pPr>
        <w:pStyle w:val="Style39"/>
        <w:keepNext/>
        <w:keepLines/>
        <w:widowControl w:val="0"/>
        <w:shd w:val="clear" w:color="auto" w:fill="auto"/>
        <w:bidi w:val="0"/>
        <w:spacing w:before="0" w:after="380" w:line="240" w:lineRule="auto"/>
        <w:ind w:left="0" w:right="0" w:firstLine="0"/>
        <w:jc w:val="left"/>
      </w:pPr>
      <w:bookmarkStart w:id="299" w:name="bookmark299"/>
      <w:bookmarkStart w:id="300" w:name="bookmark300"/>
      <w:bookmarkStart w:id="301" w:name="bookmark301"/>
      <w:bookmarkStart w:id="302" w:name="bookmark302"/>
      <w:r>
        <w:rPr>
          <w:color w:val="000000"/>
          <w:spacing w:val="0"/>
          <w:w w:val="100"/>
          <w:position w:val="0"/>
          <w:sz w:val="24"/>
          <w:szCs w:val="24"/>
        </w:rPr>
        <w:t>三</w:t>
      </w:r>
      <w:bookmarkEnd w:id="301"/>
      <w:r>
        <w:rPr>
          <w:color w:val="000000"/>
          <w:spacing w:val="0"/>
          <w:w w:val="100"/>
          <w:position w:val="0"/>
          <w:sz w:val="24"/>
          <w:szCs w:val="24"/>
        </w:rPr>
        <w:t>、非主营业务情况</w:t>
      </w:r>
      <w:bookmarkEnd w:id="299"/>
      <w:bookmarkEnd w:id="300"/>
      <w:bookmarkEnd w:id="302"/>
    </w:p>
    <w:p>
      <w:pPr>
        <w:pStyle w:val="Style41"/>
        <w:keepNext w:val="0"/>
        <w:keepLines w:val="0"/>
        <w:widowControl w:val="0"/>
        <w:shd w:val="clear" w:color="auto" w:fill="auto"/>
        <w:bidi w:val="0"/>
        <w:spacing w:before="0" w:after="0" w:line="554" w:lineRule="auto"/>
        <w:ind w:left="0" w:right="0" w:firstLine="0"/>
        <w:jc w:val="left"/>
      </w:pPr>
      <w:r>
        <w:rPr>
          <w:rFonts w:ascii="Times New Roman" w:eastAsia="Times New Roman" w:hAnsi="Times New Roman" w:cs="Times New Roman"/>
          <w:b/>
          <w:bCs/>
          <w:color w:val="000000"/>
          <w:spacing w:val="0"/>
          <w:w w:val="100"/>
          <w:position w:val="0"/>
          <w:sz w:val="18"/>
          <w:szCs w:val="18"/>
        </w:rPr>
        <w:t>V</w:t>
      </w:r>
      <w:r>
        <w:rPr>
          <w:b/>
          <w:bCs/>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20"/>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单位：元</w:t>
      </w:r>
    </w:p>
    <w:tbl>
      <w:tblPr>
        <w:tblOverlap w:val="never"/>
        <w:jc w:val="center"/>
        <w:tblLayout w:type="fixed"/>
      </w:tblPr>
      <w:tblGrid>
        <w:gridCol w:w="1738"/>
        <w:gridCol w:w="1310"/>
        <w:gridCol w:w="898"/>
        <w:gridCol w:w="3586"/>
        <w:gridCol w:w="2338"/>
      </w:tblGrid>
      <w:tr>
        <w:trPr>
          <w:trHeight w:val="1027" w:hRule="exact"/>
        </w:trPr>
        <w:tc>
          <w:tcPr>
            <w:tcBorders>
              <w:top w:val="single" w:sz="4"/>
              <w:left w:val="single" w:sz="4"/>
            </w:tcBorders>
            <w:shd w:val="clear" w:color="auto" w:fill="D7D7D7"/>
            <w:vAlign w:val="top"/>
          </w:tcPr>
          <w:p>
            <w:pPr>
              <w:widowControl w:val="0"/>
              <w:rPr>
                <w:sz w:val="10"/>
                <w:szCs w:val="10"/>
              </w:rPr>
            </w:pPr>
          </w:p>
        </w:tc>
        <w:tc>
          <w:tcPr>
            <w:tcBorders>
              <w:top w:val="single" w:sz="4"/>
              <w:left w:val="single" w:sz="4"/>
            </w:tcBorders>
            <w:shd w:val="clear" w:color="auto" w:fill="D7D7D7"/>
            <w:vAlign w:val="top"/>
          </w:tcPr>
          <w:p>
            <w:pPr>
              <w:pStyle w:val="Style2"/>
              <w:keepNext w:val="0"/>
              <w:keepLines w:val="0"/>
              <w:widowControl w:val="0"/>
              <w:shd w:val="clear" w:color="auto" w:fill="auto"/>
              <w:bidi w:val="0"/>
              <w:spacing w:before="12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占利润 总额比 例</w:t>
            </w:r>
          </w:p>
        </w:tc>
        <w:tc>
          <w:tcPr>
            <w:tcBorders>
              <w:top w:val="single" w:sz="4"/>
              <w:left w:val="single" w:sz="4"/>
            </w:tcBorders>
            <w:shd w:val="clear" w:color="auto" w:fill="D7D7D7"/>
            <w:vAlign w:val="top"/>
          </w:tcPr>
          <w:p>
            <w:pPr>
              <w:pStyle w:val="Style2"/>
              <w:keepNext w:val="0"/>
              <w:keepLines w:val="0"/>
              <w:widowControl w:val="0"/>
              <w:shd w:val="clear" w:color="auto" w:fill="auto"/>
              <w:bidi w:val="0"/>
              <w:spacing w:before="120" w:after="0" w:line="240" w:lineRule="auto"/>
              <w:ind w:left="0" w:right="0" w:firstLine="0"/>
              <w:jc w:val="center"/>
            </w:pPr>
            <w:r>
              <w:rPr>
                <w:color w:val="000000"/>
                <w:spacing w:val="0"/>
                <w:w w:val="100"/>
                <w:position w:val="0"/>
              </w:rPr>
              <w:t>形成原因说明</w:t>
            </w:r>
          </w:p>
        </w:tc>
        <w:tc>
          <w:tcPr>
            <w:tcBorders>
              <w:top w:val="single" w:sz="4"/>
              <w:left w:val="single" w:sz="4"/>
              <w:right w:val="single" w:sz="4"/>
            </w:tcBorders>
            <w:shd w:val="clear" w:color="auto" w:fill="D7D7D7"/>
            <w:vAlign w:val="top"/>
          </w:tcPr>
          <w:p>
            <w:pPr>
              <w:pStyle w:val="Style2"/>
              <w:keepNext w:val="0"/>
              <w:keepLines w:val="0"/>
              <w:widowControl w:val="0"/>
              <w:shd w:val="clear" w:color="auto" w:fill="auto"/>
              <w:bidi w:val="0"/>
              <w:spacing w:before="120" w:after="0" w:line="240" w:lineRule="auto"/>
              <w:ind w:left="0" w:right="0" w:firstLine="0"/>
              <w:jc w:val="center"/>
            </w:pPr>
            <w:r>
              <w:rPr>
                <w:color w:val="000000"/>
                <w:spacing w:val="0"/>
                <w:w w:val="100"/>
                <w:position w:val="0"/>
              </w:rPr>
              <w:t>是否具有可持续性</w:t>
            </w:r>
          </w:p>
        </w:tc>
      </w:tr>
      <w:tr>
        <w:trPr>
          <w:trHeight w:val="686"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投资收益</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11,627,289.81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rPr>
                <w:sz w:val="18"/>
                <w:szCs w:val="18"/>
              </w:rPr>
            </w:pPr>
            <w:r>
              <w:rPr>
                <w:rFonts w:ascii="Times New Roman" w:eastAsia="Times New Roman" w:hAnsi="Times New Roman" w:cs="Times New Roman"/>
                <w:color w:val="000000"/>
                <w:spacing w:val="0"/>
                <w:w w:val="100"/>
                <w:position w:val="0"/>
                <w:sz w:val="18"/>
                <w:szCs w:val="18"/>
              </w:rPr>
              <w:t>2.82%</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0"/>
              <w:jc w:val="center"/>
            </w:pPr>
            <w:r>
              <w:rPr>
                <w:color w:val="000000"/>
                <w:spacing w:val="0"/>
                <w:w w:val="100"/>
                <w:position w:val="0"/>
              </w:rPr>
              <w:t>主要为其他非流动金融资产的分红，按权益 法核算的投资收益，处置股权投资产生的收</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0"/>
              <w:jc w:val="center"/>
            </w:pPr>
            <w:r>
              <w:rPr>
                <w:color w:val="000000"/>
                <w:spacing w:val="0"/>
                <w:w w:val="100"/>
                <w:position w:val="0"/>
              </w:rPr>
              <w:t>其他非流动金融资产的分 红以及按权益法核算的投</w:t>
            </w:r>
          </w:p>
        </w:tc>
      </w:tr>
    </w:tbl>
    <w:p>
      <w:pPr>
        <w:spacing w:lineRule="exact" w:line="1"/>
        <w:rPr>
          <w:sz w:val="2"/>
          <w:szCs w:val="2"/>
        </w:rPr>
      </w:pPr>
      <w:r>
        <w:br w:type="page"/>
      </w:r>
    </w:p>
    <w:tbl>
      <w:tblPr>
        <w:tblOverlap w:val="never"/>
        <w:jc w:val="center"/>
        <w:tblLayout w:type="fixed"/>
      </w:tblPr>
      <w:tblGrid>
        <w:gridCol w:w="1738"/>
        <w:gridCol w:w="1310"/>
        <w:gridCol w:w="898"/>
        <w:gridCol w:w="3586"/>
        <w:gridCol w:w="2338"/>
      </w:tblGrid>
      <w:tr>
        <w:trPr>
          <w:trHeight w:val="437" w:hRule="exact"/>
        </w:trPr>
        <w:tc>
          <w:tcPr>
            <w:tcBorders>
              <w:top w:val="single" w:sz="4"/>
              <w:left w:val="single" w:sz="4"/>
            </w:tcBorders>
            <w:shd w:val="clear" w:color="auto" w:fill="D7D7D7"/>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益，银行理财产品利息收入。</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资收益具有持续性。</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公允价值变动损益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8"/>
                <w:szCs w:val="18"/>
              </w:rPr>
            </w:pPr>
            <w:r>
              <w:rPr>
                <w:rFonts w:ascii="Times New Roman" w:eastAsia="Times New Roman" w:hAnsi="Times New Roman" w:cs="Times New Roman"/>
                <w:color w:val="000000"/>
                <w:spacing w:val="0"/>
                <w:w w:val="100"/>
                <w:position w:val="0"/>
                <w:sz w:val="18"/>
                <w:szCs w:val="18"/>
              </w:rPr>
              <w:t>9,510,168.35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rPr>
                <w:sz w:val="18"/>
                <w:szCs w:val="18"/>
              </w:rPr>
            </w:pPr>
            <w:r>
              <w:rPr>
                <w:rFonts w:ascii="Times New Roman" w:eastAsia="Times New Roman" w:hAnsi="Times New Roman" w:cs="Times New Roman"/>
                <w:color w:val="000000"/>
                <w:spacing w:val="0"/>
                <w:w w:val="100"/>
                <w:position w:val="0"/>
                <w:sz w:val="18"/>
                <w:szCs w:val="18"/>
              </w:rPr>
              <w:t>2.31%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主要为金融资产公允价值变动产生的收益。</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不具有持续性。</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资产减值</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-2,024,656.42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rPr>
                <w:sz w:val="18"/>
                <w:szCs w:val="18"/>
              </w:rPr>
            </w:pPr>
            <w:r>
              <w:rPr>
                <w:rFonts w:ascii="Times New Roman" w:eastAsia="Times New Roman" w:hAnsi="Times New Roman" w:cs="Times New Roman"/>
                <w:color w:val="000000"/>
                <w:spacing w:val="0"/>
                <w:w w:val="100"/>
                <w:position w:val="0"/>
                <w:sz w:val="18"/>
                <w:szCs w:val="18"/>
              </w:rPr>
              <w:t>-0.49%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主要为存货及合同履约成本减值损失。</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不具有持续性。</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营业外收入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343,297.29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rPr>
                <w:sz w:val="18"/>
                <w:szCs w:val="18"/>
              </w:rPr>
            </w:pPr>
            <w:r>
              <w:rPr>
                <w:rFonts w:ascii="Times New Roman" w:eastAsia="Times New Roman" w:hAnsi="Times New Roman" w:cs="Times New Roman"/>
                <w:color w:val="000000"/>
                <w:spacing w:val="0"/>
                <w:w w:val="100"/>
                <w:position w:val="0"/>
                <w:sz w:val="18"/>
                <w:szCs w:val="18"/>
              </w:rPr>
              <w:t>0.08%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主要为赔款收入等形成的收益。</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不具有持续性。</w:t>
            </w:r>
          </w:p>
        </w:tc>
      </w:tr>
      <w:tr>
        <w:trPr>
          <w:trHeight w:val="710"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营业外支出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-10,316,023.55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rPr>
                <w:sz w:val="18"/>
                <w:szCs w:val="18"/>
              </w:rPr>
            </w:pPr>
            <w:r>
              <w:rPr>
                <w:rFonts w:ascii="Times New Roman" w:eastAsia="Times New Roman" w:hAnsi="Times New Roman" w:cs="Times New Roman"/>
                <w:color w:val="000000"/>
                <w:spacing w:val="0"/>
                <w:w w:val="100"/>
                <w:position w:val="0"/>
                <w:sz w:val="18"/>
                <w:szCs w:val="18"/>
              </w:rPr>
              <w:t>-2.50%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98" w:lineRule="exact"/>
              <w:ind w:left="0" w:right="0" w:firstLine="0"/>
              <w:jc w:val="left"/>
            </w:pPr>
            <w:r>
              <w:rPr>
                <w:color w:val="000000"/>
                <w:spacing w:val="0"/>
                <w:w w:val="100"/>
                <w:position w:val="0"/>
              </w:rPr>
              <w:t>主要为非常损失，具体详见</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第十二节财务 报告</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中</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七、</w:t>
            </w:r>
            <w:r>
              <w:rPr>
                <w:rFonts w:ascii="Times New Roman" w:eastAsia="Times New Roman" w:hAnsi="Times New Roman" w:cs="Times New Roman"/>
                <w:color w:val="000000"/>
                <w:spacing w:val="0"/>
                <w:w w:val="100"/>
                <w:position w:val="0"/>
                <w:sz w:val="18"/>
                <w:szCs w:val="18"/>
              </w:rPr>
              <w:t>75</w:t>
            </w:r>
            <w:r>
              <w:rPr>
                <w:color w:val="000000"/>
                <w:spacing w:val="0"/>
                <w:w w:val="100"/>
                <w:position w:val="0"/>
              </w:rPr>
              <w:t>营业外支出</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不具有持续性。</w:t>
            </w:r>
          </w:p>
        </w:tc>
      </w:tr>
      <w:tr>
        <w:trPr>
          <w:trHeight w:val="725"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信用减值损失</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-44,560,205.70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-10.81%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主要为坏账损失。</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按信用风险特征组合计提 的坏账具有可持续性。</w:t>
            </w:r>
          </w:p>
        </w:tc>
      </w:tr>
    </w:tbl>
    <w:p>
      <w:pPr>
        <w:pStyle w:val="Style20"/>
        <w:keepNext w:val="0"/>
        <w:keepLines w:val="0"/>
        <w:widowControl w:val="0"/>
        <w:shd w:val="clear" w:color="auto" w:fill="auto"/>
        <w:bidi w:val="0"/>
        <w:spacing w:before="0" w:after="0" w:line="240" w:lineRule="auto"/>
        <w:ind w:left="96" w:right="0" w:firstLine="0"/>
        <w:jc w:val="left"/>
        <w:rPr>
          <w:sz w:val="17"/>
          <w:szCs w:val="17"/>
        </w:rPr>
      </w:pPr>
      <w:r>
        <w:rPr>
          <w:rFonts w:ascii="SimSun" w:eastAsia="SimSun" w:hAnsi="SimSun" w:cs="SimSun"/>
          <w:color w:val="000000"/>
          <w:spacing w:val="0"/>
          <w:w w:val="100"/>
          <w:position w:val="0"/>
          <w:sz w:val="17"/>
          <w:szCs w:val="17"/>
        </w:rPr>
        <w:t>注：上表中号代表损失。</w:t>
      </w:r>
    </w:p>
    <w:p>
      <w:pPr>
        <w:widowControl w:val="0"/>
        <w:spacing w:after="359" w:line="1" w:lineRule="exact"/>
      </w:pPr>
    </w:p>
    <w:p>
      <w:pPr>
        <w:pStyle w:val="Style39"/>
        <w:keepNext/>
        <w:keepLines/>
        <w:widowControl w:val="0"/>
        <w:shd w:val="clear" w:color="auto" w:fill="auto"/>
        <w:bidi w:val="0"/>
        <w:spacing w:before="0" w:after="360" w:line="240" w:lineRule="auto"/>
        <w:ind w:left="0" w:right="0" w:firstLine="0"/>
        <w:jc w:val="left"/>
      </w:pPr>
      <w:bookmarkStart w:id="303" w:name="bookmark303"/>
      <w:bookmarkStart w:id="304" w:name="bookmark304"/>
      <w:bookmarkStart w:id="305" w:name="bookmark305"/>
      <w:bookmarkStart w:id="306" w:name="bookmark306"/>
      <w:r>
        <w:rPr>
          <w:color w:val="000000"/>
          <w:spacing w:val="0"/>
          <w:w w:val="100"/>
          <w:position w:val="0"/>
          <w:sz w:val="24"/>
          <w:szCs w:val="24"/>
        </w:rPr>
        <w:t>四</w:t>
      </w:r>
      <w:bookmarkEnd w:id="305"/>
      <w:r>
        <w:rPr>
          <w:color w:val="000000"/>
          <w:spacing w:val="0"/>
          <w:w w:val="100"/>
          <w:position w:val="0"/>
          <w:sz w:val="24"/>
          <w:szCs w:val="24"/>
        </w:rPr>
        <w:t>、资产及负债状况分析</w:t>
      </w:r>
      <w:bookmarkEnd w:id="303"/>
      <w:bookmarkEnd w:id="304"/>
      <w:bookmarkEnd w:id="306"/>
    </w:p>
    <w:p>
      <w:pPr>
        <w:pStyle w:val="Style47"/>
        <w:keepNext/>
        <w:keepLines/>
        <w:widowControl w:val="0"/>
        <w:shd w:val="clear" w:color="auto" w:fill="auto"/>
        <w:bidi w:val="0"/>
        <w:spacing w:before="0" w:after="360" w:line="240" w:lineRule="auto"/>
        <w:ind w:left="0" w:right="0" w:firstLine="0"/>
        <w:jc w:val="left"/>
      </w:pPr>
      <w:bookmarkStart w:id="307" w:name="bookmark307"/>
      <w:bookmarkStart w:id="308" w:name="bookmark308"/>
      <w:bookmarkStart w:id="309" w:name="bookmark309"/>
      <w:bookmarkStart w:id="310" w:name="bookmark310"/>
      <w:r>
        <w:rPr>
          <w:color w:val="000000"/>
          <w:spacing w:val="0"/>
          <w:w w:val="100"/>
          <w:position w:val="0"/>
        </w:rPr>
        <w:t>1</w:t>
      </w:r>
      <w:bookmarkEnd w:id="309"/>
      <w:r>
        <w:rPr>
          <w:color w:val="000000"/>
          <w:spacing w:val="0"/>
          <w:w w:val="100"/>
          <w:position w:val="0"/>
        </w:rPr>
        <w:t>、资产构成重大变动情况</w:t>
      </w:r>
      <w:bookmarkEnd w:id="307"/>
      <w:bookmarkEnd w:id="308"/>
      <w:bookmarkEnd w:id="310"/>
    </w:p>
    <w:p>
      <w:pPr>
        <w:pStyle w:val="Style41"/>
        <w:keepNext w:val="0"/>
        <w:keepLines w:val="0"/>
        <w:widowControl w:val="0"/>
        <w:shd w:val="clear" w:color="auto" w:fill="auto"/>
        <w:bidi w:val="0"/>
        <w:spacing w:before="0" w:after="200" w:line="240" w:lineRule="auto"/>
        <w:ind w:left="0" w:right="0" w:firstLine="0"/>
        <w:jc w:val="left"/>
      </w:pPr>
      <w:r>
        <w:rPr>
          <w:color w:val="000000"/>
          <w:spacing w:val="0"/>
          <w:w w:val="100"/>
          <w:position w:val="0"/>
        </w:rPr>
        <w:t>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年起首次执行新收入准则或新租赁准则且调整执行当年年初财务报表相关项目</w:t>
      </w:r>
    </w:p>
    <w:p>
      <w:pPr>
        <w:pStyle w:val="Style41"/>
        <w:keepNext w:val="0"/>
        <w:keepLines w:val="0"/>
        <w:widowControl w:val="0"/>
        <w:shd w:val="clear" w:color="auto" w:fill="auto"/>
        <w:bidi w:val="0"/>
        <w:spacing w:before="0" w:after="200" w:line="240" w:lineRule="auto"/>
        <w:ind w:left="0" w:right="0" w:firstLine="0"/>
        <w:jc w:val="left"/>
      </w:pPr>
      <w:r>
        <w:rPr>
          <w:b/>
          <w:bCs/>
          <w:color w:val="000000"/>
          <w:spacing w:val="0"/>
          <w:w w:val="100"/>
          <w:position w:val="0"/>
          <w:sz w:val="19"/>
          <w:szCs w:val="19"/>
        </w:rPr>
        <w:t>寸</w:t>
      </w:r>
      <w:r>
        <w:rPr>
          <w:b/>
          <w:bCs/>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20"/>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单位：元</w:t>
      </w:r>
    </w:p>
    <w:tbl>
      <w:tblPr>
        <w:tblOverlap w:val="never"/>
        <w:jc w:val="center"/>
        <w:tblLayout w:type="fixed"/>
      </w:tblPr>
      <w:tblGrid>
        <w:gridCol w:w="1363"/>
        <w:gridCol w:w="1344"/>
        <w:gridCol w:w="1046"/>
        <w:gridCol w:w="1339"/>
        <w:gridCol w:w="1046"/>
        <w:gridCol w:w="768"/>
        <w:gridCol w:w="2962"/>
      </w:tblGrid>
      <w:tr>
        <w:trPr>
          <w:trHeight w:val="408" w:hRule="exact"/>
        </w:trPr>
        <w:tc>
          <w:tcPr>
            <w:vMerge w:val="restart"/>
            <w:tcBorders>
              <w:top w:val="single" w:sz="4"/>
              <w:left w:val="single" w:sz="4"/>
            </w:tcBorders>
            <w:shd w:val="clear" w:color="auto" w:fill="D7D7D7"/>
            <w:vAlign w:val="top"/>
          </w:tcPr>
          <w:p>
            <w:pPr>
              <w:widowControl w:val="0"/>
              <w:rPr>
                <w:sz w:val="10"/>
                <w:szCs w:val="10"/>
              </w:rPr>
            </w:pPr>
          </w:p>
        </w:tc>
        <w:tc>
          <w:tcPr>
            <w:gridSpan w:val="2"/>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年末</w:t>
            </w:r>
          </w:p>
        </w:tc>
        <w:tc>
          <w:tcPr>
            <w:gridSpan w:val="2"/>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年初</w:t>
            </w:r>
          </w:p>
        </w:tc>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22" w:lineRule="exact"/>
              <w:ind w:left="0" w:right="0" w:firstLine="0"/>
              <w:jc w:val="center"/>
            </w:pPr>
            <w:r>
              <w:rPr>
                <w:color w:val="000000"/>
                <w:spacing w:val="0"/>
                <w:w w:val="100"/>
                <w:position w:val="0"/>
              </w:rPr>
              <w:t>比重增 减</w:t>
            </w:r>
          </w:p>
        </w:tc>
        <w:tc>
          <w:tcPr>
            <w:vMerge w:val="restart"/>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重大变动说明</w:t>
            </w:r>
          </w:p>
        </w:tc>
      </w:tr>
      <w:tr>
        <w:trPr>
          <w:trHeight w:val="715" w:hRule="exact"/>
        </w:trPr>
        <w:tc>
          <w:tcPr>
            <w:vMerge/>
            <w:tcBorders>
              <w:left w:val="single" w:sz="4"/>
            </w:tcBorders>
            <w:shd w:val="clear" w:color="auto" w:fill="D7D7D7"/>
            <w:vAlign w:val="top"/>
          </w:tcPr>
          <w:p>
            <w:pP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100" w:line="240" w:lineRule="auto"/>
              <w:ind w:left="0" w:right="0" w:firstLine="140"/>
              <w:jc w:val="left"/>
            </w:pPr>
            <w:r>
              <w:rPr>
                <w:color w:val="000000"/>
                <w:spacing w:val="0"/>
                <w:w w:val="100"/>
                <w:position w:val="0"/>
              </w:rPr>
              <w:t>占总资产</w:t>
            </w:r>
          </w:p>
          <w:p>
            <w:pPr>
              <w:pStyle w:val="Style2"/>
              <w:keepNext w:val="0"/>
              <w:keepLines w:val="0"/>
              <w:widowControl w:val="0"/>
              <w:shd w:val="clear" w:color="auto" w:fill="auto"/>
              <w:bidi w:val="0"/>
              <w:spacing w:before="0" w:after="0" w:line="240" w:lineRule="auto"/>
              <w:ind w:left="0" w:right="0" w:firstLine="340"/>
              <w:jc w:val="left"/>
            </w:pPr>
            <w:r>
              <w:rPr>
                <w:color w:val="000000"/>
                <w:spacing w:val="0"/>
                <w:w w:val="100"/>
                <w:position w:val="0"/>
              </w:rPr>
              <w:t>比例</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100" w:line="240" w:lineRule="auto"/>
              <w:ind w:left="0" w:right="0" w:firstLine="160"/>
              <w:jc w:val="left"/>
            </w:pPr>
            <w:r>
              <w:rPr>
                <w:color w:val="000000"/>
                <w:spacing w:val="0"/>
                <w:w w:val="100"/>
                <w:position w:val="0"/>
              </w:rPr>
              <w:t>占总资产</w:t>
            </w:r>
          </w:p>
          <w:p>
            <w:pPr>
              <w:pStyle w:val="Style2"/>
              <w:keepNext w:val="0"/>
              <w:keepLines w:val="0"/>
              <w:widowControl w:val="0"/>
              <w:shd w:val="clear" w:color="auto" w:fill="auto"/>
              <w:bidi w:val="0"/>
              <w:spacing w:before="0" w:after="0" w:line="240" w:lineRule="auto"/>
              <w:ind w:left="0" w:right="0" w:firstLine="340"/>
              <w:jc w:val="left"/>
            </w:pPr>
            <w:r>
              <w:rPr>
                <w:color w:val="000000"/>
                <w:spacing w:val="0"/>
                <w:w w:val="100"/>
                <w:position w:val="0"/>
              </w:rPr>
              <w:t>比例</w:t>
            </w:r>
          </w:p>
        </w:tc>
        <w:tc>
          <w:tcPr>
            <w:vMerge/>
            <w:tcBorders>
              <w:left w:val="single" w:sz="4"/>
            </w:tcBorders>
            <w:shd w:val="clear" w:color="auto" w:fill="D7D7D7"/>
            <w:vAlign w:val="center"/>
          </w:tcPr>
          <w:p>
            <w:pPr/>
          </w:p>
        </w:tc>
        <w:tc>
          <w:tcPr>
            <w:vMerge/>
            <w:tcBorders>
              <w:left w:val="single" w:sz="4"/>
              <w:right w:val="single" w:sz="4"/>
            </w:tcBorders>
            <w:shd w:val="clear" w:color="auto" w:fill="D7D7D7"/>
            <w:vAlign w:val="center"/>
          </w:tcPr>
          <w:p>
            <w:pP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货币资金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876,724,344.29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16.89%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854,479,661.77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16.27%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0.62%</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应收账款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633,763,520.54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12.21%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649,205,342.14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12.36%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-0.15%</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存货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208,404,481.45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left"/>
              <w:rPr>
                <w:sz w:val="18"/>
                <w:szCs w:val="18"/>
              </w:rPr>
            </w:pPr>
            <w:r>
              <w:rPr>
                <w:rFonts w:ascii="Times New Roman" w:eastAsia="Times New Roman" w:hAnsi="Times New Roman" w:cs="Times New Roman"/>
                <w:color w:val="000000"/>
                <w:spacing w:val="0"/>
                <w:w w:val="100"/>
                <w:position w:val="0"/>
                <w:sz w:val="18"/>
                <w:szCs w:val="18"/>
              </w:rPr>
              <w:t>4.02%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292,891,956.75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left"/>
              <w:rPr>
                <w:sz w:val="18"/>
                <w:szCs w:val="18"/>
              </w:rPr>
            </w:pPr>
            <w:r>
              <w:rPr>
                <w:rFonts w:ascii="Times New Roman" w:eastAsia="Times New Roman" w:hAnsi="Times New Roman" w:cs="Times New Roman"/>
                <w:color w:val="000000"/>
                <w:spacing w:val="0"/>
                <w:w w:val="100"/>
                <w:position w:val="0"/>
                <w:sz w:val="18"/>
                <w:szCs w:val="18"/>
              </w:rPr>
              <w:t>5.58%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-1.56%</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投资性房地产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203,436,618.40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left"/>
              <w:rPr>
                <w:sz w:val="18"/>
                <w:szCs w:val="18"/>
              </w:rPr>
            </w:pPr>
            <w:r>
              <w:rPr>
                <w:rFonts w:ascii="Times New Roman" w:eastAsia="Times New Roman" w:hAnsi="Times New Roman" w:cs="Times New Roman"/>
                <w:color w:val="000000"/>
                <w:spacing w:val="0"/>
                <w:w w:val="100"/>
                <w:position w:val="0"/>
                <w:sz w:val="18"/>
                <w:szCs w:val="18"/>
              </w:rPr>
              <w:t>3.92%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208,669,911.88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left"/>
              <w:rPr>
                <w:sz w:val="18"/>
                <w:szCs w:val="18"/>
              </w:rPr>
            </w:pPr>
            <w:r>
              <w:rPr>
                <w:rFonts w:ascii="Times New Roman" w:eastAsia="Times New Roman" w:hAnsi="Times New Roman" w:cs="Times New Roman"/>
                <w:color w:val="000000"/>
                <w:spacing w:val="0"/>
                <w:w w:val="100"/>
                <w:position w:val="0"/>
                <w:sz w:val="18"/>
                <w:szCs w:val="18"/>
              </w:rPr>
              <w:t>3.97%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-0.05%</w:t>
            </w:r>
          </w:p>
        </w:tc>
        <w:tc>
          <w:tcPr>
            <w:tcBorders>
              <w:top w:val="single" w:sz="4"/>
              <w:left w:val="single" w:sz="4"/>
              <w:right w:val="single" w:sz="4"/>
            </w:tcBorders>
            <w:shd w:val="clear" w:color="auto" w:fill="FFFFFF"/>
            <w:vAlign w:val="top"/>
          </w:tcPr>
          <w:p>
            <w:pPr>
              <w:widowControl w:val="0"/>
              <w:rPr>
                <w:sz w:val="10"/>
                <w:szCs w:val="10"/>
              </w:rPr>
            </w:pPr>
          </w:p>
        </w:tc>
      </w:tr>
      <w:tr>
        <w:trPr>
          <w:trHeight w:val="195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长期股权投资</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124,696,129.28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left"/>
              <w:rPr>
                <w:sz w:val="18"/>
                <w:szCs w:val="18"/>
              </w:rPr>
            </w:pPr>
            <w:r>
              <w:rPr>
                <w:rFonts w:ascii="Times New Roman" w:eastAsia="Times New Roman" w:hAnsi="Times New Roman" w:cs="Times New Roman"/>
                <w:color w:val="000000"/>
                <w:spacing w:val="0"/>
                <w:w w:val="100"/>
                <w:position w:val="0"/>
                <w:sz w:val="18"/>
                <w:szCs w:val="18"/>
              </w:rPr>
              <w:t>2.40%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73,680,787.97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left"/>
              <w:rPr>
                <w:sz w:val="18"/>
                <w:szCs w:val="18"/>
              </w:rPr>
            </w:pPr>
            <w:r>
              <w:rPr>
                <w:rFonts w:ascii="Times New Roman" w:eastAsia="Times New Roman" w:hAnsi="Times New Roman" w:cs="Times New Roman"/>
                <w:color w:val="000000"/>
                <w:spacing w:val="0"/>
                <w:w w:val="100"/>
                <w:position w:val="0"/>
                <w:sz w:val="18"/>
                <w:szCs w:val="18"/>
              </w:rPr>
              <w:t>1.40%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3" w:lineRule="exact"/>
              <w:ind w:left="0" w:right="0" w:firstLine="0"/>
              <w:jc w:val="left"/>
            </w:pPr>
            <w:r>
              <w:rPr>
                <w:color w:val="000000"/>
                <w:spacing w:val="0"/>
                <w:w w:val="100"/>
                <w:position w:val="0"/>
              </w:rPr>
              <w:t>较期初上涨</w:t>
            </w:r>
            <w:r>
              <w:rPr>
                <w:rFonts w:ascii="Times New Roman" w:eastAsia="Times New Roman" w:hAnsi="Times New Roman" w:cs="Times New Roman"/>
                <w:color w:val="000000"/>
                <w:spacing w:val="0"/>
                <w:w w:val="100"/>
                <w:position w:val="0"/>
                <w:sz w:val="18"/>
                <w:szCs w:val="18"/>
              </w:rPr>
              <w:t>69.24%</w:t>
            </w:r>
            <w:r>
              <w:rPr>
                <w:color w:val="000000"/>
                <w:spacing w:val="0"/>
                <w:w w:val="100"/>
                <w:position w:val="0"/>
              </w:rPr>
              <w:t>，主要是报告期 内北京神州泰岳智能数据技术有限 公司因引进投资者，导致公司丧失 对其控制权，将对其的剩余股权按 照公允价值计量，使得长期股权投 资增加所致。</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固定资产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376,709,225.03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left"/>
              <w:rPr>
                <w:sz w:val="18"/>
                <w:szCs w:val="18"/>
              </w:rPr>
            </w:pPr>
            <w:r>
              <w:rPr>
                <w:rFonts w:ascii="Times New Roman" w:eastAsia="Times New Roman" w:hAnsi="Times New Roman" w:cs="Times New Roman"/>
                <w:color w:val="000000"/>
                <w:spacing w:val="0"/>
                <w:w w:val="100"/>
                <w:position w:val="0"/>
                <w:sz w:val="18"/>
                <w:szCs w:val="18"/>
              </w:rPr>
              <w:t>7.26%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388,432,648.04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left"/>
              <w:rPr>
                <w:sz w:val="18"/>
                <w:szCs w:val="18"/>
              </w:rPr>
            </w:pPr>
            <w:r>
              <w:rPr>
                <w:rFonts w:ascii="Times New Roman" w:eastAsia="Times New Roman" w:hAnsi="Times New Roman" w:cs="Times New Roman"/>
                <w:color w:val="000000"/>
                <w:spacing w:val="0"/>
                <w:w w:val="100"/>
                <w:position w:val="0"/>
                <w:sz w:val="18"/>
                <w:szCs w:val="18"/>
              </w:rPr>
              <w:t>7.40%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-0.14%</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在建工程</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短期借款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305,995,730.29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left"/>
              <w:rPr>
                <w:sz w:val="18"/>
                <w:szCs w:val="18"/>
              </w:rPr>
            </w:pPr>
            <w:r>
              <w:rPr>
                <w:rFonts w:ascii="Times New Roman" w:eastAsia="Times New Roman" w:hAnsi="Times New Roman" w:cs="Times New Roman"/>
                <w:color w:val="000000"/>
                <w:spacing w:val="0"/>
                <w:w w:val="100"/>
                <w:position w:val="0"/>
                <w:sz w:val="18"/>
                <w:szCs w:val="18"/>
              </w:rPr>
              <w:t>5.90%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739,312,386.40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14.08%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-8.18%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较期初下降</w:t>
            </w:r>
            <w:r>
              <w:rPr>
                <w:rFonts w:ascii="Times New Roman" w:eastAsia="Times New Roman" w:hAnsi="Times New Roman" w:cs="Times New Roman"/>
                <w:color w:val="000000"/>
                <w:spacing w:val="0"/>
                <w:w w:val="100"/>
                <w:position w:val="0"/>
                <w:sz w:val="18"/>
                <w:szCs w:val="18"/>
              </w:rPr>
              <w:t>58.61%</w:t>
            </w:r>
            <w:r>
              <w:rPr>
                <w:color w:val="000000"/>
                <w:spacing w:val="0"/>
                <w:w w:val="100"/>
                <w:position w:val="0"/>
              </w:rPr>
              <w:t>，主要是本期末 尚未偿还的短期银行借款减少所 致。</w:t>
            </w:r>
          </w:p>
        </w:tc>
      </w:tr>
      <w:tr>
        <w:trPr>
          <w:trHeight w:val="720"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长期借款</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32,558,391.67</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left"/>
              <w:rPr>
                <w:sz w:val="18"/>
                <w:szCs w:val="18"/>
              </w:rPr>
            </w:pPr>
            <w:r>
              <w:rPr>
                <w:rFonts w:ascii="Times New Roman" w:eastAsia="Times New Roman" w:hAnsi="Times New Roman" w:cs="Times New Roman"/>
                <w:color w:val="000000"/>
                <w:spacing w:val="0"/>
                <w:w w:val="100"/>
                <w:position w:val="0"/>
                <w:sz w:val="18"/>
                <w:szCs w:val="18"/>
              </w:rPr>
              <w:t>0.62%</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-0.62%</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322" w:lineRule="exact"/>
              <w:ind w:left="0" w:right="0" w:firstLine="0"/>
              <w:jc w:val="left"/>
            </w:pPr>
            <w:r>
              <w:rPr>
                <w:color w:val="000000"/>
                <w:spacing w:val="0"/>
                <w:w w:val="100"/>
                <w:position w:val="0"/>
              </w:rPr>
              <w:t>较期初下降</w:t>
            </w:r>
            <w:r>
              <w:rPr>
                <w:rFonts w:ascii="Times New Roman" w:eastAsia="Times New Roman" w:hAnsi="Times New Roman" w:cs="Times New Roman"/>
                <w:color w:val="000000"/>
                <w:spacing w:val="0"/>
                <w:w w:val="100"/>
                <w:position w:val="0"/>
                <w:sz w:val="18"/>
                <w:szCs w:val="18"/>
              </w:rPr>
              <w:t>100.00%</w:t>
            </w:r>
            <w:r>
              <w:rPr>
                <w:color w:val="000000"/>
                <w:spacing w:val="0"/>
                <w:w w:val="100"/>
                <w:position w:val="0"/>
              </w:rPr>
              <w:t>，主要是偿还 长期银行借款所致。</w:t>
            </w:r>
          </w:p>
        </w:tc>
      </w:tr>
    </w:tbl>
    <w:p>
      <w:pPr>
        <w:sectPr>
          <w:headerReference w:type="default" r:id="rId153"/>
          <w:footerReference w:type="default" r:id="rId154"/>
          <w:headerReference w:type="even" r:id="rId155"/>
          <w:footerReference w:type="even" r:id="rId156"/>
          <w:footnotePr>
            <w:pos w:val="pageBottom"/>
            <w:numFmt w:val="decimal"/>
            <w:numRestart w:val="continuous"/>
          </w:footnotePr>
          <w:pgSz w:w="11904" w:h="17375"/>
          <w:pgMar w:top="1675" w:right="936" w:bottom="1702" w:left="926" w:header="0" w:footer="3" w:gutter="0"/>
          <w:cols w:space="720"/>
          <w:noEndnote/>
          <w:rtlGutter w:val="0"/>
          <w:docGrid w:linePitch="360"/>
        </w:sectPr>
      </w:pPr>
    </w:p>
    <w:p>
      <w:pPr>
        <w:pStyle w:val="Style47"/>
        <w:keepNext/>
        <w:keepLines/>
        <w:widowControl w:val="0"/>
        <w:shd w:val="clear" w:color="auto" w:fill="auto"/>
        <w:bidi w:val="0"/>
        <w:spacing w:before="0" w:after="420" w:line="240" w:lineRule="auto"/>
        <w:ind w:left="0" w:right="0" w:firstLine="0"/>
        <w:jc w:val="left"/>
      </w:pPr>
      <w:bookmarkStart w:id="311" w:name="bookmark311"/>
      <w:bookmarkStart w:id="312" w:name="bookmark312"/>
      <w:bookmarkStart w:id="313" w:name="bookmark313"/>
      <w:bookmarkStart w:id="314" w:name="bookmark314"/>
      <w:r>
        <w:rPr>
          <w:color w:val="000000"/>
          <w:spacing w:val="0"/>
          <w:w w:val="100"/>
          <w:position w:val="0"/>
        </w:rPr>
        <w:t>2</w:t>
      </w:r>
      <w:bookmarkEnd w:id="313"/>
      <w:r>
        <w:rPr>
          <w:color w:val="000000"/>
          <w:spacing w:val="0"/>
          <w:w w:val="100"/>
          <w:position w:val="0"/>
        </w:rPr>
        <w:t>、以公允价值计量的资产和负债</w:t>
      </w:r>
      <w:bookmarkEnd w:id="311"/>
      <w:bookmarkEnd w:id="312"/>
      <w:bookmarkEnd w:id="314"/>
    </w:p>
    <w:p>
      <w:pPr>
        <w:pStyle w:val="Style41"/>
        <w:keepNext w:val="0"/>
        <w:keepLines w:val="0"/>
        <w:widowControl w:val="0"/>
        <w:shd w:val="clear" w:color="auto" w:fill="auto"/>
        <w:bidi w:val="0"/>
        <w:spacing w:before="0" w:after="140" w:line="240" w:lineRule="auto"/>
        <w:ind w:left="0" w:right="0" w:firstLine="0"/>
        <w:jc w:val="left"/>
      </w:pPr>
      <w:r>
        <w:rPr>
          <w:rFonts w:ascii="Times New Roman" w:eastAsia="Times New Roman" w:hAnsi="Times New Roman" w:cs="Times New Roman"/>
          <w:b/>
          <w:bCs/>
          <w:color w:val="000000"/>
          <w:spacing w:val="0"/>
          <w:w w:val="100"/>
          <w:position w:val="0"/>
          <w:sz w:val="18"/>
          <w:szCs w:val="18"/>
        </w:rPr>
        <w:t>V</w:t>
      </w:r>
      <w:r>
        <w:rPr>
          <w:b/>
          <w:bCs/>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41"/>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955"/>
        <w:gridCol w:w="1344"/>
        <w:gridCol w:w="1157"/>
        <w:gridCol w:w="1195"/>
        <w:gridCol w:w="749"/>
        <w:gridCol w:w="1382"/>
        <w:gridCol w:w="1339"/>
        <w:gridCol w:w="398"/>
        <w:gridCol w:w="1349"/>
      </w:tblGrid>
      <w:tr>
        <w:trPr>
          <w:trHeight w:val="1344"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rPr>
                <w:sz w:val="15"/>
                <w:szCs w:val="15"/>
              </w:rPr>
            </w:pPr>
            <w:r>
              <w:rPr>
                <w:b/>
                <w:bCs/>
                <w:color w:val="000000"/>
                <w:spacing w:val="0"/>
                <w:w w:val="100"/>
                <w:position w:val="0"/>
                <w:sz w:val="15"/>
                <w:szCs w:val="15"/>
              </w:rPr>
              <w:t>项目</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rPr>
                <w:sz w:val="15"/>
                <w:szCs w:val="15"/>
              </w:rPr>
            </w:pPr>
            <w:r>
              <w:rPr>
                <w:b/>
                <w:bCs/>
                <w:color w:val="000000"/>
                <w:spacing w:val="0"/>
                <w:w w:val="100"/>
                <w:position w:val="0"/>
                <w:sz w:val="15"/>
                <w:szCs w:val="15"/>
              </w:rPr>
              <w:t>期初数</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120" w:line="240" w:lineRule="auto"/>
              <w:ind w:left="0" w:right="0" w:firstLine="0"/>
              <w:jc w:val="center"/>
              <w:rPr>
                <w:sz w:val="15"/>
                <w:szCs w:val="15"/>
              </w:rPr>
            </w:pPr>
            <w:r>
              <w:rPr>
                <w:b/>
                <w:bCs/>
                <w:color w:val="000000"/>
                <w:spacing w:val="0"/>
                <w:w w:val="100"/>
                <w:position w:val="0"/>
                <w:sz w:val="15"/>
                <w:szCs w:val="15"/>
              </w:rPr>
              <w:t>本期公允价</w:t>
            </w:r>
          </w:p>
          <w:p>
            <w:pPr>
              <w:pStyle w:val="Style2"/>
              <w:keepNext w:val="0"/>
              <w:keepLines w:val="0"/>
              <w:widowControl w:val="0"/>
              <w:shd w:val="clear" w:color="auto" w:fill="auto"/>
              <w:bidi w:val="0"/>
              <w:spacing w:before="0" w:after="0" w:line="240" w:lineRule="auto"/>
              <w:ind w:left="0" w:right="0" w:firstLine="0"/>
              <w:jc w:val="center"/>
              <w:rPr>
                <w:sz w:val="15"/>
                <w:szCs w:val="15"/>
              </w:rPr>
            </w:pPr>
            <w:r>
              <w:rPr>
                <w:b/>
                <w:bCs/>
                <w:color w:val="000000"/>
                <w:spacing w:val="0"/>
                <w:w w:val="100"/>
                <w:position w:val="0"/>
                <w:sz w:val="15"/>
                <w:szCs w:val="15"/>
              </w:rPr>
              <w:t>值变动损益</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140" w:line="240" w:lineRule="auto"/>
              <w:ind w:left="0" w:right="0" w:firstLine="0"/>
              <w:jc w:val="left"/>
              <w:rPr>
                <w:sz w:val="15"/>
                <w:szCs w:val="15"/>
              </w:rPr>
            </w:pPr>
            <w:r>
              <w:rPr>
                <w:b/>
                <w:bCs/>
                <w:color w:val="000000"/>
                <w:spacing w:val="0"/>
                <w:w w:val="100"/>
                <w:position w:val="0"/>
                <w:sz w:val="15"/>
                <w:szCs w:val="15"/>
              </w:rPr>
              <w:t>计入权益的累</w:t>
            </w:r>
          </w:p>
          <w:p>
            <w:pPr>
              <w:pStyle w:val="Style2"/>
              <w:keepNext w:val="0"/>
              <w:keepLines w:val="0"/>
              <w:widowControl w:val="0"/>
              <w:shd w:val="clear" w:color="auto" w:fill="auto"/>
              <w:bidi w:val="0"/>
              <w:spacing w:before="0" w:after="140" w:line="240" w:lineRule="auto"/>
              <w:ind w:left="0" w:right="0" w:firstLine="0"/>
              <w:jc w:val="left"/>
              <w:rPr>
                <w:sz w:val="15"/>
                <w:szCs w:val="15"/>
              </w:rPr>
            </w:pPr>
            <w:r>
              <w:rPr>
                <w:b/>
                <w:bCs/>
                <w:color w:val="000000"/>
                <w:spacing w:val="0"/>
                <w:w w:val="100"/>
                <w:position w:val="0"/>
                <w:sz w:val="15"/>
                <w:szCs w:val="15"/>
              </w:rPr>
              <w:t>计公允价值变</w:t>
            </w:r>
          </w:p>
          <w:p>
            <w:pPr>
              <w:pStyle w:val="Style2"/>
              <w:keepNext w:val="0"/>
              <w:keepLines w:val="0"/>
              <w:widowControl w:val="0"/>
              <w:shd w:val="clear" w:color="auto" w:fill="auto"/>
              <w:bidi w:val="0"/>
              <w:spacing w:before="0" w:after="140" w:line="240" w:lineRule="auto"/>
              <w:ind w:left="0" w:right="0" w:firstLine="0"/>
              <w:jc w:val="center"/>
              <w:rPr>
                <w:sz w:val="15"/>
                <w:szCs w:val="15"/>
              </w:rPr>
            </w:pPr>
            <w:r>
              <w:rPr>
                <w:b/>
                <w:bCs/>
                <w:color w:val="000000"/>
                <w:spacing w:val="0"/>
                <w:w w:val="100"/>
                <w:position w:val="0"/>
                <w:sz w:val="15"/>
                <w:szCs w:val="15"/>
              </w:rPr>
              <w:t>动</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140" w:line="240" w:lineRule="auto"/>
              <w:ind w:left="0" w:right="0" w:firstLine="0"/>
              <w:jc w:val="center"/>
              <w:rPr>
                <w:sz w:val="15"/>
                <w:szCs w:val="15"/>
              </w:rPr>
            </w:pPr>
            <w:r>
              <w:rPr>
                <w:b/>
                <w:bCs/>
                <w:color w:val="000000"/>
                <w:spacing w:val="0"/>
                <w:w w:val="100"/>
                <w:position w:val="0"/>
                <w:sz w:val="15"/>
                <w:szCs w:val="15"/>
              </w:rPr>
              <w:t>本期计</w:t>
            </w:r>
          </w:p>
          <w:p>
            <w:pPr>
              <w:pStyle w:val="Style2"/>
              <w:keepNext w:val="0"/>
              <w:keepLines w:val="0"/>
              <w:widowControl w:val="0"/>
              <w:shd w:val="clear" w:color="auto" w:fill="auto"/>
              <w:bidi w:val="0"/>
              <w:spacing w:before="0" w:after="140" w:line="240" w:lineRule="auto"/>
              <w:ind w:left="0" w:right="0" w:firstLine="0"/>
              <w:jc w:val="center"/>
              <w:rPr>
                <w:sz w:val="15"/>
                <w:szCs w:val="15"/>
              </w:rPr>
            </w:pPr>
            <w:r>
              <w:rPr>
                <w:b/>
                <w:bCs/>
                <w:color w:val="000000"/>
                <w:spacing w:val="0"/>
                <w:w w:val="100"/>
                <w:position w:val="0"/>
                <w:sz w:val="15"/>
                <w:szCs w:val="15"/>
              </w:rPr>
              <w:t>提的减</w:t>
            </w:r>
          </w:p>
          <w:p>
            <w:pPr>
              <w:pStyle w:val="Style2"/>
              <w:keepNext w:val="0"/>
              <w:keepLines w:val="0"/>
              <w:widowControl w:val="0"/>
              <w:shd w:val="clear" w:color="auto" w:fill="auto"/>
              <w:bidi w:val="0"/>
              <w:spacing w:before="0" w:after="140" w:line="240" w:lineRule="auto"/>
              <w:ind w:left="0" w:right="0" w:firstLine="0"/>
              <w:jc w:val="center"/>
              <w:rPr>
                <w:sz w:val="15"/>
                <w:szCs w:val="15"/>
              </w:rPr>
            </w:pPr>
            <w:r>
              <w:rPr>
                <w:b/>
                <w:bCs/>
                <w:color w:val="000000"/>
                <w:spacing w:val="0"/>
                <w:w w:val="100"/>
                <w:position w:val="0"/>
                <w:sz w:val="15"/>
                <w:szCs w:val="15"/>
              </w:rPr>
              <w:t>值</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200"/>
              <w:jc w:val="left"/>
              <w:rPr>
                <w:sz w:val="15"/>
                <w:szCs w:val="15"/>
              </w:rPr>
            </w:pPr>
            <w:r>
              <w:rPr>
                <w:b/>
                <w:bCs/>
                <w:color w:val="000000"/>
                <w:spacing w:val="0"/>
                <w:w w:val="100"/>
                <w:position w:val="0"/>
                <w:sz w:val="15"/>
                <w:szCs w:val="15"/>
              </w:rPr>
              <w:t>本期购买金额</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rPr>
                <w:sz w:val="15"/>
                <w:szCs w:val="15"/>
              </w:rPr>
            </w:pPr>
            <w:r>
              <w:rPr>
                <w:b/>
                <w:bCs/>
                <w:color w:val="000000"/>
                <w:spacing w:val="0"/>
                <w:w w:val="100"/>
                <w:position w:val="0"/>
                <w:sz w:val="15"/>
                <w:szCs w:val="15"/>
              </w:rPr>
              <w:t>本期出售金额</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firstLine="0"/>
              <w:jc w:val="left"/>
              <w:rPr>
                <w:sz w:val="15"/>
                <w:szCs w:val="15"/>
              </w:rPr>
            </w:pPr>
            <w:r>
              <w:rPr>
                <w:b/>
                <w:bCs/>
                <w:color w:val="000000"/>
                <w:spacing w:val="0"/>
                <w:w w:val="100"/>
                <w:position w:val="0"/>
                <w:sz w:val="15"/>
                <w:szCs w:val="15"/>
              </w:rPr>
              <w:t>其</w:t>
            </w:r>
          </w:p>
          <w:p>
            <w:pPr>
              <w:pStyle w:val="Style2"/>
              <w:keepNext w:val="0"/>
              <w:keepLines w:val="0"/>
              <w:widowControl w:val="0"/>
              <w:shd w:val="clear" w:color="auto" w:fill="auto"/>
              <w:bidi w:val="0"/>
              <w:spacing w:before="0" w:after="0" w:line="317" w:lineRule="exact"/>
              <w:ind w:left="0" w:right="0" w:firstLine="0"/>
              <w:jc w:val="center"/>
              <w:rPr>
                <w:sz w:val="15"/>
                <w:szCs w:val="15"/>
              </w:rPr>
            </w:pPr>
            <w:r>
              <w:rPr>
                <w:b/>
                <w:bCs/>
                <w:color w:val="000000"/>
                <w:spacing w:val="0"/>
                <w:w w:val="100"/>
                <w:position w:val="0"/>
                <w:sz w:val="15"/>
                <w:szCs w:val="15"/>
              </w:rPr>
              <w:t>他 变 动</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420" w:firstLine="0"/>
              <w:jc w:val="right"/>
              <w:rPr>
                <w:sz w:val="15"/>
                <w:szCs w:val="15"/>
              </w:rPr>
            </w:pPr>
            <w:r>
              <w:rPr>
                <w:b/>
                <w:bCs/>
                <w:color w:val="000000"/>
                <w:spacing w:val="0"/>
                <w:w w:val="100"/>
                <w:position w:val="0"/>
                <w:sz w:val="15"/>
                <w:szCs w:val="15"/>
              </w:rPr>
              <w:t>期末数</w:t>
            </w:r>
          </w:p>
        </w:tc>
      </w:tr>
      <w:tr>
        <w:trPr>
          <w:trHeight w:val="403" w:hRule="exact"/>
        </w:trPr>
        <w:tc>
          <w:tcPr>
            <w:gridSpan w:val="9"/>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金融资产</w:t>
            </w:r>
          </w:p>
        </w:tc>
      </w:tr>
      <w:tr>
        <w:trPr>
          <w:trHeight w:val="1651"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93" w:lineRule="exact"/>
              <w:ind w:left="160" w:right="0" w:firstLine="0"/>
              <w:jc w:val="left"/>
              <w:rPr>
                <w:sz w:val="15"/>
                <w:szCs w:val="15"/>
              </w:rPr>
            </w:pPr>
            <w:r>
              <w:rPr>
                <w:rFonts w:ascii="Times New Roman" w:eastAsia="Times New Roman" w:hAnsi="Times New Roman" w:cs="Times New Roman"/>
                <w:color w:val="000000"/>
                <w:spacing w:val="0"/>
                <w:w w:val="100"/>
                <w:position w:val="0"/>
                <w:sz w:val="16"/>
                <w:szCs w:val="16"/>
              </w:rPr>
              <w:t>1.</w:t>
            </w:r>
            <w:r>
              <w:rPr>
                <w:color w:val="000000"/>
                <w:spacing w:val="0"/>
                <w:w w:val="100"/>
                <w:position w:val="0"/>
                <w:sz w:val="15"/>
                <w:szCs w:val="15"/>
              </w:rPr>
              <w:t>交易性 金融资产</w:t>
            </w:r>
          </w:p>
          <w:p>
            <w:pPr>
              <w:pStyle w:val="Style2"/>
              <w:keepNext w:val="0"/>
              <w:keepLines w:val="0"/>
              <w:widowControl w:val="0"/>
              <w:shd w:val="clear" w:color="auto" w:fill="auto"/>
              <w:bidi w:val="0"/>
              <w:spacing w:before="0" w:after="0" w:line="307" w:lineRule="exact"/>
              <w:ind w:left="160" w:right="0" w:firstLine="0"/>
              <w:jc w:val="left"/>
              <w:rPr>
                <w:sz w:val="15"/>
                <w:szCs w:val="15"/>
              </w:rPr>
            </w:pPr>
            <w:r>
              <w:rPr>
                <w:color w:val="000000"/>
                <w:spacing w:val="0"/>
                <w:w w:val="100"/>
                <w:position w:val="0"/>
                <w:sz w:val="15"/>
                <w:szCs w:val="15"/>
              </w:rPr>
              <w:t>（不含衍 生金融资</w:t>
            </w:r>
          </w:p>
          <w:p>
            <w:pPr>
              <w:pStyle w:val="Style2"/>
              <w:keepNext w:val="0"/>
              <w:keepLines w:val="0"/>
              <w:widowControl w:val="0"/>
              <w:shd w:val="clear" w:color="auto" w:fill="auto"/>
              <w:bidi w:val="0"/>
              <w:spacing w:before="0" w:after="0" w:line="300" w:lineRule="exact"/>
              <w:ind w:left="0" w:right="0" w:firstLine="0"/>
              <w:jc w:val="center"/>
              <w:rPr>
                <w:sz w:val="15"/>
                <w:szCs w:val="15"/>
              </w:rPr>
            </w:pPr>
            <w:r>
              <w:rPr>
                <w:color w:val="000000"/>
                <w:spacing w:val="0"/>
                <w:w w:val="100"/>
                <w:position w:val="0"/>
                <w:sz w:val="15"/>
                <w:szCs w:val="15"/>
              </w:rPr>
              <w:t>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rPr>
                <w:sz w:val="16"/>
                <w:szCs w:val="16"/>
              </w:rPr>
            </w:pPr>
            <w:r>
              <w:rPr>
                <w:rFonts w:ascii="Times New Roman" w:eastAsia="Times New Roman" w:hAnsi="Times New Roman" w:cs="Times New Roman"/>
                <w:color w:val="000000"/>
                <w:spacing w:val="0"/>
                <w:w w:val="100"/>
                <w:position w:val="0"/>
                <w:sz w:val="16"/>
                <w:szCs w:val="16"/>
              </w:rPr>
              <w:t>41,752,400.00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rPr>
                <w:sz w:val="16"/>
                <w:szCs w:val="16"/>
              </w:rPr>
            </w:pPr>
            <w:r>
              <w:rPr>
                <w:rFonts w:ascii="Times New Roman" w:eastAsia="Times New Roman" w:hAnsi="Times New Roman" w:cs="Times New Roman"/>
                <w:color w:val="000000"/>
                <w:spacing w:val="0"/>
                <w:w w:val="100"/>
                <w:position w:val="0"/>
                <w:sz w:val="16"/>
                <w:szCs w:val="16"/>
              </w:rPr>
              <w:t>891,819.22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rPr>
                <w:sz w:val="16"/>
                <w:szCs w:val="16"/>
              </w:rPr>
            </w:pPr>
            <w:r>
              <w:rPr>
                <w:rFonts w:ascii="Times New Roman" w:eastAsia="Times New Roman" w:hAnsi="Times New Roman" w:cs="Times New Roman"/>
                <w:color w:val="000000"/>
                <w:spacing w:val="0"/>
                <w:w w:val="100"/>
                <w:position w:val="0"/>
                <w:sz w:val="16"/>
                <w:szCs w:val="16"/>
              </w:rPr>
              <w:t>252,894,000.00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6"/>
                <w:szCs w:val="16"/>
              </w:rPr>
            </w:pPr>
            <w:r>
              <w:rPr>
                <w:rFonts w:ascii="Times New Roman" w:eastAsia="Times New Roman" w:hAnsi="Times New Roman" w:cs="Times New Roman"/>
                <w:color w:val="000000"/>
                <w:spacing w:val="0"/>
                <w:w w:val="100"/>
                <w:position w:val="0"/>
                <w:sz w:val="16"/>
                <w:szCs w:val="16"/>
              </w:rPr>
              <w:t>149,946,400.00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rPr>
              <w:t>145,591,819.22</w:t>
            </w:r>
          </w:p>
        </w:tc>
      </w:tr>
      <w:tr>
        <w:trPr>
          <w:trHeight w:val="10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160"/>
              <w:jc w:val="left"/>
              <w:rPr>
                <w:sz w:val="15"/>
                <w:szCs w:val="15"/>
              </w:rPr>
            </w:pPr>
            <w:r>
              <w:rPr>
                <w:rFonts w:ascii="Times New Roman" w:eastAsia="Times New Roman" w:hAnsi="Times New Roman" w:cs="Times New Roman"/>
                <w:color w:val="000000"/>
                <w:spacing w:val="0"/>
                <w:w w:val="100"/>
                <w:position w:val="0"/>
                <w:sz w:val="16"/>
                <w:szCs w:val="16"/>
              </w:rPr>
              <w:t>2</w:t>
            </w:r>
            <w:r>
              <w:rPr>
                <w:color w:val="000000"/>
                <w:spacing w:val="0"/>
                <w:w w:val="100"/>
                <w:position w:val="0"/>
                <w:sz w:val="15"/>
                <w:szCs w:val="15"/>
              </w:rPr>
              <w:t>其他权</w:t>
            </w:r>
          </w:p>
          <w:p>
            <w:pPr>
              <w:pStyle w:val="Style2"/>
              <w:keepNext w:val="0"/>
              <w:keepLines w:val="0"/>
              <w:widowControl w:val="0"/>
              <w:shd w:val="clear" w:color="auto" w:fill="auto"/>
              <w:bidi w:val="0"/>
              <w:spacing w:before="0" w:after="120" w:line="240" w:lineRule="auto"/>
              <w:ind w:left="0" w:right="0" w:firstLine="0"/>
              <w:jc w:val="center"/>
              <w:rPr>
                <w:sz w:val="15"/>
                <w:szCs w:val="15"/>
              </w:rPr>
            </w:pPr>
            <w:r>
              <w:rPr>
                <w:color w:val="000000"/>
                <w:spacing w:val="0"/>
                <w:w w:val="100"/>
                <w:position w:val="0"/>
                <w:sz w:val="15"/>
                <w:szCs w:val="15"/>
              </w:rPr>
              <w:t>益工具投</w:t>
            </w:r>
          </w:p>
          <w:p>
            <w:pPr>
              <w:pStyle w:val="Style2"/>
              <w:keepNext w:val="0"/>
              <w:keepLines w:val="0"/>
              <w:widowControl w:val="0"/>
              <w:shd w:val="clear" w:color="auto" w:fill="auto"/>
              <w:bidi w:val="0"/>
              <w:spacing w:before="0" w:after="120" w:line="240" w:lineRule="auto"/>
              <w:ind w:left="0" w:right="0" w:firstLine="0"/>
              <w:jc w:val="center"/>
              <w:rPr>
                <w:sz w:val="15"/>
                <w:szCs w:val="15"/>
              </w:rPr>
            </w:pPr>
            <w:r>
              <w:rPr>
                <w:color w:val="000000"/>
                <w:spacing w:val="0"/>
                <w:w w:val="100"/>
                <w:position w:val="0"/>
                <w:sz w:val="15"/>
                <w:szCs w:val="15"/>
              </w:rPr>
              <w:t>资</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rPr>
                <w:sz w:val="16"/>
                <w:szCs w:val="16"/>
              </w:rPr>
            </w:pPr>
            <w:r>
              <w:rPr>
                <w:rFonts w:ascii="Times New Roman" w:eastAsia="Times New Roman" w:hAnsi="Times New Roman" w:cs="Times New Roman"/>
                <w:color w:val="000000"/>
                <w:spacing w:val="0"/>
                <w:w w:val="100"/>
                <w:position w:val="0"/>
                <w:sz w:val="16"/>
                <w:szCs w:val="16"/>
              </w:rPr>
              <w:t>16,792,264.49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rPr>
              <w:t>-30,063,399.95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rPr>
              <w:t>16,538,743.49</w:t>
            </w:r>
          </w:p>
        </w:tc>
      </w:tr>
      <w:tr>
        <w:trPr>
          <w:trHeight w:val="102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0" w:lineRule="exact"/>
              <w:ind w:left="0" w:right="0" w:firstLine="0"/>
              <w:jc w:val="center"/>
              <w:rPr>
                <w:sz w:val="15"/>
                <w:szCs w:val="15"/>
              </w:rPr>
            </w:pPr>
            <w:r>
              <w:rPr>
                <w:rFonts w:ascii="Times New Roman" w:eastAsia="Times New Roman" w:hAnsi="Times New Roman" w:cs="Times New Roman"/>
                <w:color w:val="000000"/>
                <w:spacing w:val="0"/>
                <w:w w:val="100"/>
                <w:position w:val="0"/>
                <w:sz w:val="16"/>
                <w:szCs w:val="16"/>
              </w:rPr>
              <w:t>3.</w:t>
            </w:r>
            <w:r>
              <w:rPr>
                <w:color w:val="000000"/>
                <w:spacing w:val="0"/>
                <w:w w:val="100"/>
                <w:position w:val="0"/>
                <w:sz w:val="15"/>
                <w:szCs w:val="15"/>
              </w:rPr>
              <w:t>其他非 流动金融 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6"/>
                <w:szCs w:val="16"/>
              </w:rPr>
            </w:pPr>
            <w:r>
              <w:rPr>
                <w:rFonts w:ascii="Times New Roman" w:eastAsia="Times New Roman" w:hAnsi="Times New Roman" w:cs="Times New Roman"/>
                <w:color w:val="000000"/>
                <w:spacing w:val="0"/>
                <w:w w:val="100"/>
                <w:position w:val="0"/>
                <w:sz w:val="16"/>
                <w:szCs w:val="16"/>
              </w:rPr>
              <w:t>176,542,160.12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rPr>
                <w:sz w:val="16"/>
                <w:szCs w:val="16"/>
              </w:rPr>
            </w:pPr>
            <w:r>
              <w:rPr>
                <w:rFonts w:ascii="Times New Roman" w:eastAsia="Times New Roman" w:hAnsi="Times New Roman" w:cs="Times New Roman"/>
                <w:color w:val="000000"/>
                <w:spacing w:val="0"/>
                <w:w w:val="100"/>
                <w:position w:val="0"/>
                <w:sz w:val="16"/>
                <w:szCs w:val="16"/>
              </w:rPr>
              <w:t>8,618,349.13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rPr>
              <w:t>7,433,486.04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rPr>
              <w:t>177,727,023.21</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40" w:line="240" w:lineRule="auto"/>
              <w:ind w:left="0" w:right="0" w:firstLine="160"/>
              <w:jc w:val="left"/>
              <w:rPr>
                <w:sz w:val="15"/>
                <w:szCs w:val="15"/>
              </w:rPr>
            </w:pPr>
            <w:r>
              <w:rPr>
                <w:rFonts w:ascii="Times New Roman" w:eastAsia="Times New Roman" w:hAnsi="Times New Roman" w:cs="Times New Roman"/>
                <w:color w:val="000000"/>
                <w:spacing w:val="0"/>
                <w:w w:val="100"/>
                <w:position w:val="0"/>
                <w:sz w:val="16"/>
                <w:szCs w:val="16"/>
              </w:rPr>
              <w:t>4.</w:t>
            </w:r>
            <w:r>
              <w:rPr>
                <w:color w:val="000000"/>
                <w:spacing w:val="0"/>
                <w:w w:val="100"/>
                <w:position w:val="0"/>
                <w:sz w:val="15"/>
                <w:szCs w:val="15"/>
              </w:rPr>
              <w:t>应收款</w:t>
            </w:r>
          </w:p>
          <w:p>
            <w:pPr>
              <w:pStyle w:val="Style2"/>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项融资</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rPr>
                <w:sz w:val="16"/>
                <w:szCs w:val="16"/>
              </w:rPr>
            </w:pPr>
            <w:r>
              <w:rPr>
                <w:rFonts w:ascii="Times New Roman" w:eastAsia="Times New Roman" w:hAnsi="Times New Roman" w:cs="Times New Roman"/>
                <w:color w:val="000000"/>
                <w:spacing w:val="0"/>
                <w:w w:val="100"/>
                <w:position w:val="0"/>
                <w:sz w:val="16"/>
                <w:szCs w:val="16"/>
              </w:rPr>
              <w:t>14,520,394.13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rPr>
              <w:t>15,396,749.97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rPr>
              <w:t>20,759,444.93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rPr>
              <w:t>9,157,699.17</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160"/>
              <w:jc w:val="left"/>
              <w:rPr>
                <w:sz w:val="15"/>
                <w:szCs w:val="15"/>
              </w:rPr>
            </w:pPr>
            <w:r>
              <w:rPr>
                <w:rFonts w:ascii="Times New Roman" w:eastAsia="Times New Roman" w:hAnsi="Times New Roman" w:cs="Times New Roman"/>
                <w:color w:val="000000"/>
                <w:spacing w:val="0"/>
                <w:w w:val="100"/>
                <w:position w:val="0"/>
                <w:sz w:val="16"/>
                <w:szCs w:val="16"/>
              </w:rPr>
              <w:t>5.</w:t>
            </w:r>
            <w:r>
              <w:rPr>
                <w:color w:val="000000"/>
                <w:spacing w:val="0"/>
                <w:w w:val="100"/>
                <w:position w:val="0"/>
                <w:sz w:val="15"/>
                <w:szCs w:val="15"/>
              </w:rPr>
              <w:t>其他流</w:t>
            </w:r>
          </w:p>
          <w:p>
            <w:pPr>
              <w:pStyle w:val="Style2"/>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动资产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rPr>
                <w:sz w:val="16"/>
                <w:szCs w:val="16"/>
              </w:rPr>
            </w:pPr>
            <w:r>
              <w:rPr>
                <w:rFonts w:ascii="Times New Roman" w:eastAsia="Times New Roman" w:hAnsi="Times New Roman" w:cs="Times New Roman"/>
                <w:color w:val="000000"/>
                <w:spacing w:val="0"/>
                <w:w w:val="100"/>
                <w:position w:val="0"/>
                <w:sz w:val="16"/>
                <w:szCs w:val="16"/>
              </w:rPr>
              <w:t>134,000,000.00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6"/>
                <w:szCs w:val="16"/>
              </w:rPr>
            </w:pPr>
            <w:r>
              <w:rPr>
                <w:rFonts w:ascii="Times New Roman" w:eastAsia="Times New Roman" w:hAnsi="Times New Roman" w:cs="Times New Roman"/>
                <w:color w:val="000000"/>
                <w:spacing w:val="0"/>
                <w:w w:val="100"/>
                <w:position w:val="0"/>
                <w:sz w:val="16"/>
                <w:szCs w:val="16"/>
              </w:rPr>
              <w:t>134,000,000.00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上述合计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6"/>
                <w:szCs w:val="16"/>
              </w:rPr>
            </w:pPr>
            <w:r>
              <w:rPr>
                <w:rFonts w:ascii="Times New Roman" w:eastAsia="Times New Roman" w:hAnsi="Times New Roman" w:cs="Times New Roman"/>
                <w:color w:val="000000"/>
                <w:spacing w:val="0"/>
                <w:w w:val="100"/>
                <w:position w:val="0"/>
                <w:sz w:val="16"/>
                <w:szCs w:val="16"/>
              </w:rPr>
              <w:t>249,607,218.74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rPr>
                <w:sz w:val="16"/>
                <w:szCs w:val="16"/>
              </w:rPr>
            </w:pPr>
            <w:r>
              <w:rPr>
                <w:rFonts w:ascii="Times New Roman" w:eastAsia="Times New Roman" w:hAnsi="Times New Roman" w:cs="Times New Roman"/>
                <w:color w:val="000000"/>
                <w:spacing w:val="0"/>
                <w:w w:val="100"/>
                <w:position w:val="0"/>
                <w:sz w:val="16"/>
                <w:szCs w:val="16"/>
              </w:rPr>
              <w:t>9,510,168.35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rPr>
              <w:t>-30,063,399.95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rPr>
                <w:sz w:val="16"/>
                <w:szCs w:val="16"/>
              </w:rPr>
            </w:pPr>
            <w:r>
              <w:rPr>
                <w:rFonts w:ascii="Times New Roman" w:eastAsia="Times New Roman" w:hAnsi="Times New Roman" w:cs="Times New Roman"/>
                <w:color w:val="000000"/>
                <w:spacing w:val="0"/>
                <w:w w:val="100"/>
                <w:position w:val="0"/>
                <w:sz w:val="16"/>
                <w:szCs w:val="16"/>
              </w:rPr>
              <w:t>402,290,749.97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6"/>
                <w:szCs w:val="16"/>
              </w:rPr>
            </w:pPr>
            <w:r>
              <w:rPr>
                <w:rFonts w:ascii="Times New Roman" w:eastAsia="Times New Roman" w:hAnsi="Times New Roman" w:cs="Times New Roman"/>
                <w:color w:val="000000"/>
                <w:spacing w:val="0"/>
                <w:w w:val="100"/>
                <w:position w:val="0"/>
                <w:sz w:val="16"/>
                <w:szCs w:val="16"/>
              </w:rPr>
              <w:t>312,139,330.97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rPr>
              <w:t>349,015,285.09</w:t>
            </w:r>
          </w:p>
        </w:tc>
      </w:tr>
      <w:tr>
        <w:trPr>
          <w:trHeight w:val="41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rPr>
                <w:sz w:val="15"/>
                <w:szCs w:val="15"/>
              </w:rPr>
            </w:pPr>
            <w:r>
              <w:rPr>
                <w:color w:val="000000"/>
                <w:spacing w:val="0"/>
                <w:w w:val="100"/>
                <w:position w:val="0"/>
                <w:sz w:val="15"/>
                <w:szCs w:val="15"/>
              </w:rPr>
              <w:t>金融负债</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139" w:line="1" w:lineRule="exact"/>
      </w:pPr>
    </w:p>
    <w:p>
      <w:pPr>
        <w:pStyle w:val="Style41"/>
        <w:keepNext w:val="0"/>
        <w:keepLines w:val="0"/>
        <w:widowControl w:val="0"/>
        <w:shd w:val="clear" w:color="auto" w:fill="auto"/>
        <w:bidi w:val="0"/>
        <w:spacing w:before="0" w:after="260" w:line="240" w:lineRule="auto"/>
        <w:ind w:left="0" w:right="0" w:firstLine="0"/>
        <w:jc w:val="left"/>
      </w:pPr>
      <w:r>
        <w:rPr>
          <w:color w:val="000000"/>
          <w:spacing w:val="0"/>
          <w:w w:val="100"/>
          <w:position w:val="0"/>
        </w:rPr>
        <w:t>其他变动的内容</w:t>
      </w:r>
    </w:p>
    <w:p>
      <w:pPr>
        <w:pStyle w:val="Style41"/>
        <w:keepNext w:val="0"/>
        <w:keepLines w:val="0"/>
        <w:widowControl w:val="0"/>
        <w:shd w:val="clear" w:color="auto" w:fill="auto"/>
        <w:bidi w:val="0"/>
        <w:spacing w:before="0" w:after="260" w:line="240" w:lineRule="auto"/>
        <w:ind w:left="0" w:right="0" w:firstLine="0"/>
        <w:jc w:val="left"/>
      </w:pPr>
      <w:r>
        <w:rPr>
          <w:color w:val="000000"/>
          <w:spacing w:val="0"/>
          <w:w w:val="100"/>
          <w:position w:val="0"/>
        </w:rPr>
        <w:t>不适用。</w:t>
      </w:r>
    </w:p>
    <w:p>
      <w:pPr>
        <w:pStyle w:val="Style41"/>
        <w:keepNext w:val="0"/>
        <w:keepLines w:val="0"/>
        <w:widowControl w:val="0"/>
        <w:shd w:val="clear" w:color="auto" w:fill="auto"/>
        <w:bidi w:val="0"/>
        <w:spacing w:before="0" w:after="260" w:line="240" w:lineRule="auto"/>
        <w:ind w:left="0" w:right="0" w:firstLine="0"/>
        <w:jc w:val="left"/>
      </w:pPr>
      <w:r>
        <w:rPr>
          <w:color w:val="000000"/>
          <w:spacing w:val="0"/>
          <w:w w:val="100"/>
          <w:position w:val="0"/>
        </w:rPr>
        <w:t>报告期内公司主要资产计量属性是否发生重大变化</w:t>
      </w:r>
    </w:p>
    <w:p>
      <w:pPr>
        <w:pStyle w:val="Style41"/>
        <w:keepNext w:val="0"/>
        <w:keepLines w:val="0"/>
        <w:widowControl w:val="0"/>
        <w:shd w:val="clear" w:color="auto" w:fill="auto"/>
        <w:bidi w:val="0"/>
        <w:spacing w:before="0" w:after="42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是</w:t>
      </w:r>
      <w:r>
        <w:rPr>
          <w:rFonts w:ascii="Times New Roman" w:eastAsia="Times New Roman" w:hAnsi="Times New Roman" w:cs="Times New Roman"/>
          <w:i/>
          <w:iCs/>
          <w:color w:val="000000"/>
          <w:spacing w:val="0"/>
          <w:w w:val="100"/>
          <w:position w:val="0"/>
          <w:sz w:val="18"/>
          <w:szCs w:val="18"/>
        </w:rPr>
        <w:t>V</w:t>
      </w:r>
      <w:r>
        <w:rPr>
          <w:color w:val="000000"/>
          <w:spacing w:val="0"/>
          <w:w w:val="100"/>
          <w:position w:val="0"/>
        </w:rPr>
        <w:t>否</w:t>
      </w:r>
    </w:p>
    <w:p>
      <w:pPr>
        <w:pStyle w:val="Style47"/>
        <w:keepNext/>
        <w:keepLines/>
        <w:widowControl w:val="0"/>
        <w:shd w:val="clear" w:color="auto" w:fill="auto"/>
        <w:bidi w:val="0"/>
        <w:spacing w:before="0" w:after="480" w:line="240" w:lineRule="auto"/>
        <w:ind w:left="0" w:right="0" w:firstLine="0"/>
        <w:jc w:val="left"/>
      </w:pPr>
      <w:bookmarkStart w:id="315" w:name="bookmark315"/>
      <w:bookmarkStart w:id="316" w:name="bookmark316"/>
      <w:bookmarkStart w:id="317" w:name="bookmark317"/>
      <w:bookmarkStart w:id="318" w:name="bookmark318"/>
      <w:r>
        <w:rPr>
          <w:color w:val="000000"/>
          <w:spacing w:val="0"/>
          <w:w w:val="100"/>
          <w:position w:val="0"/>
        </w:rPr>
        <w:t>3</w:t>
      </w:r>
      <w:bookmarkEnd w:id="317"/>
      <w:r>
        <w:rPr>
          <w:color w:val="000000"/>
          <w:spacing w:val="0"/>
          <w:w w:val="100"/>
          <w:position w:val="0"/>
        </w:rPr>
        <w:t>、截至报告期末的资产权利受限情况</w:t>
      </w:r>
      <w:bookmarkEnd w:id="315"/>
      <w:bookmarkEnd w:id="316"/>
      <w:bookmarkEnd w:id="318"/>
    </w:p>
    <w:p>
      <w:pPr>
        <w:pStyle w:val="Style41"/>
        <w:keepNext w:val="0"/>
        <w:keepLines w:val="0"/>
        <w:widowControl w:val="0"/>
        <w:shd w:val="clear" w:color="auto" w:fill="auto"/>
        <w:bidi w:val="0"/>
        <w:spacing w:before="0" w:after="260" w:line="240" w:lineRule="auto"/>
        <w:ind w:left="0" w:right="0" w:firstLine="0"/>
        <w:jc w:val="left"/>
      </w:pPr>
      <w:r>
        <w:rPr>
          <w:color w:val="000000"/>
          <w:spacing w:val="0"/>
          <w:w w:val="100"/>
          <w:position w:val="0"/>
        </w:rPr>
        <w:t>截至报告期末，资产权利受限情况详见</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第十二节财务报告</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中</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七、合并财务报表项目注释</w:t>
      </w:r>
      <w:r>
        <w:rPr>
          <w:rFonts w:ascii="Times New Roman" w:eastAsia="Times New Roman" w:hAnsi="Times New Roman" w:cs="Times New Roman"/>
          <w:color w:val="000000"/>
          <w:spacing w:val="0"/>
          <w:w w:val="100"/>
          <w:position w:val="0"/>
          <w:sz w:val="18"/>
          <w:szCs w:val="18"/>
        </w:rPr>
        <w:t>81</w:t>
      </w:r>
      <w:r>
        <w:rPr>
          <w:color w:val="000000"/>
          <w:spacing w:val="0"/>
          <w:w w:val="100"/>
          <w:position w:val="0"/>
        </w:rPr>
        <w:t>、所有权或使用权受到限制</w:t>
      </w:r>
    </w:p>
    <w:p>
      <w:pPr>
        <w:pStyle w:val="Style41"/>
        <w:keepNext w:val="0"/>
        <w:keepLines w:val="0"/>
        <w:widowControl w:val="0"/>
        <w:shd w:val="clear" w:color="auto" w:fill="auto"/>
        <w:bidi w:val="0"/>
        <w:spacing w:before="0" w:after="260" w:line="240" w:lineRule="auto"/>
        <w:ind w:left="0" w:right="0" w:firstLine="0"/>
        <w:jc w:val="left"/>
      </w:pPr>
      <w:r>
        <w:rPr>
          <w:color w:val="000000"/>
          <w:spacing w:val="0"/>
          <w:w w:val="100"/>
          <w:position w:val="0"/>
        </w:rPr>
        <w:t>的资产</w:t>
      </w:r>
    </w:p>
    <w:p>
      <w:pPr>
        <w:pStyle w:val="Style39"/>
        <w:keepNext/>
        <w:keepLines/>
        <w:widowControl w:val="0"/>
        <w:shd w:val="clear" w:color="auto" w:fill="auto"/>
        <w:bidi w:val="0"/>
        <w:spacing w:before="0" w:after="360" w:line="240" w:lineRule="auto"/>
        <w:ind w:left="0" w:right="0" w:firstLine="260"/>
        <w:jc w:val="left"/>
      </w:pPr>
      <w:bookmarkStart w:id="319" w:name="bookmark319"/>
      <w:bookmarkStart w:id="320" w:name="bookmark320"/>
      <w:bookmarkStart w:id="321" w:name="bookmark321"/>
      <w:bookmarkStart w:id="322" w:name="bookmark322"/>
      <w:r>
        <w:rPr>
          <w:color w:val="000000"/>
          <w:spacing w:val="0"/>
          <w:w w:val="100"/>
          <w:position w:val="0"/>
          <w:sz w:val="24"/>
          <w:szCs w:val="24"/>
        </w:rPr>
        <w:t>五</w:t>
      </w:r>
      <w:bookmarkEnd w:id="321"/>
      <w:r>
        <w:rPr>
          <w:color w:val="000000"/>
          <w:spacing w:val="0"/>
          <w:w w:val="100"/>
          <w:position w:val="0"/>
          <w:sz w:val="24"/>
          <w:szCs w:val="24"/>
        </w:rPr>
        <w:t>、投资状况分析</w:t>
      </w:r>
      <w:bookmarkEnd w:id="319"/>
      <w:bookmarkEnd w:id="320"/>
      <w:bookmarkEnd w:id="322"/>
    </w:p>
    <w:p>
      <w:pPr>
        <w:pStyle w:val="Style47"/>
        <w:keepNext/>
        <w:keepLines/>
        <w:widowControl w:val="0"/>
        <w:shd w:val="clear" w:color="auto" w:fill="auto"/>
        <w:bidi w:val="0"/>
        <w:spacing w:before="0" w:after="360" w:line="240" w:lineRule="auto"/>
        <w:ind w:left="0" w:right="0" w:firstLine="260"/>
        <w:jc w:val="left"/>
      </w:pPr>
      <w:bookmarkStart w:id="323" w:name="bookmark323"/>
      <w:bookmarkStart w:id="324" w:name="bookmark324"/>
      <w:bookmarkStart w:id="325" w:name="bookmark325"/>
      <w:bookmarkStart w:id="326" w:name="bookmark326"/>
      <w:r>
        <w:rPr>
          <w:color w:val="000000"/>
          <w:spacing w:val="0"/>
          <w:w w:val="100"/>
          <w:position w:val="0"/>
        </w:rPr>
        <w:t>1</w:t>
      </w:r>
      <w:bookmarkEnd w:id="325"/>
      <w:r>
        <w:rPr>
          <w:color w:val="000000"/>
          <w:spacing w:val="0"/>
          <w:w w:val="100"/>
          <w:position w:val="0"/>
        </w:rPr>
        <w:t>、总体情况</w:t>
      </w:r>
      <w:bookmarkEnd w:id="323"/>
      <w:bookmarkEnd w:id="324"/>
      <w:bookmarkEnd w:id="326"/>
    </w:p>
    <w:p>
      <w:pPr>
        <w:pStyle w:val="Style20"/>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b/>
          <w:bCs/>
          <w:color w:val="000000"/>
          <w:spacing w:val="0"/>
          <w:w w:val="100"/>
          <w:position w:val="0"/>
          <w:sz w:val="18"/>
          <w:szCs w:val="18"/>
        </w:rPr>
        <w:t>v</w:t>
      </w:r>
      <w:r>
        <w:rPr>
          <w:rFonts w:ascii="SimSun" w:eastAsia="SimSun" w:hAnsi="SimSun" w:cs="SimSun"/>
          <w:b/>
          <w:bCs/>
          <w:color w:val="000000"/>
          <w:spacing w:val="0"/>
          <w:w w:val="100"/>
          <w:position w:val="0"/>
          <w:sz w:val="17"/>
          <w:szCs w:val="17"/>
        </w:rPr>
        <w:t>适用</w:t>
      </w:r>
      <w:r>
        <w:rPr>
          <w:rFonts w:ascii="SimSun" w:eastAsia="SimSun" w:hAnsi="SimSun" w:cs="SimSun"/>
          <w:color w:val="000000"/>
          <w:spacing w:val="0"/>
          <w:w w:val="100"/>
          <w:position w:val="0"/>
          <w:sz w:val="18"/>
          <w:szCs w:val="18"/>
        </w:rPr>
        <w:t>口</w:t>
      </w:r>
      <w:r>
        <w:rPr>
          <w:rFonts w:ascii="SimSun" w:eastAsia="SimSun" w:hAnsi="SimSun" w:cs="SimSun"/>
          <w:color w:val="000000"/>
          <w:spacing w:val="0"/>
          <w:w w:val="100"/>
          <w:position w:val="0"/>
          <w:sz w:val="17"/>
          <w:szCs w:val="17"/>
        </w:rPr>
        <w:t>不适用</w:t>
      </w:r>
    </w:p>
    <w:tbl>
      <w:tblPr>
        <w:tblOverlap w:val="never"/>
        <w:jc w:val="center"/>
        <w:tblLayout w:type="fixed"/>
      </w:tblPr>
      <w:tblGrid>
        <w:gridCol w:w="3192"/>
        <w:gridCol w:w="3192"/>
        <w:gridCol w:w="3202"/>
      </w:tblGrid>
      <w:tr>
        <w:trPr>
          <w:trHeight w:val="40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报告期投资额（元）</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上年同期投资额（元）</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变动幅度</w:t>
            </w:r>
          </w:p>
        </w:tc>
      </w:tr>
      <w:tr>
        <w:trPr>
          <w:trHeight w:val="40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left"/>
              <w:rPr>
                <w:sz w:val="18"/>
                <w:szCs w:val="18"/>
              </w:rPr>
            </w:pPr>
            <w:r>
              <w:rPr>
                <w:rFonts w:ascii="Times New Roman" w:eastAsia="Times New Roman" w:hAnsi="Times New Roman" w:cs="Times New Roman"/>
                <w:color w:val="000000"/>
                <w:spacing w:val="0"/>
                <w:w w:val="100"/>
                <w:position w:val="0"/>
                <w:sz w:val="18"/>
                <w:szCs w:val="18"/>
              </w:rPr>
              <w:t>59,420,000.00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210,542,371.13</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-71.78%</w:t>
            </w:r>
          </w:p>
        </w:tc>
      </w:tr>
    </w:tbl>
    <w:p>
      <w:pPr>
        <w:widowControl w:val="0"/>
        <w:spacing w:after="359" w:line="1" w:lineRule="exact"/>
      </w:pPr>
    </w:p>
    <w:p>
      <w:pPr>
        <w:pStyle w:val="Style47"/>
        <w:keepNext/>
        <w:keepLines/>
        <w:widowControl w:val="0"/>
        <w:shd w:val="clear" w:color="auto" w:fill="auto"/>
        <w:bidi w:val="0"/>
        <w:spacing w:before="0" w:after="400" w:line="240" w:lineRule="auto"/>
        <w:ind w:left="0" w:right="0" w:firstLine="260"/>
        <w:jc w:val="left"/>
      </w:pPr>
      <w:bookmarkStart w:id="327" w:name="bookmark327"/>
      <w:bookmarkStart w:id="328" w:name="bookmark328"/>
      <w:bookmarkStart w:id="329" w:name="bookmark329"/>
      <w:bookmarkStart w:id="330" w:name="bookmark330"/>
      <w:r>
        <w:rPr>
          <w:color w:val="000000"/>
          <w:spacing w:val="0"/>
          <w:w w:val="100"/>
          <w:position w:val="0"/>
        </w:rPr>
        <w:t>2</w:t>
      </w:r>
      <w:bookmarkEnd w:id="329"/>
      <w:r>
        <w:rPr>
          <w:color w:val="000000"/>
          <w:spacing w:val="0"/>
          <w:w w:val="100"/>
          <w:position w:val="0"/>
        </w:rPr>
        <w:t>、报告期内获取的重大的股权投资情况</w:t>
      </w:r>
      <w:bookmarkEnd w:id="327"/>
      <w:bookmarkEnd w:id="328"/>
      <w:bookmarkEnd w:id="330"/>
    </w:p>
    <w:p>
      <w:pPr>
        <w:pStyle w:val="Style41"/>
        <w:keepNext w:val="0"/>
        <w:keepLines w:val="0"/>
        <w:widowControl w:val="0"/>
        <w:shd w:val="clear" w:color="auto" w:fill="auto"/>
        <w:bidi w:val="0"/>
        <w:spacing w:before="0" w:after="360" w:line="240" w:lineRule="auto"/>
        <w:ind w:left="0" w:right="0" w:firstLine="26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b/>
          <w:bCs/>
          <w:i/>
          <w:iCs/>
          <w:color w:val="000000"/>
          <w:spacing w:val="0"/>
          <w:w w:val="100"/>
          <w:position w:val="0"/>
        </w:rPr>
        <w:t>v</w:t>
      </w:r>
      <w:r>
        <w:rPr>
          <w:b/>
          <w:bCs/>
          <w:color w:val="000000"/>
          <w:spacing w:val="0"/>
          <w:w w:val="100"/>
          <w:position w:val="0"/>
        </w:rPr>
        <w:t>不适用</w:t>
      </w:r>
    </w:p>
    <w:p>
      <w:pPr>
        <w:pStyle w:val="Style47"/>
        <w:keepNext/>
        <w:keepLines/>
        <w:widowControl w:val="0"/>
        <w:shd w:val="clear" w:color="auto" w:fill="auto"/>
        <w:bidi w:val="0"/>
        <w:spacing w:before="0" w:after="400" w:line="240" w:lineRule="auto"/>
        <w:ind w:left="0" w:right="0" w:firstLine="260"/>
        <w:jc w:val="left"/>
      </w:pPr>
      <w:bookmarkStart w:id="331" w:name="bookmark331"/>
      <w:bookmarkStart w:id="332" w:name="bookmark332"/>
      <w:bookmarkStart w:id="333" w:name="bookmark333"/>
      <w:bookmarkStart w:id="334" w:name="bookmark334"/>
      <w:r>
        <w:rPr>
          <w:color w:val="000000"/>
          <w:spacing w:val="0"/>
          <w:w w:val="100"/>
          <w:position w:val="0"/>
        </w:rPr>
        <w:t>3</w:t>
      </w:r>
      <w:bookmarkEnd w:id="333"/>
      <w:r>
        <w:rPr>
          <w:color w:val="000000"/>
          <w:spacing w:val="0"/>
          <w:w w:val="100"/>
          <w:position w:val="0"/>
        </w:rPr>
        <w:t>、报告期内正在进行的重大的非股权投资情况</w:t>
      </w:r>
      <w:bookmarkEnd w:id="331"/>
      <w:bookmarkEnd w:id="332"/>
      <w:bookmarkEnd w:id="334"/>
    </w:p>
    <w:p>
      <w:pPr>
        <w:pStyle w:val="Style41"/>
        <w:keepNext w:val="0"/>
        <w:keepLines w:val="0"/>
        <w:widowControl w:val="0"/>
        <w:shd w:val="clear" w:color="auto" w:fill="auto"/>
        <w:bidi w:val="0"/>
        <w:spacing w:before="0" w:after="360" w:line="240" w:lineRule="auto"/>
        <w:ind w:left="0" w:right="0" w:firstLine="26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b/>
          <w:bCs/>
          <w:color w:val="000000"/>
          <w:spacing w:val="0"/>
          <w:w w:val="100"/>
          <w:position w:val="0"/>
          <w:sz w:val="18"/>
          <w:szCs w:val="18"/>
        </w:rPr>
        <w:t>v</w:t>
      </w:r>
      <w:r>
        <w:rPr>
          <w:b/>
          <w:bCs/>
          <w:color w:val="000000"/>
          <w:spacing w:val="0"/>
          <w:w w:val="100"/>
          <w:position w:val="0"/>
        </w:rPr>
        <w:t>不适用</w:t>
      </w:r>
    </w:p>
    <w:p>
      <w:pPr>
        <w:pStyle w:val="Style47"/>
        <w:keepNext/>
        <w:keepLines/>
        <w:widowControl w:val="0"/>
        <w:shd w:val="clear" w:color="auto" w:fill="auto"/>
        <w:bidi w:val="0"/>
        <w:spacing w:before="0" w:after="400" w:line="240" w:lineRule="auto"/>
        <w:ind w:left="0" w:right="0" w:firstLine="260"/>
        <w:jc w:val="left"/>
      </w:pPr>
      <w:bookmarkStart w:id="335" w:name="bookmark335"/>
      <w:bookmarkStart w:id="336" w:name="bookmark336"/>
      <w:bookmarkStart w:id="337" w:name="bookmark337"/>
      <w:bookmarkStart w:id="338" w:name="bookmark338"/>
      <w:r>
        <w:rPr>
          <w:color w:val="000000"/>
          <w:spacing w:val="0"/>
          <w:w w:val="100"/>
          <w:position w:val="0"/>
        </w:rPr>
        <w:t>4</w:t>
      </w:r>
      <w:bookmarkEnd w:id="337"/>
      <w:r>
        <w:rPr>
          <w:color w:val="000000"/>
          <w:spacing w:val="0"/>
          <w:w w:val="100"/>
          <w:position w:val="0"/>
        </w:rPr>
        <w:t>、以公允价值计量的金融资产</w:t>
      </w:r>
      <w:bookmarkEnd w:id="335"/>
      <w:bookmarkEnd w:id="336"/>
      <w:bookmarkEnd w:id="338"/>
    </w:p>
    <w:p>
      <w:pPr>
        <w:pStyle w:val="Style41"/>
        <w:keepNext w:val="0"/>
        <w:keepLines w:val="0"/>
        <w:widowControl w:val="0"/>
        <w:shd w:val="clear" w:color="auto" w:fill="auto"/>
        <w:bidi w:val="0"/>
        <w:spacing w:before="0" w:after="140" w:line="240" w:lineRule="auto"/>
        <w:ind w:left="0" w:right="0" w:firstLine="260"/>
        <w:jc w:val="left"/>
      </w:pPr>
      <w:r>
        <w:rPr>
          <w:rFonts w:ascii="Times New Roman" w:eastAsia="Times New Roman" w:hAnsi="Times New Roman" w:cs="Times New Roman"/>
          <w:b/>
          <w:bCs/>
          <w:color w:val="000000"/>
          <w:spacing w:val="0"/>
          <w:w w:val="100"/>
          <w:position w:val="0"/>
          <w:sz w:val="18"/>
          <w:szCs w:val="18"/>
        </w:rPr>
        <w:t>V</w:t>
      </w:r>
      <w:r>
        <w:rPr>
          <w:b/>
          <w:bCs/>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20"/>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单位：元</w:t>
      </w:r>
    </w:p>
    <w:tbl>
      <w:tblPr>
        <w:tblOverlap w:val="never"/>
        <w:jc w:val="center"/>
        <w:tblLayout w:type="fixed"/>
      </w:tblPr>
      <w:tblGrid>
        <w:gridCol w:w="456"/>
        <w:gridCol w:w="1339"/>
        <w:gridCol w:w="1162"/>
        <w:gridCol w:w="1310"/>
        <w:gridCol w:w="1344"/>
        <w:gridCol w:w="1339"/>
        <w:gridCol w:w="1162"/>
        <w:gridCol w:w="1339"/>
        <w:gridCol w:w="590"/>
      </w:tblGrid>
      <w:tr>
        <w:trPr>
          <w:trHeight w:val="1344"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firstLine="140"/>
              <w:jc w:val="both"/>
            </w:pPr>
            <w:r>
              <w:rPr>
                <w:color w:val="000000"/>
                <w:spacing w:val="0"/>
                <w:w w:val="100"/>
                <w:position w:val="0"/>
              </w:rPr>
              <w:t>资 产 类 别</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初始投资成本</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本期公允价 值变动损益</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9" w:lineRule="exact"/>
              <w:ind w:left="0" w:right="0" w:firstLine="0"/>
              <w:jc w:val="center"/>
            </w:pPr>
            <w:r>
              <w:rPr>
                <w:color w:val="000000"/>
                <w:spacing w:val="0"/>
                <w:w w:val="100"/>
                <w:position w:val="0"/>
              </w:rPr>
              <w:t>计入权益的累 计公允价值变 动</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报告期内购入 金额</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报告期内售出 金额</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累计投资收</w:t>
            </w:r>
          </w:p>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u w:val="single"/>
              </w:rPr>
              <w:t>益</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期末金额</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资金 来源</w:t>
            </w: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2" w:lineRule="exact"/>
              <w:ind w:left="0" w:right="0" w:firstLine="140"/>
              <w:jc w:val="both"/>
            </w:pPr>
            <w:r>
              <w:rPr>
                <w:color w:val="000000"/>
                <w:spacing w:val="0"/>
                <w:w w:val="100"/>
                <w:position w:val="0"/>
              </w:rPr>
              <w:t>其 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465,531,520.34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9,510,168.35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-30,063,399.95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402,290,749.97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312,139,330.97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4,832,818.01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349,015,285.09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自有 资金</w:t>
            </w:r>
          </w:p>
        </w:tc>
      </w:tr>
      <w:tr>
        <w:trPr>
          <w:trHeight w:val="725"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center"/>
            </w:pPr>
            <w:r>
              <w:rPr>
                <w:b/>
                <w:bCs/>
                <w:color w:val="000000"/>
                <w:spacing w:val="0"/>
                <w:w w:val="100"/>
                <w:position w:val="0"/>
              </w:rPr>
              <w:t>合</w:t>
            </w:r>
          </w:p>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b/>
                <w:bCs/>
                <w:color w:val="000000"/>
                <w:spacing w:val="0"/>
                <w:w w:val="100"/>
                <w:position w:val="0"/>
                <w:sz w:val="18"/>
                <w:szCs w:val="18"/>
              </w:rPr>
              <w:t>465,531,520.34</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b/>
                <w:bCs/>
                <w:color w:val="000000"/>
                <w:spacing w:val="0"/>
                <w:w w:val="100"/>
                <w:position w:val="0"/>
                <w:sz w:val="18"/>
                <w:szCs w:val="18"/>
              </w:rPr>
              <w:t>9,510,168.35</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b/>
                <w:bCs/>
                <w:color w:val="000000"/>
                <w:spacing w:val="0"/>
                <w:w w:val="100"/>
                <w:position w:val="0"/>
                <w:sz w:val="18"/>
                <w:szCs w:val="18"/>
              </w:rPr>
              <w:t>-30,063,399.95</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b/>
                <w:bCs/>
                <w:color w:val="000000"/>
                <w:spacing w:val="0"/>
                <w:w w:val="100"/>
                <w:position w:val="0"/>
                <w:sz w:val="18"/>
                <w:szCs w:val="18"/>
              </w:rPr>
              <w:t>402,290,749.97</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b/>
                <w:bCs/>
                <w:color w:val="000000"/>
                <w:spacing w:val="0"/>
                <w:w w:val="100"/>
                <w:position w:val="0"/>
                <w:sz w:val="18"/>
                <w:szCs w:val="18"/>
              </w:rPr>
              <w:t>312,139,330.97</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b/>
                <w:bCs/>
                <w:color w:val="000000"/>
                <w:spacing w:val="0"/>
                <w:w w:val="100"/>
                <w:position w:val="0"/>
                <w:sz w:val="18"/>
                <w:szCs w:val="18"/>
              </w:rPr>
              <w:t>4,832,818.01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b/>
                <w:bCs/>
                <w:color w:val="000000"/>
                <w:spacing w:val="0"/>
                <w:w w:val="100"/>
                <w:position w:val="0"/>
                <w:sz w:val="18"/>
                <w:szCs w:val="18"/>
              </w:rPr>
              <w:t>349,015,285.09</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b/>
                <w:bCs/>
                <w:color w:val="000000"/>
                <w:spacing w:val="0"/>
                <w:w w:val="100"/>
                <w:position w:val="0"/>
                <w:sz w:val="18"/>
                <w:szCs w:val="18"/>
              </w:rPr>
              <w:t>--</w:t>
            </w:r>
          </w:p>
        </w:tc>
      </w:tr>
    </w:tbl>
    <w:p>
      <w:pPr>
        <w:widowControl w:val="0"/>
        <w:spacing w:after="359" w:line="1" w:lineRule="exact"/>
      </w:pPr>
    </w:p>
    <w:p>
      <w:pPr>
        <w:pStyle w:val="Style47"/>
        <w:keepNext/>
        <w:keepLines/>
        <w:widowControl w:val="0"/>
        <w:shd w:val="clear" w:color="auto" w:fill="auto"/>
        <w:bidi w:val="0"/>
        <w:spacing w:before="0" w:after="400" w:line="240" w:lineRule="auto"/>
        <w:ind w:left="0" w:right="0" w:firstLine="260"/>
        <w:jc w:val="left"/>
      </w:pPr>
      <w:bookmarkStart w:id="339" w:name="bookmark339"/>
      <w:bookmarkStart w:id="340" w:name="bookmark340"/>
      <w:bookmarkStart w:id="341" w:name="bookmark341"/>
      <w:bookmarkStart w:id="342" w:name="bookmark342"/>
      <w:r>
        <w:rPr>
          <w:color w:val="000000"/>
          <w:spacing w:val="0"/>
          <w:w w:val="100"/>
          <w:position w:val="0"/>
        </w:rPr>
        <w:t>5</w:t>
      </w:r>
      <w:bookmarkEnd w:id="341"/>
      <w:r>
        <w:rPr>
          <w:color w:val="000000"/>
          <w:spacing w:val="0"/>
          <w:w w:val="100"/>
          <w:position w:val="0"/>
        </w:rPr>
        <w:t>、募集资金使用情况</w:t>
      </w:r>
      <w:bookmarkEnd w:id="339"/>
      <w:bookmarkEnd w:id="340"/>
      <w:bookmarkEnd w:id="342"/>
    </w:p>
    <w:p>
      <w:pPr>
        <w:pStyle w:val="Style41"/>
        <w:keepNext w:val="0"/>
        <w:keepLines w:val="0"/>
        <w:widowControl w:val="0"/>
        <w:shd w:val="clear" w:color="auto" w:fill="auto"/>
        <w:bidi w:val="0"/>
        <w:spacing w:before="0" w:after="360" w:line="240" w:lineRule="auto"/>
        <w:ind w:left="0" w:right="0" w:firstLine="26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b/>
          <w:bCs/>
          <w:color w:val="000000"/>
          <w:spacing w:val="0"/>
          <w:w w:val="100"/>
          <w:position w:val="0"/>
          <w:sz w:val="18"/>
          <w:szCs w:val="18"/>
        </w:rPr>
        <w:t>V</w:t>
      </w:r>
      <w:r>
        <w:rPr>
          <w:b/>
          <w:bCs/>
          <w:color w:val="000000"/>
          <w:spacing w:val="0"/>
          <w:w w:val="100"/>
          <w:position w:val="0"/>
        </w:rPr>
        <w:t>不适用</w:t>
      </w:r>
    </w:p>
    <w:p>
      <w:pPr>
        <w:pStyle w:val="Style39"/>
        <w:keepNext/>
        <w:keepLines/>
        <w:widowControl w:val="0"/>
        <w:shd w:val="clear" w:color="auto" w:fill="auto"/>
        <w:bidi w:val="0"/>
        <w:spacing w:before="0" w:after="360" w:line="240" w:lineRule="auto"/>
        <w:ind w:left="0" w:right="0" w:firstLine="260"/>
        <w:jc w:val="left"/>
      </w:pPr>
      <w:bookmarkStart w:id="343" w:name="bookmark343"/>
      <w:bookmarkStart w:id="344" w:name="bookmark344"/>
      <w:bookmarkStart w:id="345" w:name="bookmark345"/>
      <w:bookmarkStart w:id="346" w:name="bookmark346"/>
      <w:r>
        <w:rPr>
          <w:color w:val="000000"/>
          <w:spacing w:val="0"/>
          <w:w w:val="100"/>
          <w:position w:val="0"/>
          <w:sz w:val="24"/>
          <w:szCs w:val="24"/>
        </w:rPr>
        <w:t>六</w:t>
      </w:r>
      <w:bookmarkEnd w:id="345"/>
      <w:r>
        <w:rPr>
          <w:color w:val="000000"/>
          <w:spacing w:val="0"/>
          <w:w w:val="100"/>
          <w:position w:val="0"/>
          <w:sz w:val="24"/>
          <w:szCs w:val="24"/>
        </w:rPr>
        <w:t>、重大资产和股权出售</w:t>
      </w:r>
      <w:bookmarkEnd w:id="343"/>
      <w:bookmarkEnd w:id="344"/>
      <w:bookmarkEnd w:id="346"/>
    </w:p>
    <w:p>
      <w:pPr>
        <w:pStyle w:val="Style47"/>
        <w:keepNext/>
        <w:keepLines/>
        <w:widowControl w:val="0"/>
        <w:shd w:val="clear" w:color="auto" w:fill="auto"/>
        <w:tabs>
          <w:tab w:pos="628" w:val="left"/>
        </w:tabs>
        <w:bidi w:val="0"/>
        <w:spacing w:before="0" w:after="400" w:line="240" w:lineRule="auto"/>
        <w:ind w:left="0" w:right="0" w:firstLine="260"/>
        <w:jc w:val="left"/>
      </w:pPr>
      <w:bookmarkStart w:id="347" w:name="bookmark347"/>
      <w:bookmarkStart w:id="348" w:name="bookmark348"/>
      <w:bookmarkStart w:id="349" w:name="bookmark349"/>
      <w:bookmarkStart w:id="350" w:name="bookmark350"/>
      <w:r>
        <w:rPr>
          <w:color w:val="000000"/>
          <w:spacing w:val="0"/>
          <w:w w:val="100"/>
          <w:position w:val="0"/>
        </w:rPr>
        <w:t>1</w:t>
      </w:r>
      <w:bookmarkEnd w:id="349"/>
      <w:r>
        <w:rPr>
          <w:color w:val="000000"/>
          <w:spacing w:val="0"/>
          <w:w w:val="100"/>
          <w:position w:val="0"/>
        </w:rPr>
        <w:t>、</w:t>
        <w:tab/>
        <w:t>出售重大资产情况</w:t>
      </w:r>
      <w:bookmarkEnd w:id="347"/>
      <w:bookmarkEnd w:id="348"/>
      <w:bookmarkEnd w:id="350"/>
    </w:p>
    <w:p>
      <w:pPr>
        <w:pStyle w:val="Style41"/>
        <w:keepNext w:val="0"/>
        <w:keepLines w:val="0"/>
        <w:widowControl w:val="0"/>
        <w:shd w:val="clear" w:color="auto" w:fill="auto"/>
        <w:bidi w:val="0"/>
        <w:spacing w:before="0" w:after="360" w:line="240" w:lineRule="auto"/>
        <w:ind w:left="0" w:right="0" w:firstLine="26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b/>
          <w:bCs/>
          <w:color w:val="000000"/>
          <w:spacing w:val="0"/>
          <w:w w:val="100"/>
          <w:position w:val="0"/>
          <w:sz w:val="18"/>
          <w:szCs w:val="18"/>
        </w:rPr>
        <w:t>V</w:t>
      </w:r>
      <w:r>
        <w:rPr>
          <w:b/>
          <w:bCs/>
          <w:color w:val="000000"/>
          <w:spacing w:val="0"/>
          <w:w w:val="100"/>
          <w:position w:val="0"/>
        </w:rPr>
        <w:t>不适用</w:t>
      </w:r>
    </w:p>
    <w:p>
      <w:pPr>
        <w:pStyle w:val="Style47"/>
        <w:keepNext/>
        <w:keepLines/>
        <w:widowControl w:val="0"/>
        <w:shd w:val="clear" w:color="auto" w:fill="auto"/>
        <w:tabs>
          <w:tab w:pos="638" w:val="left"/>
        </w:tabs>
        <w:bidi w:val="0"/>
        <w:spacing w:before="0" w:after="400" w:line="240" w:lineRule="auto"/>
        <w:ind w:left="0" w:right="0" w:firstLine="260"/>
        <w:jc w:val="left"/>
      </w:pPr>
      <w:bookmarkStart w:id="351" w:name="bookmark351"/>
      <w:bookmarkStart w:id="352" w:name="bookmark352"/>
      <w:bookmarkStart w:id="353" w:name="bookmark353"/>
      <w:bookmarkStart w:id="354" w:name="bookmark354"/>
      <w:r>
        <w:rPr>
          <w:color w:val="000000"/>
          <w:spacing w:val="0"/>
          <w:w w:val="100"/>
          <w:position w:val="0"/>
        </w:rPr>
        <w:t>2</w:t>
      </w:r>
      <w:bookmarkEnd w:id="353"/>
      <w:r>
        <w:rPr>
          <w:color w:val="000000"/>
          <w:spacing w:val="0"/>
          <w:w w:val="100"/>
          <w:position w:val="0"/>
        </w:rPr>
        <w:t>、</w:t>
        <w:tab/>
        <w:t>出售重大股权情况</w:t>
      </w:r>
      <w:bookmarkEnd w:id="351"/>
      <w:bookmarkEnd w:id="352"/>
      <w:bookmarkEnd w:id="354"/>
    </w:p>
    <w:p>
      <w:pPr>
        <w:pStyle w:val="Style41"/>
        <w:keepNext w:val="0"/>
        <w:keepLines w:val="0"/>
        <w:widowControl w:val="0"/>
        <w:shd w:val="clear" w:color="auto" w:fill="auto"/>
        <w:bidi w:val="0"/>
        <w:spacing w:before="0" w:after="360" w:line="240" w:lineRule="auto"/>
        <w:ind w:left="0" w:right="0" w:firstLine="26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b/>
          <w:bCs/>
          <w:color w:val="000000"/>
          <w:spacing w:val="0"/>
          <w:w w:val="100"/>
          <w:position w:val="0"/>
          <w:sz w:val="18"/>
          <w:szCs w:val="18"/>
        </w:rPr>
        <w:t>V</w:t>
      </w:r>
      <w:r>
        <w:rPr>
          <w:b/>
          <w:bCs/>
          <w:color w:val="000000"/>
          <w:spacing w:val="0"/>
          <w:w w:val="100"/>
          <w:position w:val="0"/>
        </w:rPr>
        <w:t>不适用</w:t>
      </w:r>
      <w:r>
        <w:br w:type="page"/>
      </w:r>
    </w:p>
    <w:p>
      <w:pPr>
        <w:pStyle w:val="Style39"/>
        <w:keepNext/>
        <w:keepLines/>
        <w:widowControl w:val="0"/>
        <w:shd w:val="clear" w:color="auto" w:fill="auto"/>
        <w:bidi w:val="0"/>
        <w:spacing w:before="0" w:after="360" w:line="240" w:lineRule="auto"/>
        <w:ind w:left="0" w:right="0" w:firstLine="0"/>
        <w:jc w:val="left"/>
      </w:pPr>
      <w:bookmarkStart w:id="355" w:name="bookmark355"/>
      <w:bookmarkStart w:id="356" w:name="bookmark356"/>
      <w:bookmarkStart w:id="357" w:name="bookmark357"/>
      <w:bookmarkStart w:id="358" w:name="bookmark358"/>
      <w:r>
        <w:rPr>
          <w:color w:val="000000"/>
          <w:spacing w:val="0"/>
          <w:w w:val="100"/>
          <w:position w:val="0"/>
          <w:sz w:val="24"/>
          <w:szCs w:val="24"/>
        </w:rPr>
        <w:t>七</w:t>
      </w:r>
      <w:bookmarkEnd w:id="357"/>
      <w:r>
        <w:rPr>
          <w:color w:val="000000"/>
          <w:spacing w:val="0"/>
          <w:w w:val="100"/>
          <w:position w:val="0"/>
          <w:sz w:val="24"/>
          <w:szCs w:val="24"/>
        </w:rPr>
        <w:t>、主要控股参股公司分析</w:t>
      </w:r>
      <w:bookmarkEnd w:id="355"/>
      <w:bookmarkEnd w:id="356"/>
      <w:bookmarkEnd w:id="358"/>
    </w:p>
    <w:p>
      <w:pPr>
        <w:pStyle w:val="Style41"/>
        <w:keepNext w:val="0"/>
        <w:keepLines w:val="0"/>
        <w:widowControl w:val="0"/>
        <w:shd w:val="clear" w:color="auto" w:fill="auto"/>
        <w:bidi w:val="0"/>
        <w:spacing w:before="0" w:after="120" w:line="240" w:lineRule="auto"/>
        <w:ind w:left="0" w:right="0" w:firstLine="0"/>
        <w:jc w:val="left"/>
      </w:pPr>
      <w:r>
        <w:rPr>
          <w:b/>
          <w:bCs/>
          <w:color w:val="000000"/>
          <w:spacing w:val="0"/>
          <w:w w:val="100"/>
          <w:position w:val="0"/>
          <w:sz w:val="19"/>
          <w:szCs w:val="19"/>
        </w:rPr>
        <w:t>寸</w:t>
      </w:r>
      <w:r>
        <w:rPr>
          <w:b/>
          <w:bCs/>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41"/>
        <w:keepNext w:val="0"/>
        <w:keepLines w:val="0"/>
        <w:widowControl w:val="0"/>
        <w:shd w:val="clear" w:color="auto" w:fill="auto"/>
        <w:bidi w:val="0"/>
        <w:spacing w:before="0" w:after="120" w:line="240" w:lineRule="auto"/>
        <w:ind w:left="0" w:right="0" w:firstLine="0"/>
        <w:jc w:val="left"/>
      </w:pPr>
      <w:r>
        <w:rPr>
          <w:color w:val="000000"/>
          <w:spacing w:val="0"/>
          <w:w w:val="100"/>
          <w:position w:val="0"/>
        </w:rPr>
        <w:t>主要子公司及对公司净利润影响达</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以上的参股公司情况</w:t>
      </w:r>
    </w:p>
    <w:p>
      <w:pPr>
        <w:pStyle w:val="Style41"/>
        <w:keepNext w:val="0"/>
        <w:keepLines w:val="0"/>
        <w:widowControl w:val="0"/>
        <w:shd w:val="clear" w:color="auto" w:fill="auto"/>
        <w:bidi w:val="0"/>
        <w:spacing w:before="0" w:after="120" w:line="240" w:lineRule="auto"/>
        <w:ind w:left="0" w:right="140" w:firstLine="0"/>
        <w:jc w:val="right"/>
      </w:pPr>
      <w:r>
        <w:rPr>
          <w:color w:val="000000"/>
          <w:spacing w:val="0"/>
          <w:w w:val="100"/>
          <w:position w:val="0"/>
        </w:rPr>
        <w:t>单位：元</w:t>
      </w:r>
    </w:p>
    <w:tbl>
      <w:tblPr>
        <w:tblOverlap w:val="never"/>
        <w:jc w:val="center"/>
        <w:tblLayout w:type="fixed"/>
      </w:tblPr>
      <w:tblGrid>
        <w:gridCol w:w="970"/>
        <w:gridCol w:w="566"/>
        <w:gridCol w:w="672"/>
        <w:gridCol w:w="1027"/>
        <w:gridCol w:w="1421"/>
        <w:gridCol w:w="1416"/>
        <w:gridCol w:w="1363"/>
        <w:gridCol w:w="1219"/>
        <w:gridCol w:w="1253"/>
      </w:tblGrid>
      <w:tr>
        <w:trPr>
          <w:trHeight w:val="720"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160" w:right="0" w:firstLine="0"/>
              <w:jc w:val="both"/>
              <w:rPr>
                <w:sz w:val="15"/>
                <w:szCs w:val="15"/>
              </w:rPr>
            </w:pPr>
            <w:r>
              <w:rPr>
                <w:color w:val="000000"/>
                <w:spacing w:val="0"/>
                <w:w w:val="100"/>
                <w:position w:val="0"/>
                <w:sz w:val="15"/>
                <w:szCs w:val="15"/>
              </w:rPr>
              <w:t>公司名称</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120" w:line="240" w:lineRule="auto"/>
              <w:ind w:left="0" w:right="0" w:firstLine="0"/>
              <w:jc w:val="left"/>
              <w:rPr>
                <w:sz w:val="15"/>
                <w:szCs w:val="15"/>
              </w:rPr>
            </w:pPr>
            <w:r>
              <w:rPr>
                <w:color w:val="000000"/>
                <w:spacing w:val="0"/>
                <w:w w:val="100"/>
                <w:position w:val="0"/>
                <w:sz w:val="15"/>
                <w:szCs w:val="15"/>
              </w:rPr>
              <w:t>公司</w:t>
            </w:r>
          </w:p>
          <w:p>
            <w:pPr>
              <w:pStyle w:val="Style2"/>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类型</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140" w:line="240" w:lineRule="auto"/>
              <w:ind w:left="0" w:right="0" w:firstLine="160"/>
              <w:jc w:val="left"/>
              <w:rPr>
                <w:sz w:val="15"/>
                <w:szCs w:val="15"/>
              </w:rPr>
            </w:pPr>
            <w:r>
              <w:rPr>
                <w:color w:val="000000"/>
                <w:spacing w:val="0"/>
                <w:w w:val="100"/>
                <w:position w:val="0"/>
                <w:sz w:val="15"/>
                <w:szCs w:val="15"/>
              </w:rPr>
              <w:t>主要</w:t>
            </w:r>
          </w:p>
          <w:p>
            <w:pPr>
              <w:pStyle w:val="Style2"/>
              <w:keepNext w:val="0"/>
              <w:keepLines w:val="0"/>
              <w:widowControl w:val="0"/>
              <w:shd w:val="clear" w:color="auto" w:fill="auto"/>
              <w:bidi w:val="0"/>
              <w:spacing w:before="0" w:after="0" w:line="240" w:lineRule="auto"/>
              <w:ind w:left="0" w:right="0" w:firstLine="160"/>
              <w:jc w:val="left"/>
              <w:rPr>
                <w:sz w:val="15"/>
                <w:szCs w:val="15"/>
              </w:rPr>
            </w:pPr>
            <w:r>
              <w:rPr>
                <w:color w:val="000000"/>
                <w:spacing w:val="0"/>
                <w:w w:val="100"/>
                <w:position w:val="0"/>
                <w:sz w:val="15"/>
                <w:szCs w:val="15"/>
              </w:rPr>
              <w:t>业务</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180"/>
              <w:jc w:val="left"/>
              <w:rPr>
                <w:sz w:val="15"/>
                <w:szCs w:val="15"/>
              </w:rPr>
            </w:pPr>
            <w:r>
              <w:rPr>
                <w:color w:val="000000"/>
                <w:spacing w:val="0"/>
                <w:w w:val="100"/>
                <w:position w:val="0"/>
                <w:sz w:val="15"/>
                <w:szCs w:val="15"/>
              </w:rPr>
              <w:t>注册资本</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总资产</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净资产</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营业收入</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260"/>
              <w:jc w:val="left"/>
              <w:rPr>
                <w:sz w:val="15"/>
                <w:szCs w:val="15"/>
              </w:rPr>
            </w:pPr>
            <w:r>
              <w:rPr>
                <w:color w:val="000000"/>
                <w:spacing w:val="0"/>
                <w:w w:val="100"/>
                <w:position w:val="0"/>
                <w:sz w:val="15"/>
                <w:szCs w:val="15"/>
              </w:rPr>
              <w:t>营业利润</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净利润</w:t>
            </w:r>
          </w:p>
        </w:tc>
      </w:tr>
      <w:tr>
        <w:trPr>
          <w:trHeight w:val="133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160" w:right="0" w:firstLine="0"/>
              <w:jc w:val="both"/>
              <w:rPr>
                <w:sz w:val="15"/>
                <w:szCs w:val="15"/>
              </w:rPr>
            </w:pPr>
            <w:r>
              <w:rPr>
                <w:color w:val="000000"/>
                <w:spacing w:val="0"/>
                <w:w w:val="100"/>
                <w:position w:val="0"/>
                <w:sz w:val="15"/>
                <w:szCs w:val="15"/>
              </w:rPr>
              <w:t>北京神州 泰岳智能 数据技术 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98" w:lineRule="exact"/>
              <w:ind w:left="0" w:right="0" w:firstLine="0"/>
              <w:jc w:val="left"/>
              <w:rPr>
                <w:sz w:val="15"/>
                <w:szCs w:val="15"/>
              </w:rPr>
            </w:pPr>
            <w:r>
              <w:rPr>
                <w:color w:val="000000"/>
                <w:spacing w:val="0"/>
                <w:w w:val="100"/>
                <w:position w:val="0"/>
                <w:sz w:val="15"/>
                <w:szCs w:val="15"/>
              </w:rPr>
              <w:t>参股 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160"/>
              <w:jc w:val="left"/>
              <w:rPr>
                <w:sz w:val="15"/>
                <w:szCs w:val="15"/>
              </w:rPr>
            </w:pPr>
            <w:r>
              <w:rPr>
                <w:color w:val="000000"/>
                <w:spacing w:val="0"/>
                <w:w w:val="100"/>
                <w:position w:val="0"/>
                <w:sz w:val="15"/>
                <w:szCs w:val="15"/>
              </w:rPr>
              <w:t>大数</w:t>
            </w:r>
          </w:p>
          <w:p>
            <w:pPr>
              <w:pStyle w:val="Style2"/>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rPr>
              <w:t>112,909,200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rPr>
                <w:sz w:val="16"/>
                <w:szCs w:val="16"/>
              </w:rPr>
            </w:pPr>
            <w:r>
              <w:rPr>
                <w:rFonts w:ascii="Times New Roman" w:eastAsia="Times New Roman" w:hAnsi="Times New Roman" w:cs="Times New Roman"/>
                <w:color w:val="000000"/>
                <w:spacing w:val="0"/>
                <w:w w:val="100"/>
                <w:position w:val="0"/>
                <w:sz w:val="16"/>
                <w:szCs w:val="16"/>
              </w:rPr>
              <w:t>86,460,764.74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rPr>
              <w:t>24,455,443.81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rPr>
              <w:t>44,883,325.94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rPr>
              <w:t>-83,929,962.72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rPr>
              <w:t>-83,967,656.61</w:t>
            </w:r>
          </w:p>
        </w:tc>
      </w:tr>
      <w:tr>
        <w:trPr>
          <w:trHeight w:val="1339"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40" w:line="240" w:lineRule="auto"/>
              <w:ind w:left="160" w:right="0" w:firstLine="0"/>
              <w:jc w:val="both"/>
              <w:rPr>
                <w:sz w:val="15"/>
                <w:szCs w:val="15"/>
              </w:rPr>
            </w:pPr>
            <w:r>
              <w:rPr>
                <w:color w:val="000000"/>
                <w:spacing w:val="0"/>
                <w:w w:val="100"/>
                <w:position w:val="0"/>
                <w:sz w:val="15"/>
                <w:szCs w:val="15"/>
              </w:rPr>
              <w:t>北京新媒</w:t>
            </w:r>
          </w:p>
          <w:p>
            <w:pPr>
              <w:pStyle w:val="Style2"/>
              <w:keepNext w:val="0"/>
              <w:keepLines w:val="0"/>
              <w:widowControl w:val="0"/>
              <w:shd w:val="clear" w:color="auto" w:fill="auto"/>
              <w:bidi w:val="0"/>
              <w:spacing w:before="0" w:after="140" w:line="240" w:lineRule="auto"/>
              <w:ind w:left="160" w:right="0" w:firstLine="0"/>
              <w:jc w:val="both"/>
              <w:rPr>
                <w:sz w:val="15"/>
                <w:szCs w:val="15"/>
              </w:rPr>
            </w:pPr>
            <w:r>
              <w:rPr>
                <w:color w:val="000000"/>
                <w:spacing w:val="0"/>
                <w:w w:val="100"/>
                <w:position w:val="0"/>
                <w:sz w:val="15"/>
                <w:szCs w:val="15"/>
              </w:rPr>
              <w:t>传信科技</w:t>
            </w:r>
          </w:p>
          <w:p>
            <w:pPr>
              <w:pStyle w:val="Style2"/>
              <w:keepNext w:val="0"/>
              <w:keepLines w:val="0"/>
              <w:widowControl w:val="0"/>
              <w:shd w:val="clear" w:color="auto" w:fill="auto"/>
              <w:bidi w:val="0"/>
              <w:spacing w:before="0" w:after="140" w:line="240" w:lineRule="auto"/>
              <w:ind w:left="160" w:right="0" w:firstLine="0"/>
              <w:jc w:val="both"/>
              <w:rPr>
                <w:sz w:val="15"/>
                <w:szCs w:val="15"/>
              </w:rPr>
            </w:pPr>
            <w:r>
              <w:rPr>
                <w:color w:val="000000"/>
                <w:spacing w:val="0"/>
                <w:w w:val="100"/>
                <w:position w:val="0"/>
                <w:sz w:val="15"/>
                <w:szCs w:val="15"/>
              </w:rPr>
              <w:t>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left"/>
              <w:rPr>
                <w:sz w:val="15"/>
                <w:szCs w:val="15"/>
              </w:rPr>
            </w:pPr>
            <w:r>
              <w:rPr>
                <w:color w:val="000000"/>
                <w:spacing w:val="0"/>
                <w:w w:val="100"/>
                <w:position w:val="0"/>
                <w:sz w:val="15"/>
                <w:szCs w:val="15"/>
              </w:rPr>
              <w:t>子公</w:t>
            </w:r>
          </w:p>
          <w:p>
            <w:pPr>
              <w:pStyle w:val="Style2"/>
              <w:keepNext w:val="0"/>
              <w:keepLines w:val="0"/>
              <w:widowControl w:val="0"/>
              <w:shd w:val="clear" w:color="auto" w:fill="auto"/>
              <w:bidi w:val="0"/>
              <w:spacing w:before="0" w:after="0" w:line="240" w:lineRule="auto"/>
              <w:ind w:left="0" w:right="0" w:firstLine="200"/>
              <w:jc w:val="left"/>
              <w:rPr>
                <w:sz w:val="15"/>
                <w:szCs w:val="15"/>
              </w:rPr>
            </w:pPr>
            <w:r>
              <w:rPr>
                <w:color w:val="000000"/>
                <w:spacing w:val="0"/>
                <w:w w:val="100"/>
                <w:position w:val="0"/>
                <w:sz w:val="15"/>
                <w:szCs w:val="15"/>
              </w:rPr>
              <w:t>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5" w:lineRule="exact"/>
              <w:ind w:left="160" w:right="0" w:firstLine="0"/>
              <w:jc w:val="both"/>
              <w:rPr>
                <w:sz w:val="15"/>
                <w:szCs w:val="15"/>
              </w:rPr>
            </w:pPr>
            <w:r>
              <w:rPr>
                <w:color w:val="000000"/>
                <w:spacing w:val="0"/>
                <w:w w:val="100"/>
                <w:position w:val="0"/>
                <w:sz w:val="15"/>
                <w:szCs w:val="15"/>
              </w:rPr>
              <w:t>互联 网开 发及 运营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6"/>
                <w:szCs w:val="16"/>
              </w:rPr>
            </w:pPr>
            <w:r>
              <w:rPr>
                <w:rFonts w:ascii="Times New Roman" w:eastAsia="Times New Roman" w:hAnsi="Times New Roman" w:cs="Times New Roman"/>
                <w:color w:val="000000"/>
                <w:spacing w:val="0"/>
                <w:w w:val="100"/>
                <w:position w:val="0"/>
                <w:sz w:val="16"/>
                <w:szCs w:val="16"/>
              </w:rPr>
              <w:t>50,000,000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rPr>
                <w:sz w:val="16"/>
                <w:szCs w:val="16"/>
              </w:rPr>
            </w:pPr>
            <w:r>
              <w:rPr>
                <w:rFonts w:ascii="Times New Roman" w:eastAsia="Times New Roman" w:hAnsi="Times New Roman" w:cs="Times New Roman"/>
                <w:color w:val="000000"/>
                <w:spacing w:val="0"/>
                <w:w w:val="100"/>
                <w:position w:val="0"/>
                <w:sz w:val="16"/>
                <w:szCs w:val="16"/>
              </w:rPr>
              <w:t>698,726,591.67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rPr>
              <w:t>643,216,395.69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rPr>
              <w:t>121,707,191.71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both"/>
              <w:rPr>
                <w:sz w:val="16"/>
                <w:szCs w:val="16"/>
              </w:rPr>
            </w:pPr>
            <w:r>
              <w:rPr>
                <w:rFonts w:ascii="Times New Roman" w:eastAsia="Times New Roman" w:hAnsi="Times New Roman" w:cs="Times New Roman"/>
                <w:color w:val="000000"/>
                <w:spacing w:val="0"/>
                <w:w w:val="100"/>
                <w:position w:val="0"/>
                <w:sz w:val="16"/>
                <w:szCs w:val="16"/>
              </w:rPr>
              <w:t>6,273,367.27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rPr>
              <w:t>6,325,064.39</w:t>
            </w:r>
          </w:p>
        </w:tc>
      </w:tr>
      <w:tr>
        <w:trPr>
          <w:trHeight w:val="1651"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40" w:line="240" w:lineRule="auto"/>
              <w:ind w:left="160" w:right="0" w:firstLine="0"/>
              <w:jc w:val="both"/>
              <w:rPr>
                <w:sz w:val="15"/>
                <w:szCs w:val="15"/>
              </w:rPr>
            </w:pPr>
            <w:r>
              <w:rPr>
                <w:color w:val="000000"/>
                <w:spacing w:val="0"/>
                <w:w w:val="100"/>
                <w:position w:val="0"/>
                <w:sz w:val="15"/>
                <w:szCs w:val="15"/>
              </w:rPr>
              <w:t>天津壳木</w:t>
            </w:r>
          </w:p>
          <w:p>
            <w:pPr>
              <w:pStyle w:val="Style2"/>
              <w:keepNext w:val="0"/>
              <w:keepLines w:val="0"/>
              <w:widowControl w:val="0"/>
              <w:shd w:val="clear" w:color="auto" w:fill="auto"/>
              <w:bidi w:val="0"/>
              <w:spacing w:before="0" w:after="140" w:line="240" w:lineRule="auto"/>
              <w:ind w:left="160" w:right="0" w:firstLine="0"/>
              <w:jc w:val="both"/>
              <w:rPr>
                <w:sz w:val="15"/>
                <w:szCs w:val="15"/>
              </w:rPr>
            </w:pPr>
            <w:r>
              <w:rPr>
                <w:color w:val="000000"/>
                <w:spacing w:val="0"/>
                <w:w w:val="100"/>
                <w:position w:val="0"/>
                <w:sz w:val="15"/>
                <w:szCs w:val="15"/>
              </w:rPr>
              <w:t>软件有限</w:t>
            </w:r>
          </w:p>
          <w:p>
            <w:pPr>
              <w:pStyle w:val="Style2"/>
              <w:keepNext w:val="0"/>
              <w:keepLines w:val="0"/>
              <w:widowControl w:val="0"/>
              <w:shd w:val="clear" w:color="auto" w:fill="auto"/>
              <w:bidi w:val="0"/>
              <w:spacing w:before="0" w:after="140" w:line="240" w:lineRule="auto"/>
              <w:ind w:left="160" w:right="0" w:firstLine="0"/>
              <w:jc w:val="both"/>
              <w:rPr>
                <w:sz w:val="15"/>
                <w:szCs w:val="15"/>
              </w:rPr>
            </w:pPr>
            <w:r>
              <w:rPr>
                <w:color w:val="000000"/>
                <w:spacing w:val="0"/>
                <w:w w:val="100"/>
                <w:position w:val="0"/>
                <w:sz w:val="15"/>
                <w:szCs w:val="15"/>
              </w:rPr>
              <w:t>责任公司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40" w:line="240" w:lineRule="auto"/>
              <w:ind w:left="0" w:right="0" w:firstLine="0"/>
              <w:jc w:val="left"/>
              <w:rPr>
                <w:sz w:val="15"/>
                <w:szCs w:val="15"/>
              </w:rPr>
            </w:pPr>
            <w:r>
              <w:rPr>
                <w:color w:val="000000"/>
                <w:spacing w:val="0"/>
                <w:w w:val="100"/>
                <w:position w:val="0"/>
                <w:sz w:val="15"/>
                <w:szCs w:val="15"/>
              </w:rPr>
              <w:t>子公</w:t>
            </w:r>
          </w:p>
          <w:p>
            <w:pPr>
              <w:pStyle w:val="Style2"/>
              <w:keepNext w:val="0"/>
              <w:keepLines w:val="0"/>
              <w:widowControl w:val="0"/>
              <w:shd w:val="clear" w:color="auto" w:fill="auto"/>
              <w:bidi w:val="0"/>
              <w:spacing w:before="0" w:after="0" w:line="240" w:lineRule="auto"/>
              <w:ind w:left="0" w:right="0" w:firstLine="200"/>
              <w:jc w:val="left"/>
              <w:rPr>
                <w:sz w:val="15"/>
                <w:szCs w:val="15"/>
              </w:rPr>
            </w:pPr>
            <w:r>
              <w:rPr>
                <w:color w:val="000000"/>
                <w:spacing w:val="0"/>
                <w:w w:val="100"/>
                <w:position w:val="0"/>
                <w:sz w:val="15"/>
                <w:szCs w:val="15"/>
              </w:rPr>
              <w:t>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8" w:lineRule="exact"/>
              <w:ind w:left="160" w:right="0" w:firstLine="0"/>
              <w:jc w:val="both"/>
              <w:rPr>
                <w:sz w:val="15"/>
                <w:szCs w:val="15"/>
              </w:rPr>
            </w:pPr>
            <w:r>
              <w:rPr>
                <w:color w:val="000000"/>
                <w:spacing w:val="0"/>
                <w:w w:val="100"/>
                <w:position w:val="0"/>
                <w:sz w:val="15"/>
                <w:szCs w:val="15"/>
              </w:rPr>
              <w:t>手机 游戏 的开 发与 运营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both"/>
              <w:rPr>
                <w:sz w:val="16"/>
                <w:szCs w:val="16"/>
              </w:rPr>
            </w:pPr>
            <w:r>
              <w:rPr>
                <w:rFonts w:ascii="Times New Roman" w:eastAsia="Times New Roman" w:hAnsi="Times New Roman" w:cs="Times New Roman"/>
                <w:color w:val="000000"/>
                <w:spacing w:val="0"/>
                <w:w w:val="100"/>
                <w:position w:val="0"/>
                <w:sz w:val="16"/>
                <w:szCs w:val="16"/>
              </w:rPr>
              <w:t>5,000,000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6"/>
                <w:szCs w:val="16"/>
              </w:rPr>
            </w:pPr>
            <w:r>
              <w:rPr>
                <w:rFonts w:ascii="Times New Roman" w:eastAsia="Times New Roman" w:hAnsi="Times New Roman" w:cs="Times New Roman"/>
                <w:color w:val="000000"/>
                <w:spacing w:val="0"/>
                <w:w w:val="100"/>
                <w:position w:val="0"/>
                <w:sz w:val="16"/>
                <w:szCs w:val="16"/>
              </w:rPr>
              <w:t>1,625,644,182.33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rPr>
              <w:t>1,422,759,326.92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rPr>
              <w:t>2,408,306,582.55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rPr>
              <w:t>584,865,355.76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rPr>
              <w:t>497,210,244.30</w:t>
            </w:r>
          </w:p>
        </w:tc>
      </w:tr>
      <w:tr>
        <w:trPr>
          <w:trHeight w:val="2597"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07" w:lineRule="exact"/>
              <w:ind w:left="160" w:right="0" w:firstLine="0"/>
              <w:jc w:val="both"/>
              <w:rPr>
                <w:sz w:val="15"/>
                <w:szCs w:val="15"/>
              </w:rPr>
            </w:pPr>
            <w:r>
              <w:rPr>
                <w:color w:val="000000"/>
                <w:spacing w:val="0"/>
                <w:w w:val="100"/>
                <w:position w:val="0"/>
                <w:sz w:val="15"/>
                <w:szCs w:val="15"/>
              </w:rPr>
              <w:t>宁波普天 通信技术 有限公司</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40" w:line="240" w:lineRule="auto"/>
              <w:ind w:left="0" w:right="0" w:firstLine="0"/>
              <w:jc w:val="left"/>
              <w:rPr>
                <w:sz w:val="15"/>
                <w:szCs w:val="15"/>
              </w:rPr>
            </w:pPr>
            <w:r>
              <w:rPr>
                <w:color w:val="000000"/>
                <w:spacing w:val="0"/>
                <w:w w:val="100"/>
                <w:position w:val="0"/>
                <w:sz w:val="15"/>
                <w:szCs w:val="15"/>
              </w:rPr>
              <w:t>子公</w:t>
            </w:r>
          </w:p>
          <w:p>
            <w:pPr>
              <w:pStyle w:val="Style2"/>
              <w:keepNext w:val="0"/>
              <w:keepLines w:val="0"/>
              <w:widowControl w:val="0"/>
              <w:shd w:val="clear" w:color="auto" w:fill="auto"/>
              <w:bidi w:val="0"/>
              <w:spacing w:before="0" w:after="0" w:line="240" w:lineRule="auto"/>
              <w:ind w:left="0" w:right="0" w:firstLine="200"/>
              <w:jc w:val="left"/>
              <w:rPr>
                <w:sz w:val="15"/>
                <w:szCs w:val="15"/>
              </w:rPr>
            </w:pPr>
            <w:r>
              <w:rPr>
                <w:color w:val="000000"/>
                <w:spacing w:val="0"/>
                <w:w w:val="100"/>
                <w:position w:val="0"/>
                <w:sz w:val="15"/>
                <w:szCs w:val="15"/>
              </w:rPr>
              <w:t>司</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8" w:lineRule="exact"/>
              <w:ind w:left="0" w:right="0" w:firstLine="160"/>
              <w:jc w:val="both"/>
              <w:rPr>
                <w:sz w:val="15"/>
                <w:szCs w:val="15"/>
              </w:rPr>
            </w:pPr>
            <w:r>
              <w:rPr>
                <w:color w:val="000000"/>
                <w:spacing w:val="0"/>
                <w:w w:val="100"/>
                <w:position w:val="0"/>
                <w:sz w:val="15"/>
                <w:szCs w:val="15"/>
              </w:rPr>
              <w:t>通信</w:t>
            </w:r>
          </w:p>
          <w:p>
            <w:pPr>
              <w:pStyle w:val="Style2"/>
              <w:keepNext w:val="0"/>
              <w:keepLines w:val="0"/>
              <w:widowControl w:val="0"/>
              <w:shd w:val="clear" w:color="auto" w:fill="auto"/>
              <w:bidi w:val="0"/>
              <w:spacing w:before="0" w:after="0" w:line="318" w:lineRule="exact"/>
              <w:ind w:left="0" w:right="0" w:firstLine="160"/>
              <w:jc w:val="both"/>
              <w:rPr>
                <w:sz w:val="15"/>
                <w:szCs w:val="15"/>
              </w:rPr>
            </w:pPr>
            <w:r>
              <w:rPr>
                <w:color w:val="000000"/>
                <w:spacing w:val="0"/>
                <w:w w:val="100"/>
                <w:position w:val="0"/>
                <w:sz w:val="15"/>
                <w:szCs w:val="15"/>
              </w:rPr>
              <w:t>技术 开发，</w:t>
            </w:r>
          </w:p>
          <w:p>
            <w:pPr>
              <w:pStyle w:val="Style2"/>
              <w:keepNext w:val="0"/>
              <w:keepLines w:val="0"/>
              <w:widowControl w:val="0"/>
              <w:shd w:val="clear" w:color="auto" w:fill="auto"/>
              <w:bidi w:val="0"/>
              <w:spacing w:before="0" w:after="0" w:line="318" w:lineRule="exact"/>
              <w:ind w:left="0" w:right="0" w:firstLine="160"/>
              <w:jc w:val="both"/>
              <w:rPr>
                <w:sz w:val="15"/>
                <w:szCs w:val="15"/>
              </w:rPr>
            </w:pPr>
            <w:r>
              <w:rPr>
                <w:color w:val="000000"/>
                <w:spacing w:val="0"/>
                <w:w w:val="100"/>
                <w:position w:val="0"/>
                <w:sz w:val="15"/>
                <w:szCs w:val="15"/>
              </w:rPr>
              <w:t>通信</w:t>
            </w:r>
          </w:p>
          <w:p>
            <w:pPr>
              <w:pStyle w:val="Style2"/>
              <w:keepNext w:val="0"/>
              <w:keepLines w:val="0"/>
              <w:widowControl w:val="0"/>
              <w:shd w:val="clear" w:color="auto" w:fill="auto"/>
              <w:bidi w:val="0"/>
              <w:spacing w:before="0" w:after="0" w:line="318" w:lineRule="exact"/>
              <w:ind w:left="0" w:right="0" w:firstLine="160"/>
              <w:jc w:val="both"/>
              <w:rPr>
                <w:sz w:val="15"/>
                <w:szCs w:val="15"/>
              </w:rPr>
            </w:pPr>
            <w:r>
              <w:rPr>
                <w:color w:val="000000"/>
                <w:spacing w:val="0"/>
                <w:w w:val="100"/>
                <w:position w:val="0"/>
                <w:sz w:val="15"/>
                <w:szCs w:val="15"/>
              </w:rPr>
              <w:t>设备 测试、 维修、 服务、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6"/>
                <w:szCs w:val="16"/>
              </w:rPr>
            </w:pPr>
            <w:r>
              <w:rPr>
                <w:rFonts w:ascii="Times New Roman" w:eastAsia="Times New Roman" w:hAnsi="Times New Roman" w:cs="Times New Roman"/>
                <w:color w:val="000000"/>
                <w:spacing w:val="0"/>
                <w:w w:val="100"/>
                <w:position w:val="0"/>
                <w:sz w:val="16"/>
                <w:szCs w:val="16"/>
              </w:rPr>
              <w:t>30,000,000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rPr>
                <w:sz w:val="16"/>
                <w:szCs w:val="16"/>
              </w:rPr>
            </w:pPr>
            <w:r>
              <w:rPr>
                <w:rFonts w:ascii="Times New Roman" w:eastAsia="Times New Roman" w:hAnsi="Times New Roman" w:cs="Times New Roman"/>
                <w:color w:val="000000"/>
                <w:spacing w:val="0"/>
                <w:w w:val="100"/>
                <w:position w:val="0"/>
                <w:sz w:val="16"/>
                <w:szCs w:val="16"/>
              </w:rPr>
              <w:t>275,074,524.50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rPr>
              <w:t>235,538,444.94</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rPr>
              <w:t>104,626,007.16</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rPr>
              <w:t>14,474,321.89</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rPr>
              <w:t>14,031,708.84</w:t>
            </w:r>
          </w:p>
        </w:tc>
      </w:tr>
    </w:tbl>
    <w:p>
      <w:pPr>
        <w:widowControl w:val="0"/>
        <w:spacing w:after="119" w:line="1" w:lineRule="exact"/>
      </w:pPr>
    </w:p>
    <w:p>
      <w:pPr>
        <w:pStyle w:val="Style41"/>
        <w:keepNext w:val="0"/>
        <w:keepLines w:val="0"/>
        <w:widowControl w:val="0"/>
        <w:shd w:val="clear" w:color="auto" w:fill="auto"/>
        <w:bidi w:val="0"/>
        <w:spacing w:before="0" w:after="260" w:line="240" w:lineRule="auto"/>
        <w:ind w:left="0" w:right="0" w:firstLine="0"/>
        <w:jc w:val="left"/>
      </w:pPr>
      <w:r>
        <w:rPr>
          <w:b/>
          <w:bCs/>
          <w:color w:val="000000"/>
          <w:spacing w:val="0"/>
          <w:w w:val="100"/>
          <w:position w:val="0"/>
        </w:rPr>
        <w:t>报告期内取得和处置子公司的情况</w:t>
      </w:r>
    </w:p>
    <w:p>
      <w:pPr>
        <w:pStyle w:val="Style41"/>
        <w:keepNext w:val="0"/>
        <w:keepLines w:val="0"/>
        <w:widowControl w:val="0"/>
        <w:shd w:val="clear" w:color="auto" w:fill="auto"/>
        <w:bidi w:val="0"/>
        <w:spacing w:before="0" w:after="120" w:line="240" w:lineRule="auto"/>
        <w:ind w:left="0" w:right="0" w:firstLine="0"/>
        <w:jc w:val="left"/>
      </w:pPr>
      <w:r>
        <w:rPr>
          <w:b/>
          <w:bCs/>
          <w:color w:val="000000"/>
          <w:spacing w:val="0"/>
          <w:w w:val="100"/>
          <w:position w:val="0"/>
          <w:sz w:val="19"/>
          <w:szCs w:val="19"/>
        </w:rPr>
        <w:t>寸</w:t>
      </w:r>
      <w:r>
        <w:rPr>
          <w:b/>
          <w:bCs/>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tbl>
      <w:tblPr>
        <w:tblOverlap w:val="never"/>
        <w:jc w:val="center"/>
        <w:tblLayout w:type="fixed"/>
      </w:tblPr>
      <w:tblGrid>
        <w:gridCol w:w="3293"/>
        <w:gridCol w:w="3283"/>
        <w:gridCol w:w="3293"/>
      </w:tblGrid>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公司名称</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报告期内取得和处置子公司方式</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对整体生产经营和业绩的影响</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北京神州泰岳智能数据技术有限公司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新股东增资，股权被稀释，导致丧失控 制权</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丧失控制权后，剩余股权按公允价值重 新计量产生利得</w:t>
            </w:r>
            <w:r>
              <w:rPr>
                <w:rFonts w:ascii="Times New Roman" w:eastAsia="Times New Roman" w:hAnsi="Times New Roman" w:cs="Times New Roman"/>
                <w:color w:val="000000"/>
                <w:spacing w:val="0"/>
                <w:w w:val="100"/>
                <w:position w:val="0"/>
                <w:sz w:val="18"/>
                <w:szCs w:val="18"/>
              </w:rPr>
              <w:t>4196.77</w:t>
            </w:r>
            <w:r>
              <w:rPr>
                <w:color w:val="000000"/>
                <w:spacing w:val="0"/>
                <w:w w:val="100"/>
                <w:position w:val="0"/>
              </w:rPr>
              <w:t>万元</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东莞神州泰岳物联网科技有限公司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新设</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培育物联网业务在细分领域方向发展</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海南神州泰岳软件有限公司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新设</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培育</w:t>
            </w:r>
            <w:r>
              <w:rPr>
                <w:rFonts w:ascii="Times New Roman" w:eastAsia="Times New Roman" w:hAnsi="Times New Roman" w:cs="Times New Roman"/>
                <w:color w:val="000000"/>
                <w:spacing w:val="0"/>
                <w:w w:val="100"/>
                <w:position w:val="0"/>
                <w:sz w:val="18"/>
                <w:szCs w:val="18"/>
              </w:rPr>
              <w:t>ICT</w:t>
            </w:r>
            <w:r>
              <w:rPr>
                <w:color w:val="000000"/>
                <w:spacing w:val="0"/>
                <w:w w:val="100"/>
                <w:position w:val="0"/>
              </w:rPr>
              <w:t>业务在细分领域方向发展</w:t>
            </w:r>
          </w:p>
        </w:tc>
      </w:tr>
      <w:tr>
        <w:trPr>
          <w:trHeight w:val="40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海南壳木软件有限责任公司</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新设</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培育游戏业务在细分领域方向发展</w:t>
            </w:r>
          </w:p>
        </w:tc>
      </w:tr>
    </w:tbl>
    <w:p>
      <w:pPr>
        <w:widowControl w:val="0"/>
        <w:spacing w:after="119" w:line="1" w:lineRule="exact"/>
      </w:pPr>
    </w:p>
    <w:p>
      <w:pPr>
        <w:pStyle w:val="Style41"/>
        <w:keepNext w:val="0"/>
        <w:keepLines w:val="0"/>
        <w:widowControl w:val="0"/>
        <w:shd w:val="clear" w:color="auto" w:fill="auto"/>
        <w:bidi w:val="0"/>
        <w:spacing w:before="0" w:after="260" w:line="240" w:lineRule="auto"/>
        <w:ind w:left="0" w:right="0" w:firstLine="0"/>
        <w:jc w:val="left"/>
      </w:pPr>
      <w:r>
        <w:rPr>
          <w:b/>
          <w:bCs/>
          <w:color w:val="000000"/>
          <w:spacing w:val="0"/>
          <w:w w:val="100"/>
          <w:position w:val="0"/>
        </w:rPr>
        <w:t>主要控股参股公司情况说明</w:t>
      </w:r>
    </w:p>
    <w:p>
      <w:pPr>
        <w:pStyle w:val="Style41"/>
        <w:keepNext w:val="0"/>
        <w:keepLines w:val="0"/>
        <w:widowControl w:val="0"/>
        <w:shd w:val="clear" w:color="auto" w:fill="auto"/>
        <w:bidi w:val="0"/>
        <w:spacing w:before="0" w:after="26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、天津壳木软件有限责任公司主要运营的游戏为</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Age of Z Origins</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War and Order</w:t>
      </w:r>
      <w:r>
        <w:rPr>
          <w:color w:val="000000"/>
          <w:spacing w:val="0"/>
          <w:w w:val="100"/>
          <w:position w:val="0"/>
        </w:rPr>
        <w:t>》等，随着新上线游戏的不断增长</w:t>
      </w:r>
    </w:p>
    <w:p>
      <w:pPr>
        <w:pStyle w:val="Style41"/>
        <w:keepNext w:val="0"/>
        <w:keepLines w:val="0"/>
        <w:widowControl w:val="0"/>
        <w:shd w:val="clear" w:color="auto" w:fill="auto"/>
        <w:bidi w:val="0"/>
        <w:spacing w:before="0" w:after="120" w:line="240" w:lineRule="auto"/>
        <w:ind w:left="0" w:right="0" w:firstLine="0"/>
        <w:jc w:val="left"/>
        <w:sectPr>
          <w:headerReference w:type="default" r:id="rId157"/>
          <w:footerReference w:type="default" r:id="rId158"/>
          <w:headerReference w:type="even" r:id="rId159"/>
          <w:footerReference w:type="even" r:id="rId160"/>
          <w:headerReference w:type="first" r:id="rId161"/>
          <w:footerReference w:type="first" r:id="rId162"/>
          <w:footnotePr>
            <w:pos w:val="pageBottom"/>
            <w:numFmt w:val="decimal"/>
            <w:numRestart w:val="continuous"/>
          </w:footnotePr>
          <w:pgSz w:w="11904" w:h="17375"/>
          <w:pgMar w:top="1675" w:right="936" w:bottom="1702" w:left="926" w:header="0" w:footer="3" w:gutter="0"/>
          <w:cols w:space="720"/>
          <w:noEndnote/>
          <w:titlePg/>
          <w:rtlGutter w:val="0"/>
          <w:docGrid w:linePitch="360"/>
        </w:sectPr>
      </w:pPr>
      <w:r>
        <w:rPr>
          <w:color w:val="000000"/>
          <w:spacing w:val="0"/>
          <w:w w:val="100"/>
          <w:position w:val="0"/>
        </w:rPr>
        <w:t>以及原上线游戏的再创新高，该公司的盈利保持增长的趋势。</w:t>
      </w:r>
    </w:p>
    <w:p>
      <w:pPr>
        <w:pStyle w:val="Style212"/>
        <w:keepNext w:val="0"/>
        <w:keepLines w:val="0"/>
        <w:widowControl w:val="0"/>
        <w:shd w:val="clear" w:color="auto" w:fill="auto"/>
        <w:bidi w:val="0"/>
        <w:spacing w:before="0" w:after="0" w:line="240" w:lineRule="auto"/>
        <w:ind w:left="0" w:right="0" w:firstLine="0"/>
        <w:jc w:val="left"/>
      </w:pPr>
      <w:r>
        <w:rPr>
          <w:spacing w:val="0"/>
          <w:w w:val="100"/>
          <w:position w:val="0"/>
        </w:rPr>
        <w:t>Ultrapoiuer</w:t>
      </w:r>
    </w:p>
    <w:p>
      <w:pPr>
        <w:pStyle w:val="Style41"/>
        <w:keepNext w:val="0"/>
        <w:keepLines w:val="0"/>
        <w:widowControl w:val="0"/>
        <w:shd w:val="clear" w:color="auto" w:fill="auto"/>
        <w:bidi w:val="0"/>
        <w:spacing w:before="0" w:after="420" w:line="456" w:lineRule="exact"/>
        <w:ind w:left="0" w:right="0" w:firstLine="82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 xml:space="preserve">年年度报告全文 </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、北京神州泰岳智能数据技术有限公司受到疫情等市场环境与行业变革影响，公司营业收入下滑较大，为了更好的服务客 户，公司战略性调整业务模式，以</w:t>
      </w:r>
      <w:r>
        <w:rPr>
          <w:rFonts w:ascii="Times New Roman" w:eastAsia="Times New Roman" w:hAnsi="Times New Roman" w:cs="Times New Roman"/>
          <w:color w:val="000000"/>
          <w:spacing w:val="0"/>
          <w:w w:val="100"/>
          <w:position w:val="0"/>
          <w:sz w:val="18"/>
          <w:szCs w:val="18"/>
        </w:rPr>
        <w:t>SAAS</w:t>
      </w:r>
      <w:r>
        <w:rPr>
          <w:color w:val="000000"/>
          <w:spacing w:val="0"/>
          <w:w w:val="100"/>
          <w:position w:val="0"/>
        </w:rPr>
        <w:t>联合运营的服务方式向大客户提供业务，公司营业收入目前在逐步恢复。</w:t>
      </w:r>
    </w:p>
    <w:p>
      <w:pPr>
        <w:pStyle w:val="Style39"/>
        <w:keepNext/>
        <w:keepLines/>
        <w:widowControl w:val="0"/>
        <w:shd w:val="clear" w:color="auto" w:fill="auto"/>
        <w:tabs>
          <w:tab w:pos="487" w:val="left"/>
        </w:tabs>
        <w:bidi w:val="0"/>
        <w:spacing w:before="0" w:after="380" w:line="240" w:lineRule="auto"/>
        <w:ind w:left="0" w:right="0" w:firstLine="0"/>
        <w:jc w:val="left"/>
      </w:pPr>
      <w:bookmarkStart w:id="359" w:name="bookmark359"/>
      <w:bookmarkStart w:id="360" w:name="bookmark360"/>
      <w:bookmarkStart w:id="361" w:name="bookmark361"/>
      <w:bookmarkStart w:id="362" w:name="bookmark362"/>
      <w:r>
        <w:rPr>
          <w:color w:val="000000"/>
          <w:spacing w:val="0"/>
          <w:w w:val="100"/>
          <w:position w:val="0"/>
          <w:sz w:val="24"/>
          <w:szCs w:val="24"/>
        </w:rPr>
        <w:t>八</w:t>
      </w:r>
      <w:bookmarkEnd w:id="361"/>
      <w:r>
        <w:rPr>
          <w:color w:val="000000"/>
          <w:spacing w:val="0"/>
          <w:w w:val="100"/>
          <w:position w:val="0"/>
          <w:sz w:val="24"/>
          <w:szCs w:val="24"/>
        </w:rPr>
        <w:t>、</w:t>
        <w:tab/>
        <w:t>公司控制的结构化主体情况</w:t>
      </w:r>
      <w:bookmarkEnd w:id="359"/>
      <w:bookmarkEnd w:id="360"/>
      <w:bookmarkEnd w:id="362"/>
    </w:p>
    <w:p>
      <w:pPr>
        <w:pStyle w:val="Style41"/>
        <w:keepNext w:val="0"/>
        <w:keepLines w:val="0"/>
        <w:widowControl w:val="0"/>
        <w:shd w:val="clear" w:color="auto" w:fill="auto"/>
        <w:bidi w:val="0"/>
        <w:spacing w:before="0" w:after="80" w:line="542"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b/>
          <w:bCs/>
          <w:i/>
          <w:iCs/>
          <w:color w:val="000000"/>
          <w:spacing w:val="0"/>
          <w:w w:val="100"/>
          <w:position w:val="0"/>
        </w:rPr>
        <w:t>*</w:t>
      </w:r>
      <w:r>
        <w:rPr>
          <w:b/>
          <w:bCs/>
          <w:color w:val="000000"/>
          <w:spacing w:val="0"/>
          <w:w w:val="100"/>
          <w:position w:val="0"/>
        </w:rPr>
        <w:t>不适用</w:t>
      </w:r>
    </w:p>
    <w:p>
      <w:pPr>
        <w:pStyle w:val="Style39"/>
        <w:keepNext/>
        <w:keepLines/>
        <w:widowControl w:val="0"/>
        <w:shd w:val="clear" w:color="auto" w:fill="auto"/>
        <w:tabs>
          <w:tab w:pos="487" w:val="left"/>
        </w:tabs>
        <w:bidi w:val="0"/>
        <w:spacing w:before="0" w:after="380" w:line="240" w:lineRule="auto"/>
        <w:ind w:left="0" w:right="0" w:firstLine="0"/>
        <w:jc w:val="left"/>
      </w:pPr>
      <w:bookmarkStart w:id="363" w:name="bookmark363"/>
      <w:bookmarkStart w:id="364" w:name="bookmark364"/>
      <w:bookmarkStart w:id="365" w:name="bookmark365"/>
      <w:bookmarkStart w:id="366" w:name="bookmark366"/>
      <w:r>
        <w:rPr>
          <w:color w:val="000000"/>
          <w:spacing w:val="0"/>
          <w:w w:val="100"/>
          <w:position w:val="0"/>
          <w:sz w:val="24"/>
          <w:szCs w:val="24"/>
        </w:rPr>
        <w:t>九</w:t>
      </w:r>
      <w:bookmarkEnd w:id="365"/>
      <w:r>
        <w:rPr>
          <w:color w:val="000000"/>
          <w:spacing w:val="0"/>
          <w:w w:val="100"/>
          <w:position w:val="0"/>
          <w:sz w:val="24"/>
          <w:szCs w:val="24"/>
        </w:rPr>
        <w:t>、</w:t>
        <w:tab/>
        <w:t>公司未来发展的展望</w:t>
      </w:r>
      <w:bookmarkEnd w:id="363"/>
      <w:bookmarkEnd w:id="364"/>
      <w:bookmarkEnd w:id="366"/>
    </w:p>
    <w:p>
      <w:pPr>
        <w:pStyle w:val="Style41"/>
        <w:keepNext w:val="0"/>
        <w:keepLines w:val="0"/>
        <w:widowControl w:val="0"/>
        <w:numPr>
          <w:ilvl w:val="0"/>
          <w:numId w:val="13"/>
        </w:numPr>
        <w:shd w:val="clear" w:color="auto" w:fill="auto"/>
        <w:bidi w:val="0"/>
        <w:spacing w:before="0" w:after="0" w:line="240" w:lineRule="auto"/>
        <w:ind w:left="0" w:right="0" w:firstLine="500"/>
        <w:jc w:val="left"/>
      </w:pPr>
      <w:bookmarkStart w:id="367" w:name="bookmark367"/>
      <w:bookmarkEnd w:id="367"/>
      <w:r>
        <w:rPr>
          <w:b/>
          <w:bCs/>
          <w:color w:val="000000"/>
          <w:spacing w:val="0"/>
          <w:w w:val="100"/>
          <w:position w:val="0"/>
        </w:rPr>
        <w:t>公司所处行业的发展趋势</w:t>
      </w:r>
    </w:p>
    <w:p>
      <w:pPr>
        <w:pStyle w:val="Style41"/>
        <w:keepNext w:val="0"/>
        <w:keepLines w:val="0"/>
        <w:widowControl w:val="0"/>
        <w:shd w:val="clear" w:color="auto" w:fill="auto"/>
        <w:bidi w:val="0"/>
        <w:spacing w:before="0" w:after="0" w:line="468" w:lineRule="exact"/>
        <w:ind w:left="0" w:right="0"/>
        <w:jc w:val="both"/>
      </w:pPr>
      <w:bookmarkStart w:id="368" w:name="bookmark368"/>
      <w:r>
        <w:rPr>
          <w:rFonts w:ascii="Times New Roman" w:eastAsia="Times New Roman" w:hAnsi="Times New Roman" w:cs="Times New Roman"/>
          <w:b/>
          <w:bCs/>
          <w:color w:val="000000"/>
          <w:spacing w:val="0"/>
          <w:w w:val="100"/>
          <w:position w:val="0"/>
          <w:sz w:val="18"/>
          <w:szCs w:val="18"/>
        </w:rPr>
        <w:t>1</w:t>
      </w:r>
      <w:bookmarkEnd w:id="368"/>
      <w:r>
        <w:rPr>
          <w:b/>
          <w:bCs/>
          <w:color w:val="000000"/>
          <w:spacing w:val="0"/>
          <w:w w:val="100"/>
          <w:position w:val="0"/>
        </w:rPr>
        <w:t>、以物联网、</w:t>
      </w:r>
      <w:r>
        <w:rPr>
          <w:rFonts w:ascii="Times New Roman" w:eastAsia="Times New Roman" w:hAnsi="Times New Roman" w:cs="Times New Roman"/>
          <w:b/>
          <w:bCs/>
          <w:color w:val="000000"/>
          <w:spacing w:val="0"/>
          <w:w w:val="100"/>
          <w:position w:val="0"/>
          <w:sz w:val="18"/>
          <w:szCs w:val="18"/>
        </w:rPr>
        <w:t>5G</w:t>
      </w:r>
      <w:r>
        <w:rPr>
          <w:b/>
          <w:bCs/>
          <w:color w:val="000000"/>
          <w:spacing w:val="0"/>
          <w:w w:val="100"/>
          <w:position w:val="0"/>
        </w:rPr>
        <w:t>及工业互联网为代表的</w:t>
      </w:r>
      <w:r>
        <w:rPr>
          <w:rFonts w:ascii="Times New Roman" w:eastAsia="Times New Roman" w:hAnsi="Times New Roman" w:cs="Times New Roman"/>
          <w:b/>
          <w:bCs/>
          <w:color w:val="000000"/>
          <w:spacing w:val="0"/>
          <w:w w:val="100"/>
          <w:position w:val="0"/>
          <w:sz w:val="18"/>
          <w:szCs w:val="18"/>
        </w:rPr>
        <w:t>“</w:t>
      </w:r>
      <w:r>
        <w:rPr>
          <w:b/>
          <w:bCs/>
          <w:color w:val="000000"/>
          <w:spacing w:val="0"/>
          <w:w w:val="100"/>
          <w:position w:val="0"/>
        </w:rPr>
        <w:t>新基建</w:t>
      </w:r>
      <w:r>
        <w:rPr>
          <w:rFonts w:ascii="Times New Roman" w:eastAsia="Times New Roman" w:hAnsi="Times New Roman" w:cs="Times New Roman"/>
          <w:b/>
          <w:bCs/>
          <w:color w:val="000000"/>
          <w:spacing w:val="0"/>
          <w:w w:val="100"/>
          <w:position w:val="0"/>
          <w:sz w:val="18"/>
          <w:szCs w:val="18"/>
        </w:rPr>
        <w:t>”</w:t>
      </w:r>
      <w:r>
        <w:rPr>
          <w:b/>
          <w:bCs/>
          <w:color w:val="000000"/>
          <w:spacing w:val="0"/>
          <w:w w:val="100"/>
          <w:position w:val="0"/>
        </w:rPr>
        <w:t>迎来快速发展机遇</w:t>
      </w:r>
    </w:p>
    <w:p>
      <w:pPr>
        <w:pStyle w:val="Style41"/>
        <w:keepNext w:val="0"/>
        <w:keepLines w:val="0"/>
        <w:widowControl w:val="0"/>
        <w:shd w:val="clear" w:color="auto" w:fill="auto"/>
        <w:bidi w:val="0"/>
        <w:spacing w:before="0" w:after="0" w:line="468" w:lineRule="exact"/>
        <w:ind w:left="0" w:right="0"/>
        <w:jc w:val="both"/>
      </w:pPr>
      <w:r>
        <w:rPr>
          <w:color w:val="000000"/>
          <w:spacing w:val="0"/>
          <w:w w:val="100"/>
          <w:position w:val="0"/>
        </w:rPr>
        <w:t>通信行业是社会经济活动的基础性服务行业，而</w:t>
      </w:r>
      <w:r>
        <w:rPr>
          <w:rFonts w:ascii="Times New Roman" w:eastAsia="Times New Roman" w:hAnsi="Times New Roman" w:cs="Times New Roman"/>
          <w:color w:val="000000"/>
          <w:spacing w:val="0"/>
          <w:w w:val="100"/>
          <w:position w:val="0"/>
          <w:sz w:val="18"/>
          <w:szCs w:val="18"/>
        </w:rPr>
        <w:t>5G</w:t>
      </w:r>
      <w:r>
        <w:rPr>
          <w:color w:val="000000"/>
          <w:spacing w:val="0"/>
          <w:w w:val="100"/>
          <w:position w:val="0"/>
        </w:rPr>
        <w:t>技术作为推动近年来我国通信领域技术变革的核心力量，其技术研 发和商用部署一直受到国家各部门的高度重视。</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月，中共中央政治局常务委员会召开会议提出，要加快</w:t>
      </w:r>
      <w:r>
        <w:rPr>
          <w:rFonts w:ascii="Times New Roman" w:eastAsia="Times New Roman" w:hAnsi="Times New Roman" w:cs="Times New Roman"/>
          <w:color w:val="000000"/>
          <w:spacing w:val="0"/>
          <w:w w:val="100"/>
          <w:position w:val="0"/>
          <w:sz w:val="18"/>
          <w:szCs w:val="18"/>
        </w:rPr>
        <w:t>5G</w:t>
      </w:r>
      <w:r>
        <w:rPr>
          <w:color w:val="000000"/>
          <w:spacing w:val="0"/>
          <w:w w:val="100"/>
          <w:position w:val="0"/>
        </w:rPr>
        <w:t>网络、 数据中心等新型基础设施建设进度。在</w:t>
      </w:r>
      <w:r>
        <w:rPr>
          <w:rFonts w:ascii="Times New Roman" w:eastAsia="Times New Roman" w:hAnsi="Times New Roman" w:cs="Times New Roman"/>
          <w:color w:val="000000"/>
          <w:spacing w:val="0"/>
          <w:w w:val="100"/>
          <w:position w:val="0"/>
          <w:sz w:val="18"/>
          <w:szCs w:val="18"/>
        </w:rPr>
        <w:t>4</w:t>
      </w:r>
      <w:r>
        <w:rPr>
          <w:color w:val="000000"/>
          <w:spacing w:val="0"/>
          <w:w w:val="100"/>
          <w:position w:val="0"/>
        </w:rPr>
        <w:t>月的《工业和信息化部关于推动</w:t>
      </w:r>
      <w:r>
        <w:rPr>
          <w:rFonts w:ascii="Times New Roman" w:eastAsia="Times New Roman" w:hAnsi="Times New Roman" w:cs="Times New Roman"/>
          <w:color w:val="000000"/>
          <w:spacing w:val="0"/>
          <w:w w:val="100"/>
          <w:position w:val="0"/>
          <w:sz w:val="18"/>
          <w:szCs w:val="18"/>
        </w:rPr>
        <w:t>5G</w:t>
      </w:r>
      <w:r>
        <w:rPr>
          <w:color w:val="000000"/>
          <w:spacing w:val="0"/>
          <w:w w:val="100"/>
          <w:position w:val="0"/>
        </w:rPr>
        <w:t xml:space="preserve">加快发展的通知》中提到，支持基础电信企业 </w:t>
      </w:r>
      <w:r>
        <w:rPr>
          <w:rFonts w:ascii="Times New Roman" w:eastAsia="Times New Roman" w:hAnsi="Times New Roman" w:cs="Times New Roman"/>
          <w:color w:val="000000"/>
          <w:spacing w:val="0"/>
          <w:w w:val="100"/>
          <w:position w:val="0"/>
          <w:sz w:val="18"/>
          <w:szCs w:val="18"/>
        </w:rPr>
        <w:t>5G</w:t>
      </w:r>
      <w:r>
        <w:rPr>
          <w:color w:val="000000"/>
          <w:spacing w:val="0"/>
          <w:w w:val="100"/>
          <w:position w:val="0"/>
        </w:rPr>
        <w:t>独立组网建设，加强</w:t>
      </w:r>
      <w:r>
        <w:rPr>
          <w:rFonts w:ascii="Times New Roman" w:eastAsia="Times New Roman" w:hAnsi="Times New Roman" w:cs="Times New Roman"/>
          <w:color w:val="000000"/>
          <w:spacing w:val="0"/>
          <w:w w:val="100"/>
          <w:position w:val="0"/>
          <w:sz w:val="18"/>
          <w:szCs w:val="18"/>
        </w:rPr>
        <w:t>5G</w:t>
      </w:r>
      <w:r>
        <w:rPr>
          <w:color w:val="000000"/>
          <w:spacing w:val="0"/>
          <w:w w:val="100"/>
          <w:position w:val="0"/>
        </w:rPr>
        <w:t>技术和标准研发，提升</w:t>
      </w:r>
      <w:r>
        <w:rPr>
          <w:rFonts w:ascii="Times New Roman" w:eastAsia="Times New Roman" w:hAnsi="Times New Roman" w:cs="Times New Roman"/>
          <w:color w:val="000000"/>
          <w:spacing w:val="0"/>
          <w:w w:val="100"/>
          <w:position w:val="0"/>
          <w:sz w:val="18"/>
          <w:szCs w:val="18"/>
        </w:rPr>
        <w:t>5G</w:t>
      </w:r>
      <w:r>
        <w:rPr>
          <w:color w:val="000000"/>
          <w:spacing w:val="0"/>
          <w:w w:val="100"/>
          <w:position w:val="0"/>
        </w:rPr>
        <w:t>技术创新支撑能力。</w:t>
      </w:r>
      <w:r>
        <w:rPr>
          <w:rFonts w:ascii="Times New Roman" w:eastAsia="Times New Roman" w:hAnsi="Times New Roman" w:cs="Times New Roman"/>
          <w:color w:val="000000"/>
          <w:spacing w:val="0"/>
          <w:w w:val="100"/>
          <w:position w:val="0"/>
          <w:sz w:val="18"/>
          <w:szCs w:val="18"/>
        </w:rPr>
        <w:t>5G</w:t>
      </w:r>
      <w:r>
        <w:rPr>
          <w:color w:val="000000"/>
          <w:spacing w:val="0"/>
          <w:w w:val="100"/>
          <w:position w:val="0"/>
        </w:rPr>
        <w:t>建设作为</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新基建</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最重要的任务，对我国信 息通信行业的创新发展具有战略性意义，未来也将有着巨大的发展空间。</w:t>
      </w:r>
    </w:p>
    <w:p>
      <w:pPr>
        <w:pStyle w:val="Style222"/>
        <w:keepNext w:val="0"/>
        <w:keepLines w:val="0"/>
        <w:widowControl w:val="0"/>
        <w:shd w:val="clear" w:color="auto" w:fill="auto"/>
        <w:bidi w:val="0"/>
        <w:spacing w:before="0" w:after="0"/>
        <w:ind w:left="0" w:right="0"/>
        <w:jc w:val="both"/>
        <w:rPr>
          <w:sz w:val="17"/>
          <w:szCs w:val="17"/>
        </w:rPr>
      </w:pPr>
      <w:r>
        <w:rPr>
          <w:rFonts w:ascii="SimSun" w:eastAsia="SimSun" w:hAnsi="SimSun" w:cs="SimSun"/>
          <w:color w:val="000000"/>
          <w:spacing w:val="0"/>
          <w:w w:val="100"/>
          <w:position w:val="0"/>
          <w:sz w:val="17"/>
          <w:szCs w:val="17"/>
        </w:rPr>
        <w:t>根据</w:t>
      </w:r>
      <w:r>
        <w:rPr>
          <w:rFonts w:ascii="SimSun" w:eastAsia="SimSun" w:hAnsi="SimSun" w:cs="SimSun"/>
          <w:color w:val="000000"/>
          <w:spacing w:val="0"/>
          <w:w w:val="100"/>
          <w:position w:val="0"/>
          <w:sz w:val="17"/>
          <w:szCs w:val="17"/>
        </w:rPr>
        <w:t>《</w:t>
      </w:r>
      <w:r>
        <w:rPr>
          <w:color w:val="000000"/>
          <w:spacing w:val="0"/>
          <w:w w:val="100"/>
          <w:position w:val="0"/>
          <w:sz w:val="18"/>
          <w:szCs w:val="18"/>
        </w:rPr>
        <w:t>Global 5G (Systems Integration and Services) Market Growth (Status and Outlook) 2020-2025</w:t>
      </w:r>
      <w:r>
        <w:rPr>
          <w:rFonts w:ascii="SimSun" w:eastAsia="SimSun" w:hAnsi="SimSun" w:cs="SimSun"/>
          <w:color w:val="000000"/>
          <w:spacing w:val="0"/>
          <w:w w:val="100"/>
          <w:position w:val="0"/>
          <w:sz w:val="17"/>
          <w:szCs w:val="17"/>
        </w:rPr>
        <w:t>》</w:t>
      </w:r>
      <w:r>
        <w:rPr>
          <w:rFonts w:ascii="SimSun" w:eastAsia="SimSun" w:hAnsi="SimSun" w:cs="SimSun"/>
          <w:color w:val="000000"/>
          <w:spacing w:val="0"/>
          <w:w w:val="100"/>
          <w:position w:val="0"/>
          <w:sz w:val="17"/>
          <w:szCs w:val="17"/>
        </w:rPr>
        <w:t xml:space="preserve">数据，预计到 </w:t>
      </w:r>
      <w:r>
        <w:rPr>
          <w:color w:val="000000"/>
          <w:spacing w:val="0"/>
          <w:w w:val="100"/>
          <w:position w:val="0"/>
          <w:sz w:val="18"/>
          <w:szCs w:val="18"/>
        </w:rPr>
        <w:t xml:space="preserve">2025 </w:t>
      </w:r>
      <w:r>
        <w:rPr>
          <w:rFonts w:ascii="SimSun" w:eastAsia="SimSun" w:hAnsi="SimSun" w:cs="SimSun"/>
          <w:color w:val="000000"/>
          <w:spacing w:val="0"/>
          <w:w w:val="100"/>
          <w:position w:val="0"/>
          <w:sz w:val="17"/>
          <w:szCs w:val="17"/>
        </w:rPr>
        <w:t>年， 全球</w:t>
      </w:r>
      <w:r>
        <w:rPr>
          <w:color w:val="000000"/>
          <w:spacing w:val="0"/>
          <w:w w:val="100"/>
          <w:position w:val="0"/>
          <w:sz w:val="18"/>
          <w:szCs w:val="18"/>
        </w:rPr>
        <w:t>5G</w:t>
      </w:r>
      <w:r>
        <w:rPr>
          <w:rFonts w:ascii="SimSun" w:eastAsia="SimSun" w:hAnsi="SimSun" w:cs="SimSun"/>
          <w:color w:val="000000"/>
          <w:spacing w:val="0"/>
          <w:w w:val="100"/>
          <w:position w:val="0"/>
          <w:sz w:val="17"/>
          <w:szCs w:val="17"/>
        </w:rPr>
        <w:t>市场规模将达到</w:t>
      </w:r>
      <w:r>
        <w:rPr>
          <w:color w:val="000000"/>
          <w:spacing w:val="0"/>
          <w:w w:val="100"/>
          <w:position w:val="0"/>
          <w:sz w:val="18"/>
          <w:szCs w:val="18"/>
        </w:rPr>
        <w:t>2.3</w:t>
      </w:r>
      <w:r>
        <w:rPr>
          <w:rFonts w:ascii="SimSun" w:eastAsia="SimSun" w:hAnsi="SimSun" w:cs="SimSun"/>
          <w:color w:val="000000"/>
          <w:spacing w:val="0"/>
          <w:w w:val="100"/>
          <w:position w:val="0"/>
          <w:sz w:val="17"/>
          <w:szCs w:val="17"/>
        </w:rPr>
        <w:t>万亿美元，我国和美国处于全球</w:t>
      </w:r>
      <w:r>
        <w:rPr>
          <w:color w:val="000000"/>
          <w:spacing w:val="0"/>
          <w:w w:val="100"/>
          <w:position w:val="0"/>
          <w:sz w:val="18"/>
          <w:szCs w:val="18"/>
        </w:rPr>
        <w:t>5G</w:t>
      </w:r>
      <w:r>
        <w:rPr>
          <w:rFonts w:ascii="SimSun" w:eastAsia="SimSun" w:hAnsi="SimSun" w:cs="SimSun"/>
          <w:color w:val="000000"/>
          <w:spacing w:val="0"/>
          <w:w w:val="100"/>
          <w:position w:val="0"/>
          <w:sz w:val="17"/>
          <w:szCs w:val="17"/>
        </w:rPr>
        <w:t>竞备第一梯队，未来全球</w:t>
      </w:r>
      <w:r>
        <w:rPr>
          <w:color w:val="000000"/>
          <w:spacing w:val="0"/>
          <w:w w:val="100"/>
          <w:position w:val="0"/>
          <w:sz w:val="18"/>
          <w:szCs w:val="18"/>
        </w:rPr>
        <w:t>5G</w:t>
      </w:r>
      <w:r>
        <w:rPr>
          <w:rFonts w:ascii="SimSun" w:eastAsia="SimSun" w:hAnsi="SimSun" w:cs="SimSun"/>
          <w:color w:val="000000"/>
          <w:spacing w:val="0"/>
          <w:w w:val="100"/>
          <w:position w:val="0"/>
          <w:sz w:val="17"/>
          <w:szCs w:val="17"/>
        </w:rPr>
        <w:t>产业竞争将进一步加剧。在我 国，</w:t>
      </w:r>
      <w:r>
        <w:rPr>
          <w:color w:val="000000"/>
          <w:spacing w:val="0"/>
          <w:w w:val="100"/>
          <w:position w:val="0"/>
          <w:sz w:val="18"/>
          <w:szCs w:val="18"/>
        </w:rPr>
        <w:t>5G</w:t>
      </w:r>
      <w:r>
        <w:rPr>
          <w:rFonts w:ascii="SimSun" w:eastAsia="SimSun" w:hAnsi="SimSun" w:cs="SimSun"/>
          <w:color w:val="000000"/>
          <w:spacing w:val="0"/>
          <w:w w:val="100"/>
          <w:position w:val="0"/>
          <w:sz w:val="17"/>
          <w:szCs w:val="17"/>
        </w:rPr>
        <w:t>技术的发展将带动众多相关产业同步发生变革。</w:t>
      </w:r>
      <w:r>
        <w:rPr>
          <w:color w:val="000000"/>
          <w:spacing w:val="0"/>
          <w:w w:val="100"/>
          <w:position w:val="0"/>
          <w:sz w:val="18"/>
          <w:szCs w:val="18"/>
        </w:rPr>
        <w:t>5G</w:t>
      </w:r>
      <w:r>
        <w:rPr>
          <w:rFonts w:ascii="SimSun" w:eastAsia="SimSun" w:hAnsi="SimSun" w:cs="SimSun"/>
          <w:color w:val="000000"/>
          <w:spacing w:val="0"/>
          <w:w w:val="100"/>
          <w:position w:val="0"/>
          <w:sz w:val="17"/>
          <w:szCs w:val="17"/>
        </w:rPr>
        <w:t>产业的发展将对</w:t>
      </w:r>
      <w:r>
        <w:rPr>
          <w:color w:val="000000"/>
          <w:spacing w:val="0"/>
          <w:w w:val="100"/>
          <w:position w:val="0"/>
          <w:sz w:val="18"/>
          <w:szCs w:val="18"/>
        </w:rPr>
        <w:t>GDP</w:t>
      </w:r>
      <w:r>
        <w:rPr>
          <w:rFonts w:ascii="SimSun" w:eastAsia="SimSun" w:hAnsi="SimSun" w:cs="SimSun"/>
          <w:color w:val="000000"/>
          <w:spacing w:val="0"/>
          <w:w w:val="100"/>
          <w:position w:val="0"/>
          <w:sz w:val="17"/>
          <w:szCs w:val="17"/>
        </w:rPr>
        <w:t>的增长产生显著的带动作用。</w:t>
      </w:r>
    </w:p>
    <w:p>
      <w:pPr>
        <w:pStyle w:val="Style41"/>
        <w:keepNext w:val="0"/>
        <w:keepLines w:val="0"/>
        <w:widowControl w:val="0"/>
        <w:shd w:val="clear" w:color="auto" w:fill="auto"/>
        <w:bidi w:val="0"/>
        <w:spacing w:before="0" w:after="0" w:line="468" w:lineRule="exact"/>
        <w:ind w:left="0" w:right="0"/>
        <w:jc w:val="both"/>
      </w:pPr>
      <w:r>
        <w:rPr>
          <w:color w:val="000000"/>
          <w:spacing w:val="0"/>
          <w:w w:val="100"/>
          <w:position w:val="0"/>
        </w:rPr>
        <w:t>广阔的市场前景和行业技术的快速发展也要求公司必须提升自身的技术水平来适应运营商新的业务需求。公司长期以来 与运营商客户保持稳定合作，持续跟进研究</w:t>
      </w:r>
      <w:r>
        <w:rPr>
          <w:rFonts w:ascii="Times New Roman" w:eastAsia="Times New Roman" w:hAnsi="Times New Roman" w:cs="Times New Roman"/>
          <w:color w:val="000000"/>
          <w:spacing w:val="0"/>
          <w:w w:val="100"/>
          <w:position w:val="0"/>
          <w:sz w:val="18"/>
          <w:szCs w:val="18"/>
        </w:rPr>
        <w:t>5G</w:t>
      </w:r>
      <w:r>
        <w:rPr>
          <w:color w:val="000000"/>
          <w:spacing w:val="0"/>
          <w:w w:val="100"/>
          <w:position w:val="0"/>
        </w:rPr>
        <w:t>相关技术及管理方式，在云化、大数据、物联网、协议解析等方案都进行了 相应的部署准备，同时也积极跟进和参与运营商关于</w:t>
      </w:r>
      <w:r>
        <w:rPr>
          <w:rFonts w:ascii="Times New Roman" w:eastAsia="Times New Roman" w:hAnsi="Times New Roman" w:cs="Times New Roman"/>
          <w:color w:val="000000"/>
          <w:spacing w:val="0"/>
          <w:w w:val="100"/>
          <w:position w:val="0"/>
          <w:sz w:val="18"/>
          <w:szCs w:val="18"/>
        </w:rPr>
        <w:t>5G</w:t>
      </w:r>
      <w:r>
        <w:rPr>
          <w:color w:val="000000"/>
          <w:spacing w:val="0"/>
          <w:w w:val="100"/>
          <w:position w:val="0"/>
        </w:rPr>
        <w:t>后台相应的运维标准和管理规范制定。</w:t>
      </w:r>
    </w:p>
    <w:p>
      <w:pPr>
        <w:pStyle w:val="Style41"/>
        <w:keepNext w:val="0"/>
        <w:keepLines w:val="0"/>
        <w:widowControl w:val="0"/>
        <w:shd w:val="clear" w:color="auto" w:fill="auto"/>
        <w:bidi w:val="0"/>
        <w:spacing w:before="0" w:after="0" w:line="468" w:lineRule="exact"/>
        <w:ind w:left="0" w:right="0"/>
        <w:jc w:val="both"/>
      </w:pPr>
      <w:r>
        <w:rPr>
          <w:color w:val="000000"/>
          <w:spacing w:val="0"/>
          <w:w w:val="100"/>
          <w:position w:val="0"/>
        </w:rPr>
        <w:t>此外，目前</w:t>
      </w:r>
      <w:r>
        <w:rPr>
          <w:rFonts w:ascii="Times New Roman" w:eastAsia="Times New Roman" w:hAnsi="Times New Roman" w:cs="Times New Roman"/>
          <w:color w:val="000000"/>
          <w:spacing w:val="0"/>
          <w:w w:val="100"/>
          <w:position w:val="0"/>
          <w:sz w:val="18"/>
          <w:szCs w:val="18"/>
        </w:rPr>
        <w:t>5G</w:t>
      </w:r>
      <w:r>
        <w:rPr>
          <w:color w:val="000000"/>
          <w:spacing w:val="0"/>
          <w:w w:val="100"/>
          <w:position w:val="0"/>
        </w:rPr>
        <w:t>正处于技术标准形成和产业化培育的关键时期，全球各国在国家数字化战略中均把</w:t>
      </w:r>
      <w:r>
        <w:rPr>
          <w:rFonts w:ascii="Times New Roman" w:eastAsia="Times New Roman" w:hAnsi="Times New Roman" w:cs="Times New Roman"/>
          <w:color w:val="000000"/>
          <w:spacing w:val="0"/>
          <w:w w:val="100"/>
          <w:position w:val="0"/>
          <w:sz w:val="18"/>
          <w:szCs w:val="18"/>
        </w:rPr>
        <w:t>5G</w:t>
      </w:r>
      <w:r>
        <w:rPr>
          <w:color w:val="000000"/>
          <w:spacing w:val="0"/>
          <w:w w:val="100"/>
          <w:position w:val="0"/>
        </w:rPr>
        <w:t>作为优先发展领 域。作为通用目的技术，</w:t>
      </w:r>
      <w:r>
        <w:rPr>
          <w:rFonts w:ascii="Times New Roman" w:eastAsia="Times New Roman" w:hAnsi="Times New Roman" w:cs="Times New Roman"/>
          <w:color w:val="000000"/>
          <w:spacing w:val="0"/>
          <w:w w:val="100"/>
          <w:position w:val="0"/>
          <w:sz w:val="18"/>
          <w:szCs w:val="18"/>
        </w:rPr>
        <w:t>5G</w:t>
      </w:r>
      <w:r>
        <w:rPr>
          <w:color w:val="000000"/>
          <w:spacing w:val="0"/>
          <w:w w:val="100"/>
          <w:position w:val="0"/>
        </w:rPr>
        <w:t>将全面构筑经济社会数字化转型的关键基础设施，从线上到线下、从消费到生产，从平台到生 态，推动我国数字经济发展迈上新台阶。而</w:t>
      </w:r>
      <w:r>
        <w:rPr>
          <w:rFonts w:ascii="Times New Roman" w:eastAsia="Times New Roman" w:hAnsi="Times New Roman" w:cs="Times New Roman"/>
          <w:color w:val="000000"/>
          <w:spacing w:val="0"/>
          <w:w w:val="100"/>
          <w:position w:val="0"/>
          <w:sz w:val="18"/>
          <w:szCs w:val="18"/>
        </w:rPr>
        <w:t>5G</w:t>
      </w:r>
      <w:r>
        <w:rPr>
          <w:color w:val="000000"/>
          <w:spacing w:val="0"/>
          <w:w w:val="100"/>
          <w:position w:val="0"/>
        </w:rPr>
        <w:t>的加速商用也为各行业创新转型提供了较好的发展途径，为我国经济发展带 来巨大机遇。</w:t>
      </w:r>
    </w:p>
    <w:p>
      <w:pPr>
        <w:pStyle w:val="Style41"/>
        <w:keepNext w:val="0"/>
        <w:keepLines w:val="0"/>
        <w:widowControl w:val="0"/>
        <w:shd w:val="clear" w:color="auto" w:fill="auto"/>
        <w:bidi w:val="0"/>
        <w:spacing w:before="0" w:after="0" w:line="468" w:lineRule="exact"/>
        <w:ind w:left="0" w:right="0"/>
        <w:jc w:val="both"/>
      </w:pPr>
      <w:r>
        <w:rPr>
          <w:color w:val="000000"/>
          <w:spacing w:val="0"/>
          <w:w w:val="100"/>
          <w:position w:val="0"/>
        </w:rPr>
        <w:t>近年来，我国工业互联网发展态势良好，工业互联网是未来我国经济发展的新动能，而</w:t>
      </w:r>
      <w:r>
        <w:rPr>
          <w:rFonts w:ascii="Times New Roman" w:eastAsia="Times New Roman" w:hAnsi="Times New Roman" w:cs="Times New Roman"/>
          <w:color w:val="000000"/>
          <w:spacing w:val="0"/>
          <w:w w:val="100"/>
          <w:position w:val="0"/>
          <w:sz w:val="18"/>
          <w:szCs w:val="18"/>
        </w:rPr>
        <w:t>“5G+</w:t>
      </w:r>
      <w:r>
        <w:rPr>
          <w:color w:val="000000"/>
          <w:spacing w:val="0"/>
          <w:w w:val="100"/>
          <w:position w:val="0"/>
        </w:rPr>
        <w:t>工业互联网</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的融合创新则 是工业互联网产业发展的必然趋势。</w:t>
      </w:r>
      <w:r>
        <w:rPr>
          <w:rFonts w:ascii="Times New Roman" w:eastAsia="Times New Roman" w:hAnsi="Times New Roman" w:cs="Times New Roman"/>
          <w:color w:val="000000"/>
          <w:spacing w:val="0"/>
          <w:w w:val="100"/>
          <w:position w:val="0"/>
          <w:sz w:val="18"/>
          <w:szCs w:val="18"/>
        </w:rPr>
        <w:t>5G</w:t>
      </w:r>
      <w:r>
        <w:rPr>
          <w:color w:val="000000"/>
          <w:spacing w:val="0"/>
          <w:w w:val="100"/>
          <w:position w:val="0"/>
        </w:rPr>
        <w:t>所具备的高带宽、低时延、海量连接等特性与工业互联网的需求高度契合，</w:t>
      </w:r>
      <w:r>
        <w:rPr>
          <w:rFonts w:ascii="Times New Roman" w:eastAsia="Times New Roman" w:hAnsi="Times New Roman" w:cs="Times New Roman"/>
          <w:color w:val="000000"/>
          <w:spacing w:val="0"/>
          <w:w w:val="100"/>
          <w:position w:val="0"/>
          <w:sz w:val="18"/>
          <w:szCs w:val="18"/>
        </w:rPr>
        <w:t>5G</w:t>
      </w:r>
      <w:r>
        <w:rPr>
          <w:color w:val="000000"/>
          <w:spacing w:val="0"/>
          <w:w w:val="100"/>
          <w:position w:val="0"/>
        </w:rPr>
        <w:t>技术 能够极大推动工业互联网的高级场景应用，是驱动工业互联网高质量发展的关键动力之一。随着人工智能、</w:t>
      </w:r>
      <w:r>
        <w:rPr>
          <w:rFonts w:ascii="Times New Roman" w:eastAsia="Times New Roman" w:hAnsi="Times New Roman" w:cs="Times New Roman"/>
          <w:color w:val="000000"/>
          <w:spacing w:val="0"/>
          <w:w w:val="100"/>
          <w:position w:val="0"/>
          <w:sz w:val="18"/>
          <w:szCs w:val="18"/>
        </w:rPr>
        <w:t>5G</w:t>
      </w:r>
      <w:r>
        <w:rPr>
          <w:color w:val="000000"/>
          <w:spacing w:val="0"/>
          <w:w w:val="100"/>
          <w:position w:val="0"/>
        </w:rPr>
        <w:t>等前沿技术 的逐渐成熟，物联网与上述技术融合发展成为新的趋势，智能物联网</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AIoT</w:t>
      </w:r>
      <w:r>
        <w:rPr>
          <w:color w:val="000000"/>
          <w:spacing w:val="0"/>
          <w:w w:val="100"/>
          <w:position w:val="0"/>
        </w:rPr>
        <w:t>)</w:t>
      </w:r>
      <w:r>
        <w:rPr>
          <w:color w:val="000000"/>
          <w:spacing w:val="0"/>
          <w:w w:val="100"/>
          <w:position w:val="0"/>
        </w:rPr>
        <w:t>成为我国物联网产业发展的主要战场。</w:t>
      </w:r>
    </w:p>
    <w:p>
      <w:pPr>
        <w:pStyle w:val="Style41"/>
        <w:keepNext w:val="0"/>
        <w:keepLines w:val="0"/>
        <w:widowControl w:val="0"/>
        <w:shd w:val="clear" w:color="auto" w:fill="auto"/>
        <w:bidi w:val="0"/>
        <w:spacing w:before="0" w:after="220" w:line="468" w:lineRule="exact"/>
        <w:ind w:left="0" w:right="0"/>
        <w:jc w:val="both"/>
      </w:pPr>
      <w:r>
        <w:rPr>
          <w:color w:val="000000"/>
          <w:spacing w:val="0"/>
          <w:w w:val="100"/>
          <w:position w:val="0"/>
        </w:rPr>
        <w:t>目前，公司物联网领域业务已为周界安防、城市管廊、核岛核电、石油产业等多个领域提供产品及解决方案，并取得了 较好的应用成果及市场反馈，物联网相关技术的应用场景也仍在持续拓展中，随着物联网产业的进一步发展，未来市场需求</w:t>
      </w:r>
    </w:p>
    <w:p>
      <w:pPr>
        <w:pStyle w:val="Style212"/>
        <w:keepNext w:val="0"/>
        <w:keepLines w:val="0"/>
        <w:widowControl w:val="0"/>
        <w:shd w:val="clear" w:color="auto" w:fill="auto"/>
        <w:bidi w:val="0"/>
        <w:spacing w:before="0" w:after="0" w:line="240" w:lineRule="auto"/>
        <w:ind w:left="0" w:right="0" w:firstLine="0"/>
        <w:jc w:val="left"/>
      </w:pPr>
      <w:r>
        <w:rPr>
          <w:spacing w:val="0"/>
          <w:w w:val="100"/>
          <w:position w:val="0"/>
        </w:rPr>
        <w:t>Ultrapoiuer</w:t>
      </w:r>
    </w:p>
    <w:p>
      <w:pPr>
        <w:pStyle w:val="Style41"/>
        <w:keepNext w:val="0"/>
        <w:keepLines w:val="0"/>
        <w:widowControl w:val="0"/>
        <w:pBdr>
          <w:top w:val="single" w:sz="4" w:space="0" w:color="auto"/>
        </w:pBdr>
        <w:shd w:val="clear" w:color="auto" w:fill="auto"/>
        <w:bidi w:val="0"/>
        <w:spacing w:before="0" w:after="0" w:line="468" w:lineRule="exact"/>
        <w:ind w:left="0" w:right="0" w:firstLine="820"/>
        <w:jc w:val="both"/>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 也将进一步提升。</w:t>
      </w:r>
    </w:p>
    <w:p>
      <w:pPr>
        <w:pStyle w:val="Style41"/>
        <w:keepNext w:val="0"/>
        <w:keepLines w:val="0"/>
        <w:widowControl w:val="0"/>
        <w:shd w:val="clear" w:color="auto" w:fill="auto"/>
        <w:tabs>
          <w:tab w:pos="683" w:val="left"/>
        </w:tabs>
        <w:bidi w:val="0"/>
        <w:spacing w:before="0" w:after="0" w:line="468" w:lineRule="exact"/>
        <w:ind w:left="0" w:right="0"/>
        <w:jc w:val="both"/>
      </w:pPr>
      <w:bookmarkStart w:id="369" w:name="bookmark369"/>
      <w:r>
        <w:rPr>
          <w:rFonts w:ascii="Times New Roman" w:eastAsia="Times New Roman" w:hAnsi="Times New Roman" w:cs="Times New Roman"/>
          <w:b/>
          <w:bCs/>
          <w:color w:val="000000"/>
          <w:spacing w:val="0"/>
          <w:w w:val="100"/>
          <w:position w:val="0"/>
          <w:sz w:val="18"/>
          <w:szCs w:val="18"/>
        </w:rPr>
        <w:t>2</w:t>
      </w:r>
      <w:bookmarkEnd w:id="369"/>
      <w:r>
        <w:rPr>
          <w:b/>
          <w:bCs/>
          <w:color w:val="000000"/>
          <w:spacing w:val="0"/>
          <w:w w:val="100"/>
          <w:position w:val="0"/>
        </w:rPr>
        <w:t>、</w:t>
        <w:tab/>
        <w:t>数字文化产业已成为我国重点发展领域和数字经济的重要组成部分</w:t>
      </w:r>
    </w:p>
    <w:p>
      <w:pPr>
        <w:pStyle w:val="Style41"/>
        <w:keepNext w:val="0"/>
        <w:keepLines w:val="0"/>
        <w:widowControl w:val="0"/>
        <w:shd w:val="clear" w:color="auto" w:fill="auto"/>
        <w:bidi w:val="0"/>
        <w:spacing w:before="0" w:after="0" w:line="468" w:lineRule="exact"/>
        <w:ind w:left="0" w:right="0"/>
        <w:jc w:val="both"/>
      </w:pPr>
      <w:r>
        <w:rPr>
          <w:color w:val="000000"/>
          <w:spacing w:val="0"/>
          <w:w w:val="100"/>
          <w:position w:val="0"/>
        </w:rPr>
        <w:t>当前，全球客户端游戏市场已步入成熟期，进入存量竞争阶段。同时，移动端游戏基于其便携式的优点，方便游戏玩家 利用碎片化时间进行消遣和娱乐，已成为游戏市场的新晋领头羊。据</w:t>
      </w:r>
      <w:r>
        <w:rPr>
          <w:rFonts w:ascii="Times New Roman" w:eastAsia="Times New Roman" w:hAnsi="Times New Roman" w:cs="Times New Roman"/>
          <w:color w:val="000000"/>
          <w:spacing w:val="0"/>
          <w:w w:val="100"/>
          <w:position w:val="0"/>
          <w:sz w:val="18"/>
          <w:szCs w:val="18"/>
        </w:rPr>
        <w:t>Sensor Tower</w:t>
      </w:r>
      <w:r>
        <w:rPr>
          <w:color w:val="000000"/>
          <w:spacing w:val="0"/>
          <w:w w:val="100"/>
          <w:position w:val="0"/>
        </w:rPr>
        <w:t>数据显示，</w:t>
      </w:r>
      <w:r>
        <w:rPr>
          <w:rFonts w:ascii="Times New Roman" w:eastAsia="Times New Roman" w:hAnsi="Times New Roman" w:cs="Times New Roman"/>
          <w:color w:val="000000"/>
          <w:spacing w:val="0"/>
          <w:w w:val="100"/>
          <w:position w:val="0"/>
          <w:sz w:val="18"/>
          <w:szCs w:val="18"/>
        </w:rPr>
        <w:t>2019</w:t>
      </w:r>
      <w:r>
        <w:rPr>
          <w:color w:val="000000"/>
          <w:spacing w:val="0"/>
          <w:w w:val="100"/>
          <w:position w:val="0"/>
        </w:rPr>
        <w:t>年全球移动游戏在</w:t>
      </w:r>
      <w:r>
        <w:rPr>
          <w:rFonts w:ascii="Times New Roman" w:eastAsia="Times New Roman" w:hAnsi="Times New Roman" w:cs="Times New Roman"/>
          <w:color w:val="000000"/>
          <w:spacing w:val="0"/>
          <w:w w:val="100"/>
          <w:position w:val="0"/>
          <w:sz w:val="18"/>
          <w:szCs w:val="18"/>
        </w:rPr>
        <w:t>App Store</w:t>
      </w:r>
      <w:r>
        <w:rPr>
          <w:color w:val="000000"/>
          <w:spacing w:val="0"/>
          <w:w w:val="100"/>
          <w:position w:val="0"/>
        </w:rPr>
        <w:t>和</w:t>
      </w:r>
      <w:r>
        <w:rPr>
          <w:rFonts w:ascii="Times New Roman" w:eastAsia="Times New Roman" w:hAnsi="Times New Roman" w:cs="Times New Roman"/>
          <w:color w:val="000000"/>
          <w:spacing w:val="0"/>
          <w:w w:val="100"/>
          <w:position w:val="0"/>
          <w:sz w:val="18"/>
          <w:szCs w:val="18"/>
        </w:rPr>
        <w:t>Google Play</w:t>
      </w:r>
      <w:r>
        <w:rPr>
          <w:color w:val="000000"/>
          <w:spacing w:val="0"/>
          <w:w w:val="100"/>
          <w:position w:val="0"/>
        </w:rPr>
        <w:t>的预估总收入达到</w:t>
      </w:r>
      <w:r>
        <w:rPr>
          <w:rFonts w:ascii="Times New Roman" w:eastAsia="Times New Roman" w:hAnsi="Times New Roman" w:cs="Times New Roman"/>
          <w:color w:val="000000"/>
          <w:spacing w:val="0"/>
          <w:w w:val="100"/>
          <w:position w:val="0"/>
          <w:sz w:val="18"/>
          <w:szCs w:val="18"/>
        </w:rPr>
        <w:t>617</w:t>
      </w:r>
      <w:r>
        <w:rPr>
          <w:color w:val="000000"/>
          <w:spacing w:val="0"/>
          <w:w w:val="100"/>
          <w:position w:val="0"/>
        </w:rPr>
        <w:t>亿美元，较</w:t>
      </w:r>
      <w:r>
        <w:rPr>
          <w:rFonts w:ascii="Times New Roman" w:eastAsia="Times New Roman" w:hAnsi="Times New Roman" w:cs="Times New Roman"/>
          <w:color w:val="000000"/>
          <w:spacing w:val="0"/>
          <w:w w:val="100"/>
          <w:position w:val="0"/>
          <w:sz w:val="18"/>
          <w:szCs w:val="18"/>
        </w:rPr>
        <w:t>2018</w:t>
      </w:r>
      <w:r>
        <w:rPr>
          <w:color w:val="000000"/>
          <w:spacing w:val="0"/>
          <w:w w:val="100"/>
          <w:position w:val="0"/>
        </w:rPr>
        <w:t>年增长</w:t>
      </w:r>
      <w:r>
        <w:rPr>
          <w:rFonts w:ascii="Times New Roman" w:eastAsia="Times New Roman" w:hAnsi="Times New Roman" w:cs="Times New Roman"/>
          <w:color w:val="000000"/>
          <w:spacing w:val="0"/>
          <w:w w:val="100"/>
          <w:position w:val="0"/>
          <w:sz w:val="18"/>
          <w:szCs w:val="18"/>
        </w:rPr>
        <w:t>14.9%</w:t>
      </w:r>
      <w:r>
        <w:rPr>
          <w:color w:val="000000"/>
          <w:spacing w:val="0"/>
          <w:w w:val="100"/>
          <w:position w:val="0"/>
        </w:rPr>
        <w:t>，美国和亚洲是全球手游收入增长的主要动力来 源。同年，我国移动游戏市场实际销售收入达</w:t>
      </w:r>
      <w:r>
        <w:rPr>
          <w:rFonts w:ascii="Times New Roman" w:eastAsia="Times New Roman" w:hAnsi="Times New Roman" w:cs="Times New Roman"/>
          <w:color w:val="000000"/>
          <w:spacing w:val="0"/>
          <w:w w:val="100"/>
          <w:position w:val="0"/>
          <w:sz w:val="18"/>
          <w:szCs w:val="18"/>
        </w:rPr>
        <w:t>1,581.1</w:t>
      </w:r>
      <w:r>
        <w:rPr>
          <w:color w:val="000000"/>
          <w:spacing w:val="0"/>
          <w:w w:val="100"/>
          <w:position w:val="0"/>
        </w:rPr>
        <w:t>亿元，较</w:t>
      </w:r>
      <w:r>
        <w:rPr>
          <w:rFonts w:ascii="Times New Roman" w:eastAsia="Times New Roman" w:hAnsi="Times New Roman" w:cs="Times New Roman"/>
          <w:color w:val="000000"/>
          <w:spacing w:val="0"/>
          <w:w w:val="100"/>
          <w:position w:val="0"/>
          <w:sz w:val="18"/>
          <w:szCs w:val="18"/>
        </w:rPr>
        <w:t>2018</w:t>
      </w:r>
      <w:r>
        <w:rPr>
          <w:color w:val="000000"/>
          <w:spacing w:val="0"/>
          <w:w w:val="100"/>
          <w:position w:val="0"/>
        </w:rPr>
        <w:t>年增长</w:t>
      </w:r>
      <w:r>
        <w:rPr>
          <w:rFonts w:ascii="Times New Roman" w:eastAsia="Times New Roman" w:hAnsi="Times New Roman" w:cs="Times New Roman"/>
          <w:color w:val="000000"/>
          <w:spacing w:val="0"/>
          <w:w w:val="100"/>
          <w:position w:val="0"/>
          <w:sz w:val="18"/>
          <w:szCs w:val="18"/>
        </w:rPr>
        <w:t>241.5</w:t>
      </w:r>
      <w:r>
        <w:rPr>
          <w:color w:val="000000"/>
          <w:spacing w:val="0"/>
          <w:w w:val="100"/>
          <w:position w:val="0"/>
        </w:rPr>
        <w:t>亿元，同比增长</w:t>
      </w:r>
      <w:r>
        <w:rPr>
          <w:rFonts w:ascii="Times New Roman" w:eastAsia="Times New Roman" w:hAnsi="Times New Roman" w:cs="Times New Roman"/>
          <w:color w:val="000000"/>
          <w:spacing w:val="0"/>
          <w:w w:val="100"/>
          <w:position w:val="0"/>
          <w:sz w:val="18"/>
          <w:szCs w:val="18"/>
        </w:rPr>
        <w:t>18.0%</w:t>
      </w:r>
      <w:r>
        <w:rPr>
          <w:color w:val="000000"/>
          <w:spacing w:val="0"/>
          <w:w w:val="100"/>
          <w:position w:val="0"/>
        </w:rPr>
        <w:t>，移动游戏收入占 整个游戏市场实际销售收入的比例高达</w:t>
      </w:r>
      <w:r>
        <w:rPr>
          <w:rFonts w:ascii="Times New Roman" w:eastAsia="Times New Roman" w:hAnsi="Times New Roman" w:cs="Times New Roman"/>
          <w:color w:val="000000"/>
          <w:spacing w:val="0"/>
          <w:w w:val="100"/>
          <w:position w:val="0"/>
          <w:sz w:val="18"/>
          <w:szCs w:val="18"/>
        </w:rPr>
        <w:t>68.5%</w:t>
      </w:r>
      <w:r>
        <w:rPr>
          <w:color w:val="000000"/>
          <w:spacing w:val="0"/>
          <w:w w:val="100"/>
          <w:position w:val="0"/>
        </w:rPr>
        <w:t>。近年来，全球移动游戏行业正向优质化、差异化、多平台化发展，未来仍有 较大的发展空间，快速增长的移动游戏市场将促进整个游戏市场的进步。</w:t>
      </w:r>
      <w:r>
        <w:rPr>
          <w:rFonts w:ascii="Times New Roman" w:eastAsia="Times New Roman" w:hAnsi="Times New Roman" w:cs="Times New Roman"/>
          <w:color w:val="000000"/>
          <w:spacing w:val="0"/>
          <w:w w:val="100"/>
          <w:position w:val="0"/>
          <w:sz w:val="18"/>
          <w:szCs w:val="18"/>
        </w:rPr>
        <w:t>2019</w:t>
      </w:r>
      <w:r>
        <w:rPr>
          <w:color w:val="000000"/>
          <w:spacing w:val="0"/>
          <w:w w:val="100"/>
          <w:position w:val="0"/>
        </w:rPr>
        <w:t>年，北京市推进全国文化中心建设领导小组 印发《关于推动北京游戏产业健康发展的若干意见》，其中强调，要</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强化科技对游戏发展的支撑作用，加强对游戏研发、发 行和消费等环节关键技术研究</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p>
      <w:pPr>
        <w:pStyle w:val="Style41"/>
        <w:keepNext w:val="0"/>
        <w:keepLines w:val="0"/>
        <w:widowControl w:val="0"/>
        <w:shd w:val="clear" w:color="auto" w:fill="auto"/>
        <w:bidi w:val="0"/>
        <w:spacing w:before="0" w:after="0" w:line="468" w:lineRule="exact"/>
        <w:ind w:left="0" w:right="0"/>
        <w:jc w:val="both"/>
      </w:pPr>
      <w:r>
        <w:rPr>
          <w:color w:val="000000"/>
          <w:spacing w:val="0"/>
          <w:w w:val="100"/>
          <w:position w:val="0"/>
        </w:rPr>
        <w:t>我国经济形态正向数字化、智能化、多元化发展，包括游戏在内的数字文化产业已成为我国重点发展领域和数字经济的 重要组成部分，良好的政策环境伴随</w:t>
      </w:r>
      <w:r>
        <w:rPr>
          <w:rFonts w:ascii="Times New Roman" w:eastAsia="Times New Roman" w:hAnsi="Times New Roman" w:cs="Times New Roman"/>
          <w:color w:val="000000"/>
          <w:spacing w:val="0"/>
          <w:w w:val="100"/>
          <w:position w:val="0"/>
          <w:sz w:val="18"/>
          <w:szCs w:val="18"/>
        </w:rPr>
        <w:t>5G</w:t>
      </w:r>
      <w:r>
        <w:rPr>
          <w:color w:val="000000"/>
          <w:spacing w:val="0"/>
          <w:w w:val="100"/>
          <w:position w:val="0"/>
        </w:rPr>
        <w:t>、</w:t>
      </w:r>
      <w:r>
        <w:rPr>
          <w:color w:val="000000"/>
          <w:spacing w:val="0"/>
          <w:w w:val="100"/>
          <w:position w:val="0"/>
        </w:rPr>
        <w:t>云计算、区块链、虚拟现实等新一代信息技术的加入，游戏产业将迎来新的发展 机遇。</w:t>
      </w:r>
    </w:p>
    <w:p>
      <w:pPr>
        <w:pStyle w:val="Style41"/>
        <w:keepNext w:val="0"/>
        <w:keepLines w:val="0"/>
        <w:widowControl w:val="0"/>
        <w:shd w:val="clear" w:color="auto" w:fill="auto"/>
        <w:tabs>
          <w:tab w:pos="683" w:val="left"/>
        </w:tabs>
        <w:bidi w:val="0"/>
        <w:spacing w:before="0" w:after="0" w:line="468" w:lineRule="exact"/>
        <w:ind w:left="0" w:right="0"/>
        <w:jc w:val="both"/>
      </w:pPr>
      <w:bookmarkStart w:id="370" w:name="bookmark370"/>
      <w:r>
        <w:rPr>
          <w:rFonts w:ascii="Times New Roman" w:eastAsia="Times New Roman" w:hAnsi="Times New Roman" w:cs="Times New Roman"/>
          <w:b/>
          <w:bCs/>
          <w:color w:val="000000"/>
          <w:spacing w:val="0"/>
          <w:w w:val="100"/>
          <w:position w:val="0"/>
          <w:sz w:val="18"/>
          <w:szCs w:val="18"/>
        </w:rPr>
        <w:t>3</w:t>
      </w:r>
      <w:bookmarkEnd w:id="370"/>
      <w:r>
        <w:rPr>
          <w:b/>
          <w:bCs/>
          <w:color w:val="000000"/>
          <w:spacing w:val="0"/>
          <w:w w:val="100"/>
          <w:position w:val="0"/>
        </w:rPr>
        <w:t>、</w:t>
        <w:tab/>
        <w:t>人工智能技术不断突破是产业增长的核心驱动力</w:t>
      </w:r>
    </w:p>
    <w:p>
      <w:pPr>
        <w:pStyle w:val="Style41"/>
        <w:keepNext w:val="0"/>
        <w:keepLines w:val="0"/>
        <w:widowControl w:val="0"/>
        <w:shd w:val="clear" w:color="auto" w:fill="auto"/>
        <w:bidi w:val="0"/>
        <w:spacing w:before="0" w:after="0" w:line="468" w:lineRule="exact"/>
        <w:ind w:left="0" w:right="0"/>
        <w:jc w:val="both"/>
      </w:pPr>
      <w:r>
        <w:rPr>
          <w:color w:val="000000"/>
          <w:spacing w:val="0"/>
          <w:w w:val="100"/>
          <w:position w:val="0"/>
        </w:rPr>
        <w:t>技术方面不断突破是产业增长的核心驱动力。</w:t>
      </w:r>
      <w:r>
        <w:rPr>
          <w:rFonts w:ascii="Times New Roman" w:eastAsia="Times New Roman" w:hAnsi="Times New Roman" w:cs="Times New Roman"/>
          <w:color w:val="000000"/>
          <w:spacing w:val="0"/>
          <w:w w:val="100"/>
          <w:position w:val="0"/>
          <w:sz w:val="18"/>
          <w:szCs w:val="18"/>
        </w:rPr>
        <w:t>2017</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7</w:t>
      </w:r>
      <w:r>
        <w:rPr>
          <w:color w:val="000000"/>
          <w:spacing w:val="0"/>
          <w:w w:val="100"/>
          <w:position w:val="0"/>
        </w:rPr>
        <w:t>月在国务院印发的《新一代人工智能发展规划》中提到，到</w:t>
      </w:r>
      <w:r>
        <w:rPr>
          <w:rFonts w:ascii="Times New Roman" w:eastAsia="Times New Roman" w:hAnsi="Times New Roman" w:cs="Times New Roman"/>
          <w:color w:val="000000"/>
          <w:spacing w:val="0"/>
          <w:w w:val="100"/>
          <w:position w:val="0"/>
          <w:sz w:val="18"/>
          <w:szCs w:val="18"/>
        </w:rPr>
        <w:t xml:space="preserve">2030 </w:t>
      </w:r>
      <w:r>
        <w:rPr>
          <w:color w:val="000000"/>
          <w:spacing w:val="0"/>
          <w:w w:val="100"/>
          <w:position w:val="0"/>
        </w:rPr>
        <w:t>年人工智能产业竞争力达到国际领先水平。人工智能在生产生活、社会治理、国防建设各方面应用的广度深度极大拓展，形 成涵盖核心技术、关键系统、支撑平台和智能应用的完备产业链和高端产业群，人工智能核心产业规模超过</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万亿元，带动 相关产业规模超过</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万亿元。在《规划》第三部分重点任务中明确提出：</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自然语言处理技术，重点突破自然语言的语法逻 辑、字符概念表征和深度语义分析的核心技术，推进人类与机器的有效沟通和自由交互，实现多风格多语言多领域的自然语 言智能理解和自动生成。</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自然语言处理（</w:t>
      </w:r>
      <w:r>
        <w:rPr>
          <w:rFonts w:ascii="Times New Roman" w:eastAsia="Times New Roman" w:hAnsi="Times New Roman" w:cs="Times New Roman"/>
          <w:color w:val="000000"/>
          <w:spacing w:val="0"/>
          <w:w w:val="100"/>
          <w:position w:val="0"/>
          <w:sz w:val="18"/>
          <w:szCs w:val="18"/>
        </w:rPr>
        <w:t>NLP</w:t>
      </w:r>
      <w:r>
        <w:rPr>
          <w:color w:val="000000"/>
          <w:spacing w:val="0"/>
          <w:w w:val="100"/>
          <w:position w:val="0"/>
        </w:rPr>
        <w:t>）</w:t>
      </w:r>
      <w:r>
        <w:rPr>
          <w:color w:val="000000"/>
          <w:spacing w:val="0"/>
          <w:w w:val="100"/>
          <w:position w:val="0"/>
        </w:rPr>
        <w:t>语义分析即公司</w:t>
      </w:r>
      <w:r>
        <w:rPr>
          <w:rFonts w:ascii="Times New Roman" w:eastAsia="Times New Roman" w:hAnsi="Times New Roman" w:cs="Times New Roman"/>
          <w:color w:val="000000"/>
          <w:spacing w:val="0"/>
          <w:w w:val="100"/>
          <w:position w:val="0"/>
          <w:sz w:val="18"/>
          <w:szCs w:val="18"/>
        </w:rPr>
        <w:t>AI</w:t>
      </w:r>
      <w:r>
        <w:rPr>
          <w:color w:val="000000"/>
          <w:spacing w:val="0"/>
          <w:w w:val="100"/>
          <w:position w:val="0"/>
        </w:rPr>
        <w:t>业务的核心所在。</w:t>
      </w:r>
    </w:p>
    <w:p>
      <w:pPr>
        <w:pStyle w:val="Style41"/>
        <w:keepNext w:val="0"/>
        <w:keepLines w:val="0"/>
        <w:widowControl w:val="0"/>
        <w:shd w:val="clear" w:color="auto" w:fill="auto"/>
        <w:bidi w:val="0"/>
        <w:spacing w:before="0" w:after="280" w:line="468" w:lineRule="exact"/>
        <w:ind w:left="0" w:right="0"/>
        <w:jc w:val="both"/>
      </w:pPr>
      <w:bookmarkStart w:id="371" w:name="bookmark371"/>
      <w:r>
        <w:rPr>
          <w:b/>
          <w:bCs/>
          <w:color w:val="000000"/>
          <w:spacing w:val="0"/>
          <w:w w:val="100"/>
          <w:position w:val="0"/>
        </w:rPr>
        <w:t>（</w:t>
      </w:r>
      <w:bookmarkEnd w:id="371"/>
      <w:r>
        <w:rPr>
          <w:b/>
          <w:bCs/>
          <w:color w:val="000000"/>
          <w:spacing w:val="0"/>
          <w:w w:val="100"/>
          <w:position w:val="0"/>
        </w:rPr>
        <w:t>二）公司</w:t>
      </w:r>
      <w:r>
        <w:rPr>
          <w:rFonts w:ascii="Times New Roman" w:eastAsia="Times New Roman" w:hAnsi="Times New Roman" w:cs="Times New Roman"/>
          <w:b/>
          <w:bCs/>
          <w:color w:val="000000"/>
          <w:spacing w:val="0"/>
          <w:w w:val="100"/>
          <w:position w:val="0"/>
          <w:sz w:val="18"/>
          <w:szCs w:val="18"/>
        </w:rPr>
        <w:t>2021</w:t>
      </w:r>
      <w:r>
        <w:rPr>
          <w:b/>
          <w:bCs/>
          <w:color w:val="000000"/>
          <w:spacing w:val="0"/>
          <w:w w:val="100"/>
          <w:position w:val="0"/>
        </w:rPr>
        <w:t>年经营规划</w:t>
      </w:r>
    </w:p>
    <w:p>
      <w:pPr>
        <w:pStyle w:val="Style41"/>
        <w:keepNext w:val="0"/>
        <w:keepLines w:val="0"/>
        <w:widowControl w:val="0"/>
        <w:shd w:val="clear" w:color="auto" w:fill="auto"/>
        <w:tabs>
          <w:tab w:pos="669" w:val="left"/>
        </w:tabs>
        <w:bidi w:val="0"/>
        <w:spacing w:before="0" w:after="0" w:line="542" w:lineRule="auto"/>
        <w:ind w:left="0" w:right="0"/>
        <w:jc w:val="both"/>
      </w:pPr>
      <w:bookmarkStart w:id="372" w:name="bookmark372"/>
      <w:r>
        <w:rPr>
          <w:rFonts w:ascii="Times New Roman" w:eastAsia="Times New Roman" w:hAnsi="Times New Roman" w:cs="Times New Roman"/>
          <w:b/>
          <w:bCs/>
          <w:color w:val="000000"/>
          <w:spacing w:val="0"/>
          <w:w w:val="100"/>
          <w:position w:val="0"/>
          <w:sz w:val="18"/>
          <w:szCs w:val="18"/>
        </w:rPr>
        <w:t>1</w:t>
      </w:r>
      <w:bookmarkEnd w:id="372"/>
      <w:r>
        <w:rPr>
          <w:b/>
          <w:bCs/>
          <w:color w:val="000000"/>
          <w:spacing w:val="0"/>
          <w:w w:val="100"/>
          <w:position w:val="0"/>
        </w:rPr>
        <w:t>、</w:t>
        <w:tab/>
        <w:t>集团层面规划</w:t>
      </w:r>
    </w:p>
    <w:p>
      <w:pPr>
        <w:pStyle w:val="Style41"/>
        <w:keepNext w:val="0"/>
        <w:keepLines w:val="0"/>
        <w:widowControl w:val="0"/>
        <w:shd w:val="clear" w:color="auto" w:fill="auto"/>
        <w:tabs>
          <w:tab w:pos="851" w:val="left"/>
        </w:tabs>
        <w:bidi w:val="0"/>
        <w:spacing w:before="0" w:after="0" w:line="468" w:lineRule="exact"/>
        <w:ind w:left="0" w:right="0"/>
        <w:jc w:val="both"/>
      </w:pPr>
      <w:bookmarkStart w:id="373" w:name="bookmark373"/>
      <w:r>
        <w:rPr>
          <w:color w:val="000000"/>
          <w:spacing w:val="0"/>
          <w:w w:val="100"/>
          <w:position w:val="0"/>
        </w:rPr>
        <w:t>（</w:t>
      </w:r>
      <w:bookmarkEnd w:id="373"/>
      <w:r>
        <w:rPr>
          <w:rFonts w:ascii="Times New Roman" w:eastAsia="Times New Roman" w:hAnsi="Times New Roman" w:cs="Times New Roman"/>
          <w:color w:val="000000"/>
          <w:spacing w:val="0"/>
          <w:w w:val="100"/>
          <w:position w:val="0"/>
          <w:sz w:val="18"/>
          <w:szCs w:val="18"/>
        </w:rPr>
        <w:t>1</w:t>
      </w:r>
      <w:r>
        <w:rPr>
          <w:color w:val="000000"/>
          <w:spacing w:val="0"/>
          <w:w w:val="100"/>
          <w:position w:val="0"/>
        </w:rPr>
        <w:t>）</w:t>
        <w:tab/>
        <w:t>运营管理方面，加强体系内各业务的协同作用，努力将人工智能技术与各项业务密切融合，进一步促进业务重构 后的发展，合力各业务竞争优势，增强公司品牌实力与业务拓展能力；围绕</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精益运营</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策略，进一步融合研发积累与项目经 验，提高产品复用度、产品化程度。</w:t>
      </w:r>
    </w:p>
    <w:p>
      <w:pPr>
        <w:pStyle w:val="Style41"/>
        <w:keepNext w:val="0"/>
        <w:keepLines w:val="0"/>
        <w:widowControl w:val="0"/>
        <w:shd w:val="clear" w:color="auto" w:fill="auto"/>
        <w:tabs>
          <w:tab w:pos="851" w:val="left"/>
        </w:tabs>
        <w:bidi w:val="0"/>
        <w:spacing w:before="0" w:after="0" w:line="468" w:lineRule="exact"/>
        <w:ind w:left="0" w:right="0"/>
        <w:jc w:val="both"/>
      </w:pPr>
      <w:bookmarkStart w:id="374" w:name="bookmark374"/>
      <w:r>
        <w:rPr>
          <w:color w:val="000000"/>
          <w:spacing w:val="0"/>
          <w:w w:val="100"/>
          <w:position w:val="0"/>
        </w:rPr>
        <w:t>（</w:t>
      </w:r>
      <w:bookmarkEnd w:id="374"/>
      <w:r>
        <w:rPr>
          <w:rFonts w:ascii="Times New Roman" w:eastAsia="Times New Roman" w:hAnsi="Times New Roman" w:cs="Times New Roman"/>
          <w:color w:val="000000"/>
          <w:spacing w:val="0"/>
          <w:w w:val="100"/>
          <w:position w:val="0"/>
          <w:sz w:val="18"/>
          <w:szCs w:val="18"/>
        </w:rPr>
        <w:t>2</w:t>
      </w:r>
      <w:r>
        <w:rPr>
          <w:color w:val="000000"/>
          <w:spacing w:val="0"/>
          <w:w w:val="100"/>
          <w:position w:val="0"/>
        </w:rPr>
        <w:t>）</w:t>
        <w:tab/>
        <w:t>内部管理方面，公司将继续提升业务的产品化程度，通过强化内部成本管控、细化考核指标、减员增效等一系列 措施，提升精细化管理水平。</w:t>
      </w:r>
    </w:p>
    <w:p>
      <w:pPr>
        <w:pStyle w:val="Style41"/>
        <w:keepNext w:val="0"/>
        <w:keepLines w:val="0"/>
        <w:widowControl w:val="0"/>
        <w:shd w:val="clear" w:color="auto" w:fill="auto"/>
        <w:tabs>
          <w:tab w:pos="683" w:val="left"/>
        </w:tabs>
        <w:bidi w:val="0"/>
        <w:spacing w:before="0" w:after="0" w:line="468" w:lineRule="exact"/>
        <w:ind w:left="0" w:right="0"/>
        <w:jc w:val="both"/>
      </w:pPr>
      <w:bookmarkStart w:id="375" w:name="bookmark375"/>
      <w:r>
        <w:rPr>
          <w:rFonts w:ascii="Times New Roman" w:eastAsia="Times New Roman" w:hAnsi="Times New Roman" w:cs="Times New Roman"/>
          <w:b/>
          <w:bCs/>
          <w:color w:val="000000"/>
          <w:spacing w:val="0"/>
          <w:w w:val="100"/>
          <w:position w:val="0"/>
          <w:sz w:val="18"/>
          <w:szCs w:val="18"/>
        </w:rPr>
        <w:t>2</w:t>
      </w:r>
      <w:bookmarkEnd w:id="375"/>
      <w:r>
        <w:rPr>
          <w:b/>
          <w:bCs/>
          <w:color w:val="000000"/>
          <w:spacing w:val="0"/>
          <w:w w:val="100"/>
          <w:position w:val="0"/>
        </w:rPr>
        <w:t>、</w:t>
        <w:tab/>
        <w:t>各业务发展具体规划</w:t>
      </w:r>
    </w:p>
    <w:p>
      <w:pPr>
        <w:pStyle w:val="Style41"/>
        <w:keepNext w:val="0"/>
        <w:keepLines w:val="0"/>
        <w:widowControl w:val="0"/>
        <w:shd w:val="clear" w:color="auto" w:fill="auto"/>
        <w:bidi w:val="0"/>
        <w:spacing w:before="0" w:after="0" w:line="468" w:lineRule="exact"/>
        <w:ind w:left="0" w:right="0"/>
        <w:jc w:val="both"/>
      </w:pPr>
      <w:bookmarkStart w:id="376" w:name="bookmark376"/>
      <w:r>
        <w:rPr>
          <w:b/>
          <w:bCs/>
          <w:color w:val="000000"/>
          <w:spacing w:val="0"/>
          <w:w w:val="100"/>
          <w:position w:val="0"/>
        </w:rPr>
        <w:t>（</w:t>
      </w:r>
      <w:bookmarkEnd w:id="376"/>
      <w:r>
        <w:rPr>
          <w:rFonts w:ascii="Times New Roman" w:eastAsia="Times New Roman" w:hAnsi="Times New Roman" w:cs="Times New Roman"/>
          <w:b/>
          <w:bCs/>
          <w:color w:val="000000"/>
          <w:spacing w:val="0"/>
          <w:w w:val="100"/>
          <w:position w:val="0"/>
          <w:sz w:val="18"/>
          <w:szCs w:val="18"/>
        </w:rPr>
        <w:t>1</w:t>
      </w:r>
      <w:r>
        <w:rPr>
          <w:b/>
          <w:bCs/>
          <w:color w:val="000000"/>
          <w:spacing w:val="0"/>
          <w:w w:val="100"/>
          <w:position w:val="0"/>
        </w:rPr>
        <w:t>）</w:t>
      </w:r>
      <w:r>
        <w:rPr>
          <w:rFonts w:ascii="Times New Roman" w:eastAsia="Times New Roman" w:hAnsi="Times New Roman" w:cs="Times New Roman"/>
          <w:b/>
          <w:bCs/>
          <w:color w:val="000000"/>
          <w:spacing w:val="0"/>
          <w:w w:val="100"/>
          <w:position w:val="0"/>
          <w:sz w:val="18"/>
          <w:szCs w:val="18"/>
        </w:rPr>
        <w:t>ICT</w:t>
      </w:r>
      <w:r>
        <w:rPr>
          <w:b/>
          <w:bCs/>
          <w:color w:val="000000"/>
          <w:spacing w:val="0"/>
          <w:w w:val="100"/>
          <w:position w:val="0"/>
        </w:rPr>
        <w:t>运营类业务板块</w:t>
      </w:r>
    </w:p>
    <w:p>
      <w:pPr>
        <w:pStyle w:val="Style41"/>
        <w:keepNext w:val="0"/>
        <w:keepLines w:val="0"/>
        <w:widowControl w:val="0"/>
        <w:shd w:val="clear" w:color="auto" w:fill="auto"/>
        <w:bidi w:val="0"/>
        <w:spacing w:before="0" w:after="0" w:line="468" w:lineRule="exact"/>
        <w:ind w:left="0" w:right="0"/>
        <w:jc w:val="both"/>
        <w:sectPr>
          <w:headerReference w:type="default" r:id="rId163"/>
          <w:footerReference w:type="default" r:id="rId164"/>
          <w:headerReference w:type="even" r:id="rId165"/>
          <w:footerReference w:type="even" r:id="rId166"/>
          <w:footnotePr>
            <w:pos w:val="pageBottom"/>
            <w:numFmt w:val="decimal"/>
            <w:numRestart w:val="continuous"/>
          </w:footnotePr>
          <w:pgSz w:w="11904" w:h="17375"/>
          <w:pgMar w:top="1070" w:right="1035" w:bottom="1571" w:left="1081" w:header="642" w:footer="3" w:gutter="0"/>
          <w:cols w:space="720"/>
          <w:noEndnote/>
          <w:rtlGutter w:val="0"/>
          <w:docGrid w:linePitch="360"/>
        </w:sectPr>
      </w:pPr>
      <w:r>
        <w:rPr>
          <w:color w:val="000000"/>
          <w:spacing w:val="0"/>
          <w:w w:val="100"/>
          <w:position w:val="0"/>
        </w:rPr>
        <w:t>进一步聚焦企业数字化转型</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两个重点，蓄势聚力：</w:t>
      </w:r>
    </w:p>
    <w:p>
      <w:pPr>
        <w:pStyle w:val="Style41"/>
        <w:keepNext w:val="0"/>
        <w:keepLines w:val="0"/>
        <w:widowControl w:val="0"/>
        <w:shd w:val="clear" w:color="auto" w:fill="auto"/>
        <w:tabs>
          <w:tab w:pos="724" w:val="left"/>
        </w:tabs>
        <w:bidi w:val="0"/>
        <w:spacing w:before="0" w:after="0" w:line="471" w:lineRule="exact"/>
        <w:ind w:left="0" w:right="0"/>
        <w:jc w:val="both"/>
      </w:pPr>
      <w:bookmarkStart w:id="377" w:name="bookmark377"/>
      <w:r>
        <w:rPr>
          <w:rFonts w:ascii="Times New Roman" w:eastAsia="Times New Roman" w:hAnsi="Times New Roman" w:cs="Times New Roman"/>
          <w:b/>
          <w:bCs/>
          <w:color w:val="000000"/>
          <w:spacing w:val="0"/>
          <w:w w:val="100"/>
          <w:position w:val="0"/>
          <w:sz w:val="18"/>
          <w:szCs w:val="18"/>
        </w:rPr>
        <w:t>A</w:t>
      </w:r>
      <w:bookmarkEnd w:id="377"/>
      <w:r>
        <w:rPr>
          <w:b/>
          <w:bCs/>
          <w:color w:val="000000"/>
          <w:spacing w:val="0"/>
          <w:w w:val="100"/>
          <w:position w:val="0"/>
        </w:rPr>
        <w:t>、</w:t>
        <w:tab/>
      </w:r>
      <w:r>
        <w:rPr>
          <w:b/>
          <w:bCs/>
          <w:color w:val="000000"/>
          <w:spacing w:val="0"/>
          <w:w w:val="100"/>
          <w:position w:val="0"/>
        </w:rPr>
        <w:t>持续夯实智能运营中台能力</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2021</w:t>
      </w:r>
      <w:r>
        <w:rPr>
          <w:color w:val="000000"/>
          <w:spacing w:val="0"/>
          <w:w w:val="100"/>
          <w:position w:val="0"/>
        </w:rPr>
        <w:t>年将继续夯实智能运营中台能力，融合大数据、</w:t>
      </w:r>
      <w:r>
        <w:rPr>
          <w:rFonts w:ascii="Times New Roman" w:eastAsia="Times New Roman" w:hAnsi="Times New Roman" w:cs="Times New Roman"/>
          <w:color w:val="000000"/>
          <w:spacing w:val="0"/>
          <w:w w:val="100"/>
          <w:position w:val="0"/>
          <w:sz w:val="18"/>
          <w:szCs w:val="18"/>
        </w:rPr>
        <w:t>AI</w:t>
      </w:r>
      <w:r>
        <w:rPr>
          <w:color w:val="000000"/>
          <w:spacing w:val="0"/>
          <w:w w:val="100"/>
          <w:position w:val="0"/>
        </w:rPr>
        <w:t>等技术，实现敏捷的业务调 度管理和优化，赋能企业降本增效。</w:t>
      </w:r>
    </w:p>
    <w:p>
      <w:pPr>
        <w:pStyle w:val="Style41"/>
        <w:keepNext w:val="0"/>
        <w:keepLines w:val="0"/>
        <w:widowControl w:val="0"/>
        <w:shd w:val="clear" w:color="auto" w:fill="auto"/>
        <w:tabs>
          <w:tab w:pos="754" w:val="left"/>
        </w:tabs>
        <w:bidi w:val="0"/>
        <w:spacing w:before="0" w:after="0" w:line="471" w:lineRule="exact"/>
        <w:ind w:left="0" w:right="0"/>
        <w:jc w:val="both"/>
      </w:pPr>
      <w:bookmarkStart w:id="378" w:name="bookmark378"/>
      <w:r>
        <w:rPr>
          <w:rFonts w:ascii="Times New Roman" w:eastAsia="Times New Roman" w:hAnsi="Times New Roman" w:cs="Times New Roman"/>
          <w:b/>
          <w:bCs/>
          <w:color w:val="000000"/>
          <w:spacing w:val="0"/>
          <w:w w:val="100"/>
          <w:position w:val="0"/>
          <w:sz w:val="18"/>
          <w:szCs w:val="18"/>
        </w:rPr>
        <w:t>B</w:t>
      </w:r>
      <w:bookmarkEnd w:id="378"/>
      <w:r>
        <w:rPr>
          <w:b/>
          <w:bCs/>
          <w:color w:val="000000"/>
          <w:spacing w:val="0"/>
          <w:w w:val="100"/>
          <w:position w:val="0"/>
        </w:rPr>
        <w:t>、</w:t>
        <w:tab/>
      </w:r>
      <w:r>
        <w:rPr>
          <w:b/>
          <w:bCs/>
          <w:color w:val="000000"/>
          <w:spacing w:val="0"/>
          <w:w w:val="100"/>
          <w:position w:val="0"/>
        </w:rPr>
        <w:t>进一步完善及打造</w:t>
      </w:r>
      <w:r>
        <w:rPr>
          <w:rFonts w:ascii="Times New Roman" w:eastAsia="Times New Roman" w:hAnsi="Times New Roman" w:cs="Times New Roman"/>
          <w:b/>
          <w:bCs/>
          <w:color w:val="000000"/>
          <w:spacing w:val="0"/>
          <w:w w:val="100"/>
          <w:position w:val="0"/>
          <w:sz w:val="18"/>
          <w:szCs w:val="18"/>
        </w:rPr>
        <w:t>5G</w:t>
      </w:r>
      <w:r>
        <w:rPr>
          <w:b/>
          <w:bCs/>
          <w:color w:val="000000"/>
          <w:spacing w:val="0"/>
          <w:w w:val="100"/>
          <w:position w:val="0"/>
        </w:rPr>
        <w:t>网络及业务运营解决方案</w:t>
      </w:r>
    </w:p>
    <w:p>
      <w:pPr>
        <w:pStyle w:val="Style41"/>
        <w:keepNext w:val="0"/>
        <w:keepLines w:val="0"/>
        <w:widowControl w:val="0"/>
        <w:shd w:val="clear" w:color="auto" w:fill="auto"/>
        <w:bidi w:val="0"/>
        <w:spacing w:before="0" w:after="0" w:line="471" w:lineRule="exact"/>
        <w:ind w:left="0" w:right="0"/>
        <w:jc w:val="both"/>
      </w:pPr>
      <w:r>
        <w:rPr>
          <w:color w:val="000000"/>
          <w:spacing w:val="0"/>
          <w:w w:val="100"/>
          <w:position w:val="0"/>
        </w:rPr>
        <w:t>新的网络形态下要求服务场景多样化、服务对象个性化以及业务应用多元化。</w:t>
      </w:r>
      <w:r>
        <w:rPr>
          <w:rFonts w:ascii="Times New Roman" w:eastAsia="Times New Roman" w:hAnsi="Times New Roman" w:cs="Times New Roman"/>
          <w:color w:val="000000"/>
          <w:spacing w:val="0"/>
          <w:w w:val="100"/>
          <w:position w:val="0"/>
          <w:sz w:val="18"/>
          <w:szCs w:val="18"/>
        </w:rPr>
        <w:t>5G</w:t>
      </w:r>
      <w:r>
        <w:rPr>
          <w:color w:val="000000"/>
          <w:spacing w:val="0"/>
          <w:w w:val="100"/>
          <w:position w:val="0"/>
        </w:rPr>
        <w:t>云网边端业的融合，才能发挥</w:t>
      </w:r>
      <w:r>
        <w:rPr>
          <w:rFonts w:ascii="Times New Roman" w:eastAsia="Times New Roman" w:hAnsi="Times New Roman" w:cs="Times New Roman"/>
          <w:color w:val="000000"/>
          <w:spacing w:val="0"/>
          <w:w w:val="100"/>
          <w:position w:val="0"/>
          <w:sz w:val="18"/>
          <w:szCs w:val="18"/>
        </w:rPr>
        <w:t>5G</w:t>
      </w:r>
      <w:r>
        <w:rPr>
          <w:color w:val="000000"/>
          <w:spacing w:val="0"/>
          <w:w w:val="100"/>
          <w:position w:val="0"/>
        </w:rPr>
        <w:t>的 优势，从而重塑数字经济。公司将进一步发挥多年业务优势，整合云和网的运营运维能力，持续打造面向新网络、新服务、 新生态的以数据驱动、以场景为核心的端到端的智能融合运营体系，助力运营商和大型企业客户数字化运营转型。</w:t>
      </w:r>
    </w:p>
    <w:p>
      <w:pPr>
        <w:pStyle w:val="Style41"/>
        <w:keepNext w:val="0"/>
        <w:keepLines w:val="0"/>
        <w:widowControl w:val="0"/>
        <w:shd w:val="clear" w:color="auto" w:fill="auto"/>
        <w:tabs>
          <w:tab w:pos="754" w:val="left"/>
        </w:tabs>
        <w:bidi w:val="0"/>
        <w:spacing w:before="0" w:after="0" w:line="471" w:lineRule="exact"/>
        <w:ind w:left="0" w:right="0"/>
        <w:jc w:val="both"/>
      </w:pPr>
      <w:bookmarkStart w:id="379" w:name="bookmark379"/>
      <w:r>
        <w:rPr>
          <w:rFonts w:ascii="Times New Roman" w:eastAsia="Times New Roman" w:hAnsi="Times New Roman" w:cs="Times New Roman"/>
          <w:b/>
          <w:bCs/>
          <w:color w:val="000000"/>
          <w:spacing w:val="0"/>
          <w:w w:val="100"/>
          <w:position w:val="0"/>
          <w:sz w:val="18"/>
          <w:szCs w:val="18"/>
        </w:rPr>
        <w:t>C</w:t>
      </w:r>
      <w:bookmarkEnd w:id="379"/>
      <w:r>
        <w:rPr>
          <w:b/>
          <w:bCs/>
          <w:color w:val="000000"/>
          <w:spacing w:val="0"/>
          <w:w w:val="100"/>
          <w:position w:val="0"/>
        </w:rPr>
        <w:t>、</w:t>
        <w:tab/>
      </w:r>
      <w:r>
        <w:rPr>
          <w:b/>
          <w:bCs/>
          <w:color w:val="000000"/>
          <w:spacing w:val="0"/>
          <w:w w:val="100"/>
          <w:position w:val="0"/>
        </w:rPr>
        <w:t>提升数字化服务运营能力</w:t>
      </w:r>
    </w:p>
    <w:p>
      <w:pPr>
        <w:pStyle w:val="Style41"/>
        <w:keepNext w:val="0"/>
        <w:keepLines w:val="0"/>
        <w:widowControl w:val="0"/>
        <w:shd w:val="clear" w:color="auto" w:fill="auto"/>
        <w:bidi w:val="0"/>
        <w:spacing w:before="0" w:after="0" w:line="471" w:lineRule="exact"/>
        <w:ind w:left="0" w:right="0"/>
        <w:jc w:val="both"/>
      </w:pPr>
      <w:r>
        <w:rPr>
          <w:color w:val="000000"/>
          <w:spacing w:val="0"/>
          <w:w w:val="100"/>
          <w:position w:val="0"/>
        </w:rPr>
        <w:t>基于</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平台</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应用</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'的集约化思维，依托数据中台和技术中台，融合流程引擎、知识运营、机器人、即时通讯消息、配置 资源管理能力等核心运营中台能力，打造出</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数字化服务运营</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解决方案，打通应用孤岛竖井，努力实现从信息化到数字化的 变革中所需的整合信息数据决策与流程协同。</w:t>
      </w:r>
    </w:p>
    <w:p>
      <w:pPr>
        <w:pStyle w:val="Style41"/>
        <w:keepNext w:val="0"/>
        <w:keepLines w:val="0"/>
        <w:widowControl w:val="0"/>
        <w:shd w:val="clear" w:color="auto" w:fill="auto"/>
        <w:tabs>
          <w:tab w:pos="754" w:val="left"/>
        </w:tabs>
        <w:bidi w:val="0"/>
        <w:spacing w:before="0" w:after="0" w:line="471" w:lineRule="exact"/>
        <w:ind w:left="0" w:right="0"/>
        <w:jc w:val="both"/>
      </w:pPr>
      <w:bookmarkStart w:id="380" w:name="bookmark380"/>
      <w:r>
        <w:rPr>
          <w:rFonts w:ascii="Times New Roman" w:eastAsia="Times New Roman" w:hAnsi="Times New Roman" w:cs="Times New Roman"/>
          <w:b/>
          <w:bCs/>
          <w:color w:val="000000"/>
          <w:spacing w:val="0"/>
          <w:w w:val="100"/>
          <w:position w:val="0"/>
          <w:sz w:val="18"/>
          <w:szCs w:val="18"/>
        </w:rPr>
        <w:t>D</w:t>
      </w:r>
      <w:bookmarkEnd w:id="380"/>
      <w:r>
        <w:rPr>
          <w:b/>
          <w:bCs/>
          <w:color w:val="000000"/>
          <w:spacing w:val="0"/>
          <w:w w:val="100"/>
          <w:position w:val="0"/>
        </w:rPr>
        <w:t>、</w:t>
        <w:tab/>
      </w:r>
      <w:r>
        <w:rPr>
          <w:b/>
          <w:bCs/>
          <w:color w:val="000000"/>
          <w:spacing w:val="0"/>
          <w:w w:val="100"/>
          <w:position w:val="0"/>
        </w:rPr>
        <w:t>面向云化市场逐步提供标准的</w:t>
      </w:r>
      <w:r>
        <w:rPr>
          <w:rFonts w:ascii="Times New Roman" w:eastAsia="Times New Roman" w:hAnsi="Times New Roman" w:cs="Times New Roman"/>
          <w:b/>
          <w:bCs/>
          <w:color w:val="000000"/>
          <w:spacing w:val="0"/>
          <w:w w:val="100"/>
          <w:position w:val="0"/>
          <w:sz w:val="18"/>
          <w:szCs w:val="18"/>
        </w:rPr>
        <w:t>SaaS</w:t>
      </w:r>
      <w:r>
        <w:rPr>
          <w:b/>
          <w:bCs/>
          <w:color w:val="000000"/>
          <w:spacing w:val="0"/>
          <w:w w:val="100"/>
          <w:position w:val="0"/>
        </w:rPr>
        <w:t>服务能力</w:t>
      </w:r>
    </w:p>
    <w:p>
      <w:pPr>
        <w:pStyle w:val="Style41"/>
        <w:keepNext w:val="0"/>
        <w:keepLines w:val="0"/>
        <w:widowControl w:val="0"/>
        <w:shd w:val="clear" w:color="auto" w:fill="auto"/>
        <w:bidi w:val="0"/>
        <w:spacing w:before="0" w:after="0" w:line="471" w:lineRule="exact"/>
        <w:ind w:left="0" w:right="0"/>
        <w:jc w:val="both"/>
      </w:pPr>
      <w:r>
        <w:rPr>
          <w:color w:val="000000"/>
          <w:spacing w:val="0"/>
          <w:w w:val="100"/>
          <w:position w:val="0"/>
        </w:rPr>
        <w:t>数字经济时代，中小企业更加需要敏捷、轻量级、高性价比的智能运营解决方案。基于多年技术打磨和业务经验沉淀， 未来公司将一些成熟的产品能力逐步构建</w:t>
      </w:r>
      <w:r>
        <w:rPr>
          <w:rFonts w:ascii="Times New Roman" w:eastAsia="Times New Roman" w:hAnsi="Times New Roman" w:cs="Times New Roman"/>
          <w:color w:val="000000"/>
          <w:spacing w:val="0"/>
          <w:w w:val="100"/>
          <w:position w:val="0"/>
          <w:sz w:val="18"/>
          <w:szCs w:val="18"/>
        </w:rPr>
        <w:t>SaaS</w:t>
      </w:r>
      <w:r>
        <w:rPr>
          <w:color w:val="000000"/>
          <w:spacing w:val="0"/>
          <w:w w:val="100"/>
          <w:position w:val="0"/>
        </w:rPr>
        <w:t>服务模式，助力更多客户打造全方位、全场景、跨专业、跨平台、标准化、 自动化、数字化、智能化的运营服务体验。</w:t>
      </w:r>
    </w:p>
    <w:p>
      <w:pPr>
        <w:pStyle w:val="Style41"/>
        <w:keepNext w:val="0"/>
        <w:keepLines w:val="0"/>
        <w:widowControl w:val="0"/>
        <w:shd w:val="clear" w:color="auto" w:fill="auto"/>
        <w:tabs>
          <w:tab w:pos="754" w:val="left"/>
        </w:tabs>
        <w:bidi w:val="0"/>
        <w:spacing w:before="0" w:after="0" w:line="471" w:lineRule="exact"/>
        <w:ind w:left="0" w:right="0"/>
        <w:jc w:val="both"/>
      </w:pPr>
      <w:bookmarkStart w:id="381" w:name="bookmark381"/>
      <w:r>
        <w:rPr>
          <w:rFonts w:ascii="Times New Roman" w:eastAsia="Times New Roman" w:hAnsi="Times New Roman" w:cs="Times New Roman"/>
          <w:b/>
          <w:bCs/>
          <w:color w:val="000000"/>
          <w:spacing w:val="0"/>
          <w:w w:val="100"/>
          <w:position w:val="0"/>
          <w:sz w:val="18"/>
          <w:szCs w:val="18"/>
        </w:rPr>
        <w:t>E</w:t>
      </w:r>
      <w:bookmarkEnd w:id="381"/>
      <w:r>
        <w:rPr>
          <w:b/>
          <w:bCs/>
          <w:color w:val="000000"/>
          <w:spacing w:val="0"/>
          <w:w w:val="100"/>
          <w:position w:val="0"/>
        </w:rPr>
        <w:t>、</w:t>
        <w:tab/>
      </w:r>
      <w:r>
        <w:rPr>
          <w:b/>
          <w:bCs/>
          <w:color w:val="000000"/>
          <w:spacing w:val="0"/>
          <w:w w:val="100"/>
          <w:position w:val="0"/>
        </w:rPr>
        <w:t>持续完善网络与信息安全运营管理体系，布局安全业务新领域</w:t>
      </w:r>
    </w:p>
    <w:p>
      <w:pPr>
        <w:pStyle w:val="Style41"/>
        <w:keepNext w:val="0"/>
        <w:keepLines w:val="0"/>
        <w:widowControl w:val="0"/>
        <w:shd w:val="clear" w:color="auto" w:fill="auto"/>
        <w:bidi w:val="0"/>
        <w:spacing w:before="0" w:after="0" w:line="471" w:lineRule="exact"/>
        <w:ind w:left="0" w:right="0"/>
        <w:jc w:val="both"/>
      </w:pPr>
      <w:r>
        <w:rPr>
          <w:rFonts w:ascii="Times New Roman" w:eastAsia="Times New Roman" w:hAnsi="Times New Roman" w:cs="Times New Roman"/>
          <w:color w:val="000000"/>
          <w:spacing w:val="0"/>
          <w:w w:val="100"/>
          <w:position w:val="0"/>
          <w:sz w:val="18"/>
          <w:szCs w:val="18"/>
        </w:rPr>
        <w:t>2021</w:t>
      </w:r>
      <w:r>
        <w:rPr>
          <w:color w:val="000000"/>
          <w:spacing w:val="0"/>
          <w:w w:val="100"/>
          <w:position w:val="0"/>
        </w:rPr>
        <w:t>年依然坚持持续创新的发展战略，紧跟信息安全技术发展趋势，将用户实际安全业务需求放在第一位，针对性地 加大研发投入，不断更新迭代既有产品和解决方案，进一步完善安全运营管理体系，赋能企业数字化安全运营能力；同时在 零信任、</w:t>
      </w:r>
      <w:r>
        <w:rPr>
          <w:rFonts w:ascii="Times New Roman" w:eastAsia="Times New Roman" w:hAnsi="Times New Roman" w:cs="Times New Roman"/>
          <w:color w:val="000000"/>
          <w:spacing w:val="0"/>
          <w:w w:val="100"/>
          <w:position w:val="0"/>
          <w:sz w:val="18"/>
          <w:szCs w:val="18"/>
        </w:rPr>
        <w:t>5G</w:t>
      </w:r>
      <w:r>
        <w:rPr>
          <w:color w:val="000000"/>
          <w:spacing w:val="0"/>
          <w:w w:val="100"/>
          <w:position w:val="0"/>
        </w:rPr>
        <w:t>安全、云安全、数据安全、安全中台、物联网及工控安全等领域孵化新产品和进行业务布局。</w:t>
      </w:r>
    </w:p>
    <w:p>
      <w:pPr>
        <w:pStyle w:val="Style41"/>
        <w:keepNext w:val="0"/>
        <w:keepLines w:val="0"/>
        <w:widowControl w:val="0"/>
        <w:shd w:val="clear" w:color="auto" w:fill="auto"/>
        <w:tabs>
          <w:tab w:pos="807" w:val="left"/>
        </w:tabs>
        <w:bidi w:val="0"/>
        <w:spacing w:before="0" w:after="0" w:line="471" w:lineRule="exact"/>
        <w:ind w:left="0" w:right="0"/>
        <w:jc w:val="both"/>
      </w:pPr>
      <w:bookmarkStart w:id="382" w:name="bookmark382"/>
      <w:r>
        <w:rPr>
          <w:b/>
          <w:bCs/>
          <w:color w:val="000000"/>
          <w:spacing w:val="0"/>
          <w:w w:val="100"/>
          <w:position w:val="0"/>
        </w:rPr>
        <w:t>（</w:t>
      </w:r>
      <w:bookmarkEnd w:id="382"/>
      <w:r>
        <w:rPr>
          <w:rFonts w:ascii="Times New Roman" w:eastAsia="Times New Roman" w:hAnsi="Times New Roman" w:cs="Times New Roman"/>
          <w:b/>
          <w:bCs/>
          <w:color w:val="000000"/>
          <w:spacing w:val="0"/>
          <w:w w:val="100"/>
          <w:position w:val="0"/>
          <w:sz w:val="18"/>
          <w:szCs w:val="18"/>
        </w:rPr>
        <w:t>2</w:t>
      </w:r>
      <w:r>
        <w:rPr>
          <w:b/>
          <w:bCs/>
          <w:color w:val="000000"/>
          <w:spacing w:val="0"/>
          <w:w w:val="100"/>
          <w:position w:val="0"/>
        </w:rPr>
        <w:t>）</w:t>
        <w:tab/>
        <w:t>游戏业务板块</w:t>
      </w:r>
    </w:p>
    <w:p>
      <w:pPr>
        <w:pStyle w:val="Style41"/>
        <w:keepNext w:val="0"/>
        <w:keepLines w:val="0"/>
        <w:widowControl w:val="0"/>
        <w:shd w:val="clear" w:color="auto" w:fill="auto"/>
        <w:tabs>
          <w:tab w:pos="715" w:val="left"/>
        </w:tabs>
        <w:bidi w:val="0"/>
        <w:spacing w:before="0" w:after="0" w:line="471" w:lineRule="exact"/>
        <w:ind w:left="0" w:right="0"/>
        <w:jc w:val="both"/>
      </w:pPr>
      <w:bookmarkStart w:id="383" w:name="bookmark383"/>
      <w:r>
        <w:rPr>
          <w:rFonts w:ascii="Times New Roman" w:eastAsia="Times New Roman" w:hAnsi="Times New Roman" w:cs="Times New Roman"/>
          <w:color w:val="000000"/>
          <w:spacing w:val="0"/>
          <w:w w:val="100"/>
          <w:position w:val="0"/>
          <w:sz w:val="18"/>
          <w:szCs w:val="18"/>
        </w:rPr>
        <w:t>A</w:t>
      </w:r>
      <w:bookmarkEnd w:id="383"/>
      <w:r>
        <w:rPr>
          <w:color w:val="000000"/>
          <w:spacing w:val="0"/>
          <w:w w:val="100"/>
          <w:position w:val="0"/>
        </w:rPr>
        <w:t>、</w:t>
        <w:tab/>
      </w:r>
      <w:r>
        <w:rPr>
          <w:color w:val="000000"/>
          <w:spacing w:val="0"/>
          <w:w w:val="100"/>
          <w:position w:val="0"/>
        </w:rPr>
        <w:t>优化升级现有玩家体验，公司继续聚焦海外策略类</w:t>
      </w:r>
      <w:r>
        <w:rPr>
          <w:rFonts w:ascii="Times New Roman" w:eastAsia="Times New Roman" w:hAnsi="Times New Roman" w:cs="Times New Roman"/>
          <w:color w:val="000000"/>
          <w:spacing w:val="0"/>
          <w:w w:val="100"/>
          <w:position w:val="0"/>
          <w:sz w:val="18"/>
          <w:szCs w:val="18"/>
        </w:rPr>
        <w:t>（SLG</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游戏的研发和发行，以打造有竞争力、受用户欢迎的重度 手机游戏为根本，继续深耕细作，优化</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War and Order</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Age of Z Origins</w:t>
      </w:r>
      <w:r>
        <w:rPr>
          <w:color w:val="000000"/>
          <w:spacing w:val="0"/>
          <w:w w:val="100"/>
          <w:position w:val="0"/>
        </w:rPr>
        <w:t>》</w:t>
      </w:r>
      <w:r>
        <w:rPr>
          <w:color w:val="000000"/>
          <w:spacing w:val="0"/>
          <w:w w:val="100"/>
          <w:position w:val="0"/>
        </w:rPr>
        <w:t>的玩法与用户体验；同时积极优化运营策略， 不断拓展国内市场。</w:t>
      </w:r>
    </w:p>
    <w:p>
      <w:pPr>
        <w:pStyle w:val="Style41"/>
        <w:keepNext w:val="0"/>
        <w:keepLines w:val="0"/>
        <w:widowControl w:val="0"/>
        <w:shd w:val="clear" w:color="auto" w:fill="auto"/>
        <w:tabs>
          <w:tab w:pos="705" w:val="left"/>
        </w:tabs>
        <w:bidi w:val="0"/>
        <w:spacing w:before="0" w:after="0" w:line="471" w:lineRule="exact"/>
        <w:ind w:left="0" w:right="0"/>
        <w:jc w:val="both"/>
      </w:pPr>
      <w:bookmarkStart w:id="384" w:name="bookmark384"/>
      <w:r>
        <w:rPr>
          <w:rFonts w:ascii="Times New Roman" w:eastAsia="Times New Roman" w:hAnsi="Times New Roman" w:cs="Times New Roman"/>
          <w:color w:val="000000"/>
          <w:spacing w:val="0"/>
          <w:w w:val="100"/>
          <w:position w:val="0"/>
          <w:sz w:val="18"/>
          <w:szCs w:val="18"/>
        </w:rPr>
        <w:t>B</w:t>
      </w:r>
      <w:bookmarkEnd w:id="384"/>
      <w:r>
        <w:rPr>
          <w:color w:val="000000"/>
          <w:spacing w:val="0"/>
          <w:w w:val="100"/>
          <w:position w:val="0"/>
        </w:rPr>
        <w:t>、</w:t>
        <w:tab/>
      </w:r>
      <w:r>
        <w:rPr>
          <w:color w:val="000000"/>
          <w:spacing w:val="0"/>
          <w:w w:val="100"/>
          <w:position w:val="0"/>
        </w:rPr>
        <w:t>开发新产品及打磨发行储备产品，在持续推进现有手游产品运营质量的同时，加大游戏产品研发力度，着力进行新 品游戏的开发与打磨，积极做好游戏产品储备，进一步丰富公司游戏产品线，为公司游戏业务的可持续发展打下良好基础。</w:t>
      </w:r>
    </w:p>
    <w:p>
      <w:pPr>
        <w:pStyle w:val="Style41"/>
        <w:keepNext w:val="0"/>
        <w:keepLines w:val="0"/>
        <w:widowControl w:val="0"/>
        <w:shd w:val="clear" w:color="auto" w:fill="auto"/>
        <w:tabs>
          <w:tab w:pos="807" w:val="left"/>
        </w:tabs>
        <w:bidi w:val="0"/>
        <w:spacing w:before="0" w:after="0" w:line="471" w:lineRule="exact"/>
        <w:ind w:left="0" w:right="0"/>
        <w:jc w:val="both"/>
      </w:pPr>
      <w:bookmarkStart w:id="385" w:name="bookmark385"/>
      <w:r>
        <w:rPr>
          <w:b/>
          <w:bCs/>
          <w:color w:val="000000"/>
          <w:spacing w:val="0"/>
          <w:w w:val="100"/>
          <w:position w:val="0"/>
        </w:rPr>
        <w:t>（</w:t>
      </w:r>
      <w:bookmarkEnd w:id="385"/>
      <w:r>
        <w:rPr>
          <w:rFonts w:ascii="Times New Roman" w:eastAsia="Times New Roman" w:hAnsi="Times New Roman" w:cs="Times New Roman"/>
          <w:b/>
          <w:bCs/>
          <w:color w:val="000000"/>
          <w:spacing w:val="0"/>
          <w:w w:val="100"/>
          <w:position w:val="0"/>
          <w:sz w:val="18"/>
          <w:szCs w:val="18"/>
        </w:rPr>
        <w:t>3</w:t>
      </w:r>
      <w:r>
        <w:rPr>
          <w:b/>
          <w:bCs/>
          <w:color w:val="000000"/>
          <w:spacing w:val="0"/>
          <w:w w:val="100"/>
          <w:position w:val="0"/>
        </w:rPr>
        <w:t>）</w:t>
        <w:tab/>
        <w:t>物联网通讯业务板块</w:t>
      </w:r>
    </w:p>
    <w:p>
      <w:pPr>
        <w:pStyle w:val="Style41"/>
        <w:keepNext w:val="0"/>
        <w:keepLines w:val="0"/>
        <w:widowControl w:val="0"/>
        <w:shd w:val="clear" w:color="auto" w:fill="auto"/>
        <w:tabs>
          <w:tab w:pos="715" w:val="left"/>
        </w:tabs>
        <w:bidi w:val="0"/>
        <w:spacing w:before="0" w:after="0" w:line="471" w:lineRule="exact"/>
        <w:ind w:left="0" w:right="0"/>
        <w:jc w:val="both"/>
      </w:pPr>
      <w:bookmarkStart w:id="386" w:name="bookmark386"/>
      <w:r>
        <w:rPr>
          <w:rFonts w:ascii="Times New Roman" w:eastAsia="Times New Roman" w:hAnsi="Times New Roman" w:cs="Times New Roman"/>
          <w:color w:val="000000"/>
          <w:spacing w:val="0"/>
          <w:w w:val="100"/>
          <w:position w:val="0"/>
          <w:sz w:val="18"/>
          <w:szCs w:val="18"/>
        </w:rPr>
        <w:t>A</w:t>
      </w:r>
      <w:bookmarkEnd w:id="386"/>
      <w:r>
        <w:rPr>
          <w:color w:val="000000"/>
          <w:spacing w:val="0"/>
          <w:w w:val="100"/>
          <w:position w:val="0"/>
        </w:rPr>
        <w:t>、</w:t>
        <w:tab/>
      </w:r>
      <w:r>
        <w:rPr>
          <w:color w:val="000000"/>
          <w:spacing w:val="0"/>
          <w:w w:val="100"/>
          <w:position w:val="0"/>
        </w:rPr>
        <w:t>聚焦主营业务，在智慧安防，专网通信两个方向持续进行技术投入，力争完成现有版本升级，以期产品能够更加贴 近行业客户的使用需求；</w:t>
      </w:r>
    </w:p>
    <w:p>
      <w:pPr>
        <w:pStyle w:val="Style41"/>
        <w:keepNext w:val="0"/>
        <w:keepLines w:val="0"/>
        <w:widowControl w:val="0"/>
        <w:shd w:val="clear" w:color="auto" w:fill="auto"/>
        <w:tabs>
          <w:tab w:pos="749" w:val="left"/>
        </w:tabs>
        <w:bidi w:val="0"/>
        <w:spacing w:before="0" w:after="0" w:line="471" w:lineRule="exact"/>
        <w:ind w:left="0" w:right="0"/>
        <w:jc w:val="both"/>
      </w:pPr>
      <w:bookmarkStart w:id="387" w:name="bookmark387"/>
      <w:r>
        <w:rPr>
          <w:rFonts w:ascii="Times New Roman" w:eastAsia="Times New Roman" w:hAnsi="Times New Roman" w:cs="Times New Roman"/>
          <w:color w:val="000000"/>
          <w:spacing w:val="0"/>
          <w:w w:val="100"/>
          <w:position w:val="0"/>
          <w:sz w:val="18"/>
          <w:szCs w:val="18"/>
        </w:rPr>
        <w:t>B</w:t>
      </w:r>
      <w:bookmarkEnd w:id="387"/>
      <w:r>
        <w:rPr>
          <w:color w:val="000000"/>
          <w:spacing w:val="0"/>
          <w:w w:val="100"/>
          <w:position w:val="0"/>
        </w:rPr>
        <w:t>、</w:t>
        <w:tab/>
      </w:r>
      <w:r>
        <w:rPr>
          <w:color w:val="000000"/>
          <w:spacing w:val="0"/>
          <w:w w:val="100"/>
          <w:position w:val="0"/>
        </w:rPr>
        <w:t>聚焦重点行业，打造针对能源、轨道交通等领域的特定使用场景设计，提升公司产品的使用价值与问题解决能力；</w:t>
      </w:r>
    </w:p>
    <w:p>
      <w:pPr>
        <w:pStyle w:val="Style41"/>
        <w:keepNext w:val="0"/>
        <w:keepLines w:val="0"/>
        <w:widowControl w:val="0"/>
        <w:shd w:val="clear" w:color="auto" w:fill="auto"/>
        <w:tabs>
          <w:tab w:pos="724" w:val="left"/>
        </w:tabs>
        <w:bidi w:val="0"/>
        <w:spacing w:before="0" w:after="0" w:line="471" w:lineRule="exact"/>
        <w:ind w:left="0" w:right="0"/>
        <w:jc w:val="both"/>
      </w:pPr>
      <w:bookmarkStart w:id="388" w:name="bookmark388"/>
      <w:r>
        <w:rPr>
          <w:rFonts w:ascii="Times New Roman" w:eastAsia="Times New Roman" w:hAnsi="Times New Roman" w:cs="Times New Roman"/>
          <w:color w:val="000000"/>
          <w:spacing w:val="0"/>
          <w:w w:val="100"/>
          <w:position w:val="0"/>
          <w:sz w:val="18"/>
          <w:szCs w:val="18"/>
        </w:rPr>
        <w:t>C</w:t>
      </w:r>
      <w:bookmarkEnd w:id="388"/>
      <w:r>
        <w:rPr>
          <w:color w:val="000000"/>
          <w:spacing w:val="0"/>
          <w:w w:val="100"/>
          <w:position w:val="0"/>
        </w:rPr>
        <w:t>、</w:t>
        <w:tab/>
      </w:r>
      <w:r>
        <w:rPr>
          <w:color w:val="000000"/>
          <w:spacing w:val="0"/>
          <w:w w:val="100"/>
          <w:position w:val="0"/>
        </w:rPr>
        <w:t>加大渠道建设力度，广泛寻求行业内合作，加大与上下游产品伙伴与集成商的合作深度与广度，加强方案互补与整 合工作，将公司的整体交付能力提上一个新的台阶。</w:t>
      </w:r>
    </w:p>
    <w:p>
      <w:pPr>
        <w:pStyle w:val="Style41"/>
        <w:keepNext w:val="0"/>
        <w:keepLines w:val="0"/>
        <w:widowControl w:val="0"/>
        <w:shd w:val="clear" w:color="auto" w:fill="auto"/>
        <w:bidi w:val="0"/>
        <w:spacing w:before="0" w:after="0" w:line="472" w:lineRule="exact"/>
        <w:ind w:left="0" w:right="0"/>
        <w:jc w:val="both"/>
      </w:pPr>
      <w:bookmarkStart w:id="389" w:name="bookmark389"/>
      <w:r>
        <w:rPr>
          <w:b/>
          <w:bCs/>
          <w:color w:val="000000"/>
          <w:spacing w:val="0"/>
          <w:w w:val="100"/>
          <w:position w:val="0"/>
        </w:rPr>
        <w:t>（</w:t>
      </w:r>
      <w:bookmarkEnd w:id="389"/>
      <w:r>
        <w:rPr>
          <w:rFonts w:ascii="Times New Roman" w:eastAsia="Times New Roman" w:hAnsi="Times New Roman" w:cs="Times New Roman"/>
          <w:b/>
          <w:bCs/>
          <w:color w:val="000000"/>
          <w:spacing w:val="0"/>
          <w:w w:val="100"/>
          <w:position w:val="0"/>
          <w:sz w:val="18"/>
          <w:szCs w:val="18"/>
        </w:rPr>
        <w:t>4</w:t>
      </w:r>
      <w:r>
        <w:rPr>
          <w:b/>
          <w:bCs/>
          <w:color w:val="000000"/>
          <w:spacing w:val="0"/>
          <w:w w:val="100"/>
          <w:position w:val="0"/>
        </w:rPr>
        <w:t>）人工智能</w:t>
      </w:r>
      <w:r>
        <w:rPr>
          <w:rFonts w:ascii="Times New Roman" w:eastAsia="Times New Roman" w:hAnsi="Times New Roman" w:cs="Times New Roman"/>
          <w:b/>
          <w:bCs/>
          <w:color w:val="000000"/>
          <w:spacing w:val="0"/>
          <w:w w:val="100"/>
          <w:position w:val="0"/>
          <w:sz w:val="18"/>
          <w:szCs w:val="18"/>
        </w:rPr>
        <w:t>/</w:t>
      </w:r>
      <w:r>
        <w:rPr>
          <w:b/>
          <w:bCs/>
          <w:color w:val="000000"/>
          <w:spacing w:val="0"/>
          <w:w w:val="100"/>
          <w:position w:val="0"/>
        </w:rPr>
        <w:t>大数据业务板块</w:t>
      </w:r>
    </w:p>
    <w:p>
      <w:pPr>
        <w:pStyle w:val="Style41"/>
        <w:keepNext w:val="0"/>
        <w:keepLines w:val="0"/>
        <w:widowControl w:val="0"/>
        <w:shd w:val="clear" w:color="auto" w:fill="auto"/>
        <w:tabs>
          <w:tab w:pos="678" w:val="left"/>
        </w:tabs>
        <w:bidi w:val="0"/>
        <w:spacing w:before="0" w:after="0" w:line="472" w:lineRule="exact"/>
        <w:ind w:left="0" w:right="0"/>
        <w:jc w:val="both"/>
      </w:pPr>
      <w:bookmarkStart w:id="390" w:name="bookmark390"/>
      <w:r>
        <w:rPr>
          <w:rFonts w:ascii="Times New Roman" w:eastAsia="Times New Roman" w:hAnsi="Times New Roman" w:cs="Times New Roman"/>
          <w:color w:val="000000"/>
          <w:spacing w:val="0"/>
          <w:w w:val="100"/>
          <w:position w:val="0"/>
          <w:sz w:val="18"/>
          <w:szCs w:val="18"/>
        </w:rPr>
        <w:t>A</w:t>
      </w:r>
      <w:bookmarkEnd w:id="390"/>
      <w:r>
        <w:rPr>
          <w:color w:val="000000"/>
          <w:spacing w:val="0"/>
          <w:w w:val="100"/>
          <w:position w:val="0"/>
        </w:rPr>
        <w:t>、</w:t>
        <w:tab/>
      </w:r>
      <w:r>
        <w:rPr>
          <w:color w:val="000000"/>
          <w:spacing w:val="0"/>
          <w:w w:val="100"/>
          <w:position w:val="0"/>
        </w:rPr>
        <w:t>进一步迭代优化</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智脑</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平台，充分发挥</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智脑</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平台数据开放共享、算法持续优化、交付成本不断降低的特点，建设</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统 一数据空间</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中央智能体</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及智慧化应用，尤其是公安、金融、政府</w:t>
      </w:r>
      <w:r>
        <w:rPr>
          <w:b/>
          <w:bCs/>
          <w:color w:val="000000"/>
          <w:spacing w:val="0"/>
          <w:w w:val="100"/>
          <w:position w:val="0"/>
        </w:rPr>
        <w:t>、</w:t>
      </w:r>
      <w:r>
        <w:rPr>
          <w:color w:val="000000"/>
          <w:spacing w:val="0"/>
          <w:w w:val="100"/>
          <w:position w:val="0"/>
        </w:rPr>
        <w:t>气象及环保等领域应用解决方案以及大数据智能化 建设。持续深挖人工智能结合大数据的行业价值，充分利用智脑产品的低成本及快速构造能力，同合作伙伴一起打造产业化 应用场景。</w:t>
      </w:r>
    </w:p>
    <w:p>
      <w:pPr>
        <w:pStyle w:val="Style41"/>
        <w:keepNext w:val="0"/>
        <w:keepLines w:val="0"/>
        <w:widowControl w:val="0"/>
        <w:shd w:val="clear" w:color="auto" w:fill="auto"/>
        <w:tabs>
          <w:tab w:pos="682" w:val="left"/>
        </w:tabs>
        <w:bidi w:val="0"/>
        <w:spacing w:before="0" w:after="0" w:line="472" w:lineRule="exact"/>
        <w:ind w:left="0" w:right="0"/>
        <w:jc w:val="both"/>
      </w:pPr>
      <w:bookmarkStart w:id="391" w:name="bookmark391"/>
      <w:r>
        <w:rPr>
          <w:rFonts w:ascii="Times New Roman" w:eastAsia="Times New Roman" w:hAnsi="Times New Roman" w:cs="Times New Roman"/>
          <w:color w:val="000000"/>
          <w:spacing w:val="0"/>
          <w:w w:val="100"/>
          <w:position w:val="0"/>
          <w:sz w:val="18"/>
          <w:szCs w:val="18"/>
        </w:rPr>
        <w:t>B</w:t>
      </w:r>
      <w:bookmarkEnd w:id="391"/>
      <w:r>
        <w:rPr>
          <w:color w:val="000000"/>
          <w:spacing w:val="0"/>
          <w:w w:val="100"/>
          <w:position w:val="0"/>
        </w:rPr>
        <w:t>、</w:t>
        <w:tab/>
      </w:r>
      <w:r>
        <w:rPr>
          <w:color w:val="000000"/>
          <w:spacing w:val="0"/>
          <w:w w:val="100"/>
          <w:position w:val="0"/>
        </w:rPr>
        <w:t>进一步深入加强与中国中文信息学会、计算机学会等的合作，继续全面深入推进中文信息（深度）处理开放创新平 台，扩大影响力，同时作为新一代人工智能产业技术创新战略联盟发起成员及</w:t>
      </w:r>
      <w:r>
        <w:rPr>
          <w:rFonts w:ascii="Times New Roman" w:eastAsia="Times New Roman" w:hAnsi="Times New Roman" w:cs="Times New Roman"/>
          <w:color w:val="000000"/>
          <w:spacing w:val="0"/>
          <w:w w:val="100"/>
          <w:position w:val="0"/>
          <w:sz w:val="18"/>
          <w:szCs w:val="18"/>
        </w:rPr>
        <w:t>NLP</w:t>
      </w:r>
      <w:r>
        <w:rPr>
          <w:color w:val="000000"/>
          <w:spacing w:val="0"/>
          <w:w w:val="100"/>
          <w:position w:val="0"/>
        </w:rPr>
        <w:t>推进组组长，也将为新一代人工智能开源 开放平台一</w:t>
      </w:r>
      <w:r>
        <w:rPr>
          <w:rFonts w:ascii="Times New Roman" w:eastAsia="Times New Roman" w:hAnsi="Times New Roman" w:cs="Times New Roman"/>
          <w:color w:val="000000"/>
          <w:spacing w:val="0"/>
          <w:w w:val="100"/>
          <w:position w:val="0"/>
          <w:sz w:val="18"/>
          <w:szCs w:val="18"/>
        </w:rPr>
        <w:t>Openl</w:t>
      </w:r>
      <w:r>
        <w:rPr>
          <w:color w:val="000000"/>
          <w:spacing w:val="0"/>
          <w:w w:val="100"/>
          <w:position w:val="0"/>
        </w:rPr>
        <w:t>启智新一代人工智能开源开放平台贡献力量。</w:t>
      </w:r>
    </w:p>
    <w:p>
      <w:pPr>
        <w:pStyle w:val="Style41"/>
        <w:keepNext w:val="0"/>
        <w:keepLines w:val="0"/>
        <w:widowControl w:val="0"/>
        <w:shd w:val="clear" w:color="auto" w:fill="auto"/>
        <w:tabs>
          <w:tab w:pos="702" w:val="left"/>
        </w:tabs>
        <w:bidi w:val="0"/>
        <w:spacing w:before="0" w:after="0" w:line="472" w:lineRule="exact"/>
        <w:ind w:left="0" w:right="0"/>
        <w:jc w:val="both"/>
      </w:pPr>
      <w:bookmarkStart w:id="392" w:name="bookmark392"/>
      <w:r>
        <w:rPr>
          <w:rFonts w:ascii="Times New Roman" w:eastAsia="Times New Roman" w:hAnsi="Times New Roman" w:cs="Times New Roman"/>
          <w:color w:val="000000"/>
          <w:spacing w:val="0"/>
          <w:w w:val="100"/>
          <w:position w:val="0"/>
          <w:sz w:val="18"/>
          <w:szCs w:val="18"/>
        </w:rPr>
        <w:t>C</w:t>
      </w:r>
      <w:bookmarkEnd w:id="392"/>
      <w:r>
        <w:rPr>
          <w:color w:val="000000"/>
          <w:spacing w:val="0"/>
          <w:w w:val="100"/>
          <w:position w:val="0"/>
        </w:rPr>
        <w:t>、</w:t>
        <w:tab/>
      </w:r>
      <w:r>
        <w:rPr>
          <w:color w:val="000000"/>
          <w:spacing w:val="0"/>
          <w:w w:val="100"/>
          <w:position w:val="0"/>
        </w:rPr>
        <w:t>继续积累在自然语言处理产业应用的样本库及算法资源，建立行业自然语言处理的选型标准，奠定行业领先地位。</w:t>
      </w:r>
    </w:p>
    <w:p>
      <w:pPr>
        <w:pStyle w:val="Style41"/>
        <w:keepNext w:val="0"/>
        <w:keepLines w:val="0"/>
        <w:widowControl w:val="0"/>
        <w:shd w:val="clear" w:color="auto" w:fill="auto"/>
        <w:tabs>
          <w:tab w:pos="687" w:val="left"/>
        </w:tabs>
        <w:bidi w:val="0"/>
        <w:spacing w:before="0" w:after="0" w:line="472" w:lineRule="exact"/>
        <w:ind w:left="0" w:right="0"/>
        <w:jc w:val="both"/>
      </w:pPr>
      <w:bookmarkStart w:id="393" w:name="bookmark393"/>
      <w:r>
        <w:rPr>
          <w:rFonts w:ascii="Times New Roman" w:eastAsia="Times New Roman" w:hAnsi="Times New Roman" w:cs="Times New Roman"/>
          <w:color w:val="000000"/>
          <w:spacing w:val="0"/>
          <w:w w:val="100"/>
          <w:position w:val="0"/>
          <w:sz w:val="18"/>
          <w:szCs w:val="18"/>
        </w:rPr>
        <w:t>D</w:t>
      </w:r>
      <w:bookmarkEnd w:id="393"/>
      <w:r>
        <w:rPr>
          <w:color w:val="000000"/>
          <w:spacing w:val="0"/>
          <w:w w:val="100"/>
          <w:position w:val="0"/>
        </w:rPr>
        <w:t>、</w:t>
        <w:tab/>
      </w:r>
      <w:r>
        <w:rPr>
          <w:color w:val="000000"/>
          <w:spacing w:val="0"/>
          <w:w w:val="100"/>
          <w:position w:val="0"/>
        </w:rPr>
        <w:t>继续开放泰岳历时数年所沉淀下来的</w:t>
      </w:r>
      <w:r>
        <w:rPr>
          <w:rFonts w:ascii="Times New Roman" w:eastAsia="Times New Roman" w:hAnsi="Times New Roman" w:cs="Times New Roman"/>
          <w:color w:val="000000"/>
          <w:spacing w:val="0"/>
          <w:w w:val="100"/>
          <w:position w:val="0"/>
          <w:sz w:val="18"/>
          <w:szCs w:val="18"/>
        </w:rPr>
        <w:t>NLP</w:t>
      </w:r>
      <w:r>
        <w:rPr>
          <w:color w:val="000000"/>
          <w:spacing w:val="0"/>
          <w:w w:val="100"/>
          <w:position w:val="0"/>
        </w:rPr>
        <w:t>技术，结合</w:t>
      </w:r>
      <w:r>
        <w:rPr>
          <w:rFonts w:ascii="Times New Roman" w:eastAsia="Times New Roman" w:hAnsi="Times New Roman" w:cs="Times New Roman"/>
          <w:color w:val="000000"/>
          <w:spacing w:val="0"/>
          <w:w w:val="100"/>
          <w:position w:val="0"/>
          <w:sz w:val="18"/>
          <w:szCs w:val="18"/>
        </w:rPr>
        <w:t>AI</w:t>
      </w:r>
      <w:r>
        <w:rPr>
          <w:color w:val="000000"/>
          <w:spacing w:val="0"/>
          <w:w w:val="100"/>
          <w:position w:val="0"/>
        </w:rPr>
        <w:t>研究院的最新研发成果，推进泰岳语义工厂的对外合作。加 强同高校、科研机构及国外组织的合作，利用语义工厂，中文深度语义处理平台及产业整合优势，将科研成果和交付落地有 机结合。</w:t>
      </w:r>
    </w:p>
    <w:p>
      <w:pPr>
        <w:pStyle w:val="Style41"/>
        <w:keepNext w:val="0"/>
        <w:keepLines w:val="0"/>
        <w:widowControl w:val="0"/>
        <w:shd w:val="clear" w:color="auto" w:fill="auto"/>
        <w:tabs>
          <w:tab w:pos="712" w:val="left"/>
        </w:tabs>
        <w:bidi w:val="0"/>
        <w:spacing w:before="0" w:after="360" w:line="472" w:lineRule="exact"/>
        <w:ind w:left="0" w:right="0"/>
        <w:jc w:val="both"/>
      </w:pPr>
      <w:bookmarkStart w:id="394" w:name="bookmark394"/>
      <w:r>
        <w:rPr>
          <w:rFonts w:ascii="Times New Roman" w:eastAsia="Times New Roman" w:hAnsi="Times New Roman" w:cs="Times New Roman"/>
          <w:color w:val="000000"/>
          <w:spacing w:val="0"/>
          <w:w w:val="100"/>
          <w:position w:val="0"/>
          <w:sz w:val="18"/>
          <w:szCs w:val="18"/>
        </w:rPr>
        <w:t>E</w:t>
      </w:r>
      <w:bookmarkEnd w:id="394"/>
      <w:r>
        <w:rPr>
          <w:color w:val="000000"/>
          <w:spacing w:val="0"/>
          <w:w w:val="100"/>
          <w:position w:val="0"/>
        </w:rPr>
        <w:t>、</w:t>
        <w:tab/>
      </w:r>
      <w:r>
        <w:rPr>
          <w:color w:val="000000"/>
          <w:spacing w:val="0"/>
          <w:w w:val="100"/>
          <w:position w:val="0"/>
        </w:rPr>
        <w:t>根据公司沉淀的技术及优势，推出针对不用行业领域的平台解决方案，进一步扩大公司现有平台化产品。</w:t>
      </w:r>
    </w:p>
    <w:p>
      <w:pPr>
        <w:pStyle w:val="Style41"/>
        <w:keepNext w:val="0"/>
        <w:keepLines w:val="0"/>
        <w:widowControl w:val="0"/>
        <w:shd w:val="clear" w:color="auto" w:fill="auto"/>
        <w:bidi w:val="0"/>
        <w:spacing w:before="0" w:after="0" w:line="468" w:lineRule="exact"/>
        <w:ind w:left="0" w:right="0"/>
        <w:jc w:val="both"/>
      </w:pPr>
      <w:bookmarkStart w:id="395" w:name="bookmark395"/>
      <w:r>
        <w:rPr>
          <w:b/>
          <w:bCs/>
          <w:color w:val="000000"/>
          <w:spacing w:val="0"/>
          <w:w w:val="100"/>
          <w:position w:val="0"/>
        </w:rPr>
        <w:t>（</w:t>
      </w:r>
      <w:bookmarkEnd w:id="395"/>
      <w:r>
        <w:rPr>
          <w:b/>
          <w:bCs/>
          <w:color w:val="000000"/>
          <w:spacing w:val="0"/>
          <w:w w:val="100"/>
          <w:position w:val="0"/>
        </w:rPr>
        <w:t>三）对公司未来发展战略和经营目标的实现产生不利影响的风险因素分析</w:t>
      </w:r>
    </w:p>
    <w:p>
      <w:pPr>
        <w:pStyle w:val="Style41"/>
        <w:keepNext w:val="0"/>
        <w:keepLines w:val="0"/>
        <w:widowControl w:val="0"/>
        <w:shd w:val="clear" w:color="auto" w:fill="auto"/>
        <w:tabs>
          <w:tab w:pos="660" w:val="left"/>
        </w:tabs>
        <w:bidi w:val="0"/>
        <w:spacing w:before="0" w:after="0" w:line="468" w:lineRule="exact"/>
        <w:ind w:left="0" w:right="0"/>
        <w:jc w:val="both"/>
      </w:pPr>
      <w:bookmarkStart w:id="396" w:name="bookmark396"/>
      <w:r>
        <w:rPr>
          <w:rFonts w:ascii="Times New Roman" w:eastAsia="Times New Roman" w:hAnsi="Times New Roman" w:cs="Times New Roman"/>
          <w:color w:val="000000"/>
          <w:spacing w:val="0"/>
          <w:w w:val="100"/>
          <w:position w:val="0"/>
          <w:sz w:val="18"/>
          <w:szCs w:val="18"/>
        </w:rPr>
        <w:t>1</w:t>
      </w:r>
      <w:bookmarkEnd w:id="396"/>
      <w:r>
        <w:rPr>
          <w:color w:val="000000"/>
          <w:spacing w:val="0"/>
          <w:w w:val="100"/>
          <w:position w:val="0"/>
        </w:rPr>
        <w:t>、</w:t>
        <w:tab/>
        <w:t>随着市场竞争的激烈、业务发展的深入，在战略规划、组织架构、运营管理、内部控制、激励机制、企业文化建设 等方面，都将对管理水平提出更大的挑战。为此，公司继续坚持基于扁平化的组织体系和以绩效为核心的管理机制，缩短决 策链条、提升决策效率，以交付价值为指导思想深入组织结构的优化与调整，不断加强内部管控，建立规范化的流程管理和 项目管理体系，控制成本支出、提升整体管理效能。</w:t>
      </w:r>
    </w:p>
    <w:p>
      <w:pPr>
        <w:pStyle w:val="Style41"/>
        <w:keepNext w:val="0"/>
        <w:keepLines w:val="0"/>
        <w:widowControl w:val="0"/>
        <w:shd w:val="clear" w:color="auto" w:fill="auto"/>
        <w:tabs>
          <w:tab w:pos="674" w:val="left"/>
        </w:tabs>
        <w:bidi w:val="0"/>
        <w:spacing w:before="0" w:after="0" w:line="468" w:lineRule="exact"/>
        <w:ind w:left="0" w:right="0"/>
        <w:jc w:val="both"/>
      </w:pPr>
      <w:bookmarkStart w:id="397" w:name="bookmark397"/>
      <w:r>
        <w:rPr>
          <w:rFonts w:ascii="Times New Roman" w:eastAsia="Times New Roman" w:hAnsi="Times New Roman" w:cs="Times New Roman"/>
          <w:b/>
          <w:bCs/>
          <w:color w:val="000000"/>
          <w:spacing w:val="0"/>
          <w:w w:val="100"/>
          <w:position w:val="0"/>
          <w:sz w:val="18"/>
          <w:szCs w:val="18"/>
        </w:rPr>
        <w:t>2</w:t>
      </w:r>
      <w:bookmarkEnd w:id="397"/>
      <w:r>
        <w:rPr>
          <w:b/>
          <w:bCs/>
          <w:color w:val="000000"/>
          <w:spacing w:val="0"/>
          <w:w w:val="100"/>
          <w:position w:val="0"/>
        </w:rPr>
        <w:t>、</w:t>
        <w:tab/>
        <w:t>创新业务市场落地风险</w:t>
      </w:r>
    </w:p>
    <w:p>
      <w:pPr>
        <w:pStyle w:val="Style41"/>
        <w:keepNext w:val="0"/>
        <w:keepLines w:val="0"/>
        <w:widowControl w:val="0"/>
        <w:shd w:val="clear" w:color="auto" w:fill="auto"/>
        <w:bidi w:val="0"/>
        <w:spacing w:before="0" w:after="0" w:line="468" w:lineRule="exact"/>
        <w:ind w:left="0" w:right="0"/>
        <w:jc w:val="both"/>
      </w:pPr>
      <w:r>
        <w:rPr>
          <w:color w:val="000000"/>
          <w:spacing w:val="0"/>
          <w:w w:val="100"/>
          <w:position w:val="0"/>
        </w:rPr>
        <w:t>物联网</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通信、人工智能</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大数据两大市场目前处于行业高速发展期，技术更新迭代迅速，且下游细分应用领域众多，客 观上吸引众多企业参与市场竞争，为保持技术和产品的竞争力，公司需投入大量研发资源。若公司无法准确判断行业发展趋 势，并及时更新迭代技术、产品以满足市场需求，或研发项目未能顺利推进，相关产品可能无法获得新应用领域认可，从而 对公司的品牌效应和市场竞争力造成负面影响，不利于公司的持续发展。为此，公司会深入了解市场需求，紧跟新技术发展 趋势，快速迭代推进，始终保持公司技术与产品应用的领先性。</w:t>
      </w:r>
    </w:p>
    <w:p>
      <w:pPr>
        <w:pStyle w:val="Style41"/>
        <w:keepNext w:val="0"/>
        <w:keepLines w:val="0"/>
        <w:widowControl w:val="0"/>
        <w:shd w:val="clear" w:color="auto" w:fill="auto"/>
        <w:tabs>
          <w:tab w:pos="674" w:val="left"/>
        </w:tabs>
        <w:bidi w:val="0"/>
        <w:spacing w:before="0" w:after="0" w:line="468" w:lineRule="exact"/>
        <w:ind w:left="0" w:right="0"/>
        <w:jc w:val="both"/>
      </w:pPr>
      <w:bookmarkStart w:id="398" w:name="bookmark398"/>
      <w:r>
        <w:rPr>
          <w:rFonts w:ascii="Times New Roman" w:eastAsia="Times New Roman" w:hAnsi="Times New Roman" w:cs="Times New Roman"/>
          <w:b/>
          <w:bCs/>
          <w:color w:val="000000"/>
          <w:spacing w:val="0"/>
          <w:w w:val="100"/>
          <w:position w:val="0"/>
          <w:sz w:val="18"/>
          <w:szCs w:val="18"/>
        </w:rPr>
        <w:t>3</w:t>
      </w:r>
      <w:bookmarkEnd w:id="398"/>
      <w:r>
        <w:rPr>
          <w:b/>
          <w:bCs/>
          <w:color w:val="000000"/>
          <w:spacing w:val="0"/>
          <w:w w:val="100"/>
          <w:position w:val="0"/>
        </w:rPr>
        <w:t>、</w:t>
        <w:tab/>
        <w:t>未来</w:t>
      </w:r>
      <w:r>
        <w:rPr>
          <w:rFonts w:ascii="Times New Roman" w:eastAsia="Times New Roman" w:hAnsi="Times New Roman" w:cs="Times New Roman"/>
          <w:b/>
          <w:bCs/>
          <w:color w:val="000000"/>
          <w:spacing w:val="0"/>
          <w:w w:val="100"/>
          <w:position w:val="0"/>
          <w:sz w:val="18"/>
          <w:szCs w:val="18"/>
        </w:rPr>
        <w:t>ICT</w:t>
      </w:r>
      <w:r>
        <w:rPr>
          <w:b/>
          <w:bCs/>
          <w:color w:val="000000"/>
          <w:spacing w:val="0"/>
          <w:w w:val="100"/>
          <w:position w:val="0"/>
        </w:rPr>
        <w:t>环境和运营管理领域竞争格局变化的风险</w:t>
      </w:r>
    </w:p>
    <w:p>
      <w:pPr>
        <w:pStyle w:val="Style41"/>
        <w:keepNext w:val="0"/>
        <w:keepLines w:val="0"/>
        <w:widowControl w:val="0"/>
        <w:shd w:val="clear" w:color="auto" w:fill="auto"/>
        <w:bidi w:val="0"/>
        <w:spacing w:before="0" w:after="0" w:line="468" w:lineRule="exact"/>
        <w:ind w:left="0" w:right="0"/>
        <w:jc w:val="both"/>
        <w:sectPr>
          <w:headerReference w:type="default" r:id="rId167"/>
          <w:footerReference w:type="default" r:id="rId168"/>
          <w:headerReference w:type="even" r:id="rId169"/>
          <w:footerReference w:type="even" r:id="rId170"/>
          <w:footnotePr>
            <w:pos w:val="pageBottom"/>
            <w:numFmt w:val="decimal"/>
            <w:numRestart w:val="continuous"/>
          </w:footnotePr>
          <w:pgSz w:w="11904" w:h="17375"/>
          <w:pgMar w:top="1857" w:right="1016" w:bottom="1771" w:left="1100" w:header="0" w:footer="3" w:gutter="0"/>
          <w:cols w:space="720"/>
          <w:noEndnote/>
          <w:rtlGutter w:val="0"/>
          <w:docGrid w:linePitch="360"/>
        </w:sectPr>
      </w:pPr>
      <w:r>
        <w:rPr>
          <w:color w:val="000000"/>
          <w:spacing w:val="0"/>
          <w:w w:val="100"/>
          <w:position w:val="0"/>
        </w:rPr>
        <w:t>在云计算、大数据、软件定义网络</w:t>
      </w:r>
      <w:r>
        <w:rPr>
          <w:rFonts w:ascii="Times New Roman" w:eastAsia="Times New Roman" w:hAnsi="Times New Roman" w:cs="Times New Roman"/>
          <w:color w:val="000000"/>
          <w:spacing w:val="0"/>
          <w:w w:val="100"/>
          <w:position w:val="0"/>
          <w:sz w:val="18"/>
          <w:szCs w:val="18"/>
        </w:rPr>
        <w:t>（SDN）</w:t>
      </w:r>
      <w:r>
        <w:rPr>
          <w:color w:val="000000"/>
          <w:spacing w:val="0"/>
          <w:w w:val="100"/>
          <w:position w:val="0"/>
        </w:rPr>
        <w:t>、</w:t>
      </w:r>
      <w:r>
        <w:rPr>
          <w:color w:val="000000"/>
          <w:spacing w:val="0"/>
          <w:w w:val="100"/>
          <w:position w:val="0"/>
        </w:rPr>
        <w:t>网络虚拟化</w:t>
      </w:r>
      <w:r>
        <w:rPr>
          <w:rFonts w:ascii="Times New Roman" w:eastAsia="Times New Roman" w:hAnsi="Times New Roman" w:cs="Times New Roman"/>
          <w:color w:val="000000"/>
          <w:spacing w:val="0"/>
          <w:w w:val="100"/>
          <w:position w:val="0"/>
          <w:sz w:val="18"/>
          <w:szCs w:val="18"/>
        </w:rPr>
        <w:t>（NFV）</w:t>
      </w:r>
      <w:r>
        <w:rPr>
          <w:color w:val="000000"/>
          <w:spacing w:val="0"/>
          <w:w w:val="100"/>
          <w:position w:val="0"/>
        </w:rPr>
        <w:t>、</w:t>
      </w:r>
      <w:r>
        <w:rPr>
          <w:color w:val="000000"/>
          <w:spacing w:val="0"/>
          <w:w w:val="100"/>
          <w:position w:val="0"/>
        </w:rPr>
        <w:t>人工智能等新架构、新技术的推动下，</w:t>
      </w:r>
      <w:r>
        <w:rPr>
          <w:rFonts w:ascii="Times New Roman" w:eastAsia="Times New Roman" w:hAnsi="Times New Roman" w:cs="Times New Roman"/>
          <w:color w:val="000000"/>
          <w:spacing w:val="0"/>
          <w:w w:val="100"/>
          <w:position w:val="0"/>
          <w:sz w:val="18"/>
          <w:szCs w:val="18"/>
        </w:rPr>
        <w:t>ICT</w:t>
      </w:r>
      <w:r>
        <w:rPr>
          <w:color w:val="000000"/>
          <w:spacing w:val="0"/>
          <w:w w:val="100"/>
          <w:position w:val="0"/>
        </w:rPr>
        <w:t>环境正发生着 颠覆性变革，运营管理的对象、重点、要求也随着发生巨变。同时，运营管理在新架构、新环境中的地位和作用大大提升， 吸引了一些跨界厂商涉足运营管理软件和服务领域。如公司技术实力、运营理念、软件和服务能力无法适应这种变化，或者 无法在与跨界涉足者竞争中获胜，将会影响公司运营管理业务的发展。电信行业是公司</w:t>
      </w:r>
      <w:r>
        <w:rPr>
          <w:rFonts w:ascii="Times New Roman" w:eastAsia="Times New Roman" w:hAnsi="Times New Roman" w:cs="Times New Roman"/>
          <w:color w:val="000000"/>
          <w:spacing w:val="0"/>
          <w:w w:val="100"/>
          <w:position w:val="0"/>
          <w:sz w:val="18"/>
          <w:szCs w:val="18"/>
        </w:rPr>
        <w:t>ICT</w:t>
      </w:r>
      <w:r>
        <w:rPr>
          <w:color w:val="000000"/>
          <w:spacing w:val="0"/>
          <w:w w:val="100"/>
          <w:position w:val="0"/>
        </w:rPr>
        <w:t>运营管理业务的重点市场领域，</w:t>
      </w:r>
    </w:p>
    <w:p>
      <w:pPr>
        <w:pStyle w:val="Style212"/>
        <w:keepNext w:val="0"/>
        <w:keepLines w:val="0"/>
        <w:widowControl w:val="0"/>
        <w:shd w:val="clear" w:color="auto" w:fill="auto"/>
        <w:bidi w:val="0"/>
        <w:spacing w:before="0" w:after="0" w:line="240" w:lineRule="auto"/>
        <w:ind w:left="0" w:right="0" w:firstLine="0"/>
        <w:jc w:val="left"/>
      </w:pPr>
      <w:r>
        <w:rPr>
          <w:spacing w:val="0"/>
          <w:w w:val="100"/>
          <w:position w:val="0"/>
        </w:rPr>
        <w:t>Ultrapoiuer</w:t>
      </w:r>
    </w:p>
    <w:p>
      <w:pPr>
        <w:pStyle w:val="Style41"/>
        <w:keepNext w:val="0"/>
        <w:keepLines w:val="0"/>
        <w:widowControl w:val="0"/>
        <w:shd w:val="clear" w:color="auto" w:fill="auto"/>
        <w:bidi w:val="0"/>
        <w:spacing w:before="0" w:after="0" w:line="467" w:lineRule="exact"/>
        <w:ind w:left="0" w:right="0" w:firstLine="820"/>
        <w:jc w:val="both"/>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 公司对电信行业的依赖程度较高。如果未来电信行业发生运营的不利变化或者电信运营商对信息化建设的投资规模大幅下 降，将对公司的盈利能力产生较大不利影响。</w:t>
      </w:r>
    </w:p>
    <w:p>
      <w:pPr>
        <w:pStyle w:val="Style41"/>
        <w:keepNext w:val="0"/>
        <w:keepLines w:val="0"/>
        <w:widowControl w:val="0"/>
        <w:shd w:val="clear" w:color="auto" w:fill="auto"/>
        <w:bidi w:val="0"/>
        <w:spacing w:before="0" w:after="0" w:line="467" w:lineRule="exact"/>
        <w:ind w:left="0" w:right="0"/>
        <w:jc w:val="both"/>
      </w:pPr>
      <w:r>
        <w:rPr>
          <w:color w:val="000000"/>
          <w:spacing w:val="0"/>
          <w:w w:val="100"/>
          <w:position w:val="0"/>
        </w:rPr>
        <w:t>近年来，虽然运营商也是受到互联网</w:t>
      </w:r>
      <w:r>
        <w:rPr>
          <w:rFonts w:ascii="Times New Roman" w:eastAsia="Times New Roman" w:hAnsi="Times New Roman" w:cs="Times New Roman"/>
          <w:color w:val="000000"/>
          <w:spacing w:val="0"/>
          <w:w w:val="100"/>
          <w:position w:val="0"/>
          <w:sz w:val="18"/>
          <w:szCs w:val="18"/>
        </w:rPr>
        <w:t>OTT</w:t>
      </w:r>
      <w:r>
        <w:rPr>
          <w:color w:val="000000"/>
          <w:spacing w:val="0"/>
          <w:w w:val="100"/>
          <w:position w:val="0"/>
        </w:rPr>
        <w:t>冲击，但作为影响国计民生的重要行业，且用户和业务规模巨大、网络建设演 进迅速，运营软件和服务投入一直很大。公司营收占运营商该项投资的比例仍有巨大的提升空间。公司对大中企业</w:t>
      </w:r>
      <w:r>
        <w:rPr>
          <w:rFonts w:ascii="Times New Roman" w:eastAsia="Times New Roman" w:hAnsi="Times New Roman" w:cs="Times New Roman"/>
          <w:color w:val="000000"/>
          <w:spacing w:val="0"/>
          <w:w w:val="100"/>
          <w:position w:val="0"/>
          <w:sz w:val="18"/>
          <w:szCs w:val="18"/>
        </w:rPr>
        <w:t>ICT</w:t>
      </w:r>
      <w:r>
        <w:rPr>
          <w:color w:val="000000"/>
          <w:spacing w:val="0"/>
          <w:w w:val="100"/>
          <w:position w:val="0"/>
        </w:rPr>
        <w:t>运营 环境及与互联网运维环境的区别有深入了解，积累了完善丰富的产品、方案、方法和队伍。同时，公司一直跟进新技术演进、 特别是运营管理的影响，已经研发面向新架构、新环境、新运维理念的产品和方案，并在项目中得到了实践验证和客户认可。 公司有信心、有实力在急剧变化、危中有机的</w:t>
      </w:r>
      <w:r>
        <w:rPr>
          <w:rFonts w:ascii="Times New Roman" w:eastAsia="Times New Roman" w:hAnsi="Times New Roman" w:cs="Times New Roman"/>
          <w:color w:val="000000"/>
          <w:spacing w:val="0"/>
          <w:w w:val="100"/>
          <w:position w:val="0"/>
          <w:sz w:val="18"/>
          <w:szCs w:val="18"/>
        </w:rPr>
        <w:t>ICT</w:t>
      </w:r>
      <w:r>
        <w:rPr>
          <w:color w:val="000000"/>
          <w:spacing w:val="0"/>
          <w:w w:val="100"/>
          <w:position w:val="0"/>
        </w:rPr>
        <w:t>运营管理软件和服务市场中，抓住机遇，保持和扩大市场份额和领导地位。 公司将基于既有产品、业务和客户优势，交付更为先进、实用的产品和服务，为电信客户降本增效、开源节流做出积极贡献， 以产品和服务的价值和成效，提升客户满意度和业务粘性，进一步确立在</w:t>
      </w:r>
      <w:r>
        <w:rPr>
          <w:rFonts w:ascii="Times New Roman" w:eastAsia="Times New Roman" w:hAnsi="Times New Roman" w:cs="Times New Roman"/>
          <w:color w:val="000000"/>
          <w:spacing w:val="0"/>
          <w:w w:val="100"/>
          <w:position w:val="0"/>
          <w:sz w:val="18"/>
          <w:szCs w:val="18"/>
        </w:rPr>
        <w:t>ICT</w:t>
      </w:r>
      <w:r>
        <w:rPr>
          <w:color w:val="000000"/>
          <w:spacing w:val="0"/>
          <w:w w:val="100"/>
          <w:position w:val="0"/>
        </w:rPr>
        <w:t>运营管理领域的技术优势和领先地位。</w:t>
      </w:r>
    </w:p>
    <w:p>
      <w:pPr>
        <w:pStyle w:val="Style41"/>
        <w:keepNext w:val="0"/>
        <w:keepLines w:val="0"/>
        <w:widowControl w:val="0"/>
        <w:shd w:val="clear" w:color="auto" w:fill="auto"/>
        <w:tabs>
          <w:tab w:pos="669" w:val="left"/>
        </w:tabs>
        <w:bidi w:val="0"/>
        <w:spacing w:before="0" w:after="0" w:line="467" w:lineRule="exact"/>
        <w:ind w:left="0" w:right="0"/>
        <w:jc w:val="both"/>
      </w:pPr>
      <w:bookmarkStart w:id="399" w:name="bookmark399"/>
      <w:r>
        <w:rPr>
          <w:rFonts w:ascii="Times New Roman" w:eastAsia="Times New Roman" w:hAnsi="Times New Roman" w:cs="Times New Roman"/>
          <w:b/>
          <w:bCs/>
          <w:color w:val="000000"/>
          <w:spacing w:val="0"/>
          <w:w w:val="100"/>
          <w:position w:val="0"/>
          <w:sz w:val="18"/>
          <w:szCs w:val="18"/>
        </w:rPr>
        <w:t>4</w:t>
      </w:r>
      <w:bookmarkEnd w:id="399"/>
      <w:r>
        <w:rPr>
          <w:b/>
          <w:bCs/>
          <w:color w:val="000000"/>
          <w:spacing w:val="0"/>
          <w:w w:val="100"/>
          <w:position w:val="0"/>
        </w:rPr>
        <w:t>、</w:t>
        <w:tab/>
        <w:t>手机游戏开发与运营风险</w:t>
      </w:r>
    </w:p>
    <w:p>
      <w:pPr>
        <w:pStyle w:val="Style41"/>
        <w:keepNext w:val="0"/>
        <w:keepLines w:val="0"/>
        <w:widowControl w:val="0"/>
        <w:shd w:val="clear" w:color="auto" w:fill="auto"/>
        <w:bidi w:val="0"/>
        <w:spacing w:before="0" w:after="0" w:line="467" w:lineRule="exact"/>
        <w:ind w:left="0" w:right="0"/>
        <w:jc w:val="both"/>
      </w:pPr>
      <w:r>
        <w:rPr>
          <w:color w:val="000000"/>
          <w:spacing w:val="0"/>
          <w:w w:val="100"/>
          <w:position w:val="0"/>
        </w:rPr>
        <w:t>游戏产品具有更新快、可模仿性较高、玩家喜好转换快、市场竞争激烈等特点，如果公司无法持续推出受玩家认可的成 功的游戏产品，或由于游戏研发周期延长、推广时间延长等原因造成游戏无法按计划推出，从而造成老游戏盈利能力出现下 滑时，新游戏无法成功按时推出难以弥补老游戏收入的下滑，则将对公司的运营产生不利影响。</w:t>
      </w:r>
    </w:p>
    <w:p>
      <w:pPr>
        <w:pStyle w:val="Style41"/>
        <w:keepNext w:val="0"/>
        <w:keepLines w:val="0"/>
        <w:widowControl w:val="0"/>
        <w:shd w:val="clear" w:color="auto" w:fill="auto"/>
        <w:bidi w:val="0"/>
        <w:spacing w:before="0" w:after="0" w:line="467" w:lineRule="exact"/>
        <w:ind w:left="0" w:right="0"/>
        <w:jc w:val="both"/>
      </w:pPr>
      <w:r>
        <w:rPr>
          <w:color w:val="000000"/>
          <w:spacing w:val="0"/>
          <w:w w:val="100"/>
          <w:position w:val="0"/>
        </w:rPr>
        <w:t>网络游戏受到工业信息、文化和新闻出版等部门的监管，在中国境内从事移动网络游戏运营的，需要取得该等部门的许 可。公司新开发的游戏产品若无法通过备案审核或审批，则可能存在游戏产品无法顺利上线的风险。</w:t>
      </w:r>
      <w:r>
        <w:rPr>
          <w:rFonts w:ascii="Times New Roman" w:eastAsia="Times New Roman" w:hAnsi="Times New Roman" w:cs="Times New Roman"/>
          <w:color w:val="000000"/>
          <w:spacing w:val="0"/>
          <w:w w:val="100"/>
          <w:position w:val="0"/>
          <w:sz w:val="18"/>
          <w:szCs w:val="18"/>
        </w:rPr>
        <w:t>2016</w:t>
      </w:r>
      <w:r>
        <w:rPr>
          <w:color w:val="000000"/>
          <w:spacing w:val="0"/>
          <w:w w:val="100"/>
          <w:position w:val="0"/>
        </w:rPr>
        <w:t>年国家出台的版号 新规及上线资质等政策，增强了对移动游戏行业的监管，对产品上市周期、开发及运营成本都有所影响。另外，我国尚未有 法律法规监管虚拟资产的产权，而游戏公司大部分收入来自虚拟物品销售，若是政策发生变动，限制虚拟货币和资产业务， 公司的经营业绩、财务状态及业务前景可能承受重大不利影响。</w:t>
      </w:r>
    </w:p>
    <w:p>
      <w:pPr>
        <w:pStyle w:val="Style41"/>
        <w:keepNext w:val="0"/>
        <w:keepLines w:val="0"/>
        <w:widowControl w:val="0"/>
        <w:shd w:val="clear" w:color="auto" w:fill="auto"/>
        <w:bidi w:val="0"/>
        <w:spacing w:before="0" w:after="260" w:line="467" w:lineRule="exact"/>
        <w:ind w:left="0" w:right="0"/>
        <w:jc w:val="both"/>
      </w:pPr>
      <w:r>
        <w:rPr>
          <w:color w:val="000000"/>
          <w:spacing w:val="0"/>
          <w:w w:val="100"/>
          <w:position w:val="0"/>
        </w:rPr>
        <w:t>公司将充分发挥自身优势和技术实力，积极调整战略部署，重点打造领先市场需求的新型精品游戏，重点发行全球优势 市场。公司坚持先海外再国内的运营策略，先着力发挥海外优势，深耕海外市场。在海外市场发行运营的同时，着手国内上 线前的各种资质申请和其他准备工作，推进国内游戏的上线发行。公司时刻关注行业最新的法律法规，严格遵守国家制定的 法律法规，确保自身业务和经营的合法合规。</w:t>
      </w:r>
    </w:p>
    <w:p>
      <w:pPr>
        <w:pStyle w:val="Style41"/>
        <w:keepNext w:val="0"/>
        <w:keepLines w:val="0"/>
        <w:widowControl w:val="0"/>
        <w:shd w:val="clear" w:color="auto" w:fill="auto"/>
        <w:tabs>
          <w:tab w:pos="669" w:val="left"/>
        </w:tabs>
        <w:bidi w:val="0"/>
        <w:spacing w:before="0" w:after="0" w:line="542" w:lineRule="auto"/>
        <w:ind w:left="0" w:right="0"/>
        <w:jc w:val="both"/>
      </w:pPr>
      <w:bookmarkStart w:id="400" w:name="bookmark400"/>
      <w:r>
        <w:rPr>
          <w:rFonts w:ascii="Times New Roman" w:eastAsia="Times New Roman" w:hAnsi="Times New Roman" w:cs="Times New Roman"/>
          <w:b/>
          <w:bCs/>
          <w:color w:val="000000"/>
          <w:spacing w:val="0"/>
          <w:w w:val="100"/>
          <w:position w:val="0"/>
          <w:sz w:val="18"/>
          <w:szCs w:val="18"/>
        </w:rPr>
        <w:t>5</w:t>
      </w:r>
      <w:bookmarkEnd w:id="400"/>
      <w:r>
        <w:rPr>
          <w:b/>
          <w:bCs/>
          <w:color w:val="000000"/>
          <w:spacing w:val="0"/>
          <w:w w:val="100"/>
          <w:position w:val="0"/>
        </w:rPr>
        <w:t>、</w:t>
        <w:tab/>
        <w:t>应收款项管理风险</w:t>
      </w:r>
    </w:p>
    <w:p>
      <w:pPr>
        <w:pStyle w:val="Style41"/>
        <w:keepNext w:val="0"/>
        <w:keepLines w:val="0"/>
        <w:widowControl w:val="0"/>
        <w:shd w:val="clear" w:color="auto" w:fill="auto"/>
        <w:bidi w:val="0"/>
        <w:spacing w:before="0" w:after="0" w:line="467" w:lineRule="exact"/>
        <w:ind w:left="0" w:right="0"/>
        <w:jc w:val="both"/>
      </w:pPr>
      <w:r>
        <w:rPr>
          <w:color w:val="000000"/>
          <w:spacing w:val="0"/>
          <w:w w:val="100"/>
          <w:position w:val="0"/>
        </w:rPr>
        <w:t>公司各业务板块（除游戏外），主要客户类型集中在电信运营商、银行等金融行业、其他大型央企及政府事业单位等， 项目一般规模较大，交付、验收、结算周期相对较长，相应带来的应收账款的回款速度相对较慢。对此，公司将进一步加强 项目管理体系建设、进一步提升交付质量，持续加强与客户的沟通交流，提升客户体验、增强客户满意度。</w:t>
      </w:r>
    </w:p>
    <w:p>
      <w:pPr>
        <w:pStyle w:val="Style41"/>
        <w:keepNext w:val="0"/>
        <w:keepLines w:val="0"/>
        <w:widowControl w:val="0"/>
        <w:shd w:val="clear" w:color="auto" w:fill="auto"/>
        <w:tabs>
          <w:tab w:pos="669" w:val="left"/>
        </w:tabs>
        <w:bidi w:val="0"/>
        <w:spacing w:before="0" w:after="0" w:line="467" w:lineRule="exact"/>
        <w:ind w:left="0" w:right="0"/>
        <w:jc w:val="both"/>
      </w:pPr>
      <w:bookmarkStart w:id="401" w:name="bookmark401"/>
      <w:r>
        <w:rPr>
          <w:rFonts w:ascii="Times New Roman" w:eastAsia="Times New Roman" w:hAnsi="Times New Roman" w:cs="Times New Roman"/>
          <w:b/>
          <w:bCs/>
          <w:color w:val="000000"/>
          <w:spacing w:val="0"/>
          <w:w w:val="100"/>
          <w:position w:val="0"/>
          <w:sz w:val="18"/>
          <w:szCs w:val="18"/>
        </w:rPr>
        <w:t>6</w:t>
      </w:r>
      <w:bookmarkEnd w:id="401"/>
      <w:r>
        <w:rPr>
          <w:b/>
          <w:bCs/>
          <w:color w:val="000000"/>
          <w:spacing w:val="0"/>
          <w:w w:val="100"/>
          <w:position w:val="0"/>
        </w:rPr>
        <w:t>、</w:t>
        <w:tab/>
        <w:t>对高端人才的持续需求风险</w:t>
      </w:r>
    </w:p>
    <w:p>
      <w:pPr>
        <w:pStyle w:val="Style41"/>
        <w:keepNext w:val="0"/>
        <w:keepLines w:val="0"/>
        <w:widowControl w:val="0"/>
        <w:shd w:val="clear" w:color="auto" w:fill="auto"/>
        <w:bidi w:val="0"/>
        <w:spacing w:before="0" w:after="0" w:line="467" w:lineRule="exact"/>
        <w:ind w:left="0" w:right="0"/>
        <w:jc w:val="both"/>
      </w:pPr>
      <w:r>
        <w:rPr>
          <w:color w:val="000000"/>
          <w:spacing w:val="0"/>
          <w:w w:val="100"/>
          <w:position w:val="0"/>
        </w:rPr>
        <w:t>公司属于知识密集型、智力密集型行业，高端人才储备不足将制约着企业的进一步发展，尤其是在人工智能、物联网领 域的人才竞争更是激烈。随着公司业务规模不断扩大，新技术演进层出不穷，对软件高级技术人员、营销人员和管理人员具 有较大的需求。如何保持现有技术队伍和管理层的稳定、提高业务人员专业水平和综合素质、培养和引进优秀人才，对公司</w:t>
      </w:r>
    </w:p>
    <w:p>
      <w:pPr>
        <w:pStyle w:val="Style212"/>
        <w:keepNext w:val="0"/>
        <w:keepLines w:val="0"/>
        <w:widowControl w:val="0"/>
        <w:shd w:val="clear" w:color="auto" w:fill="auto"/>
        <w:bidi w:val="0"/>
        <w:spacing w:before="0" w:after="0" w:line="240" w:lineRule="auto"/>
        <w:ind w:left="0" w:right="0" w:firstLine="0"/>
        <w:jc w:val="left"/>
      </w:pPr>
      <w:r>
        <w:rPr>
          <w:spacing w:val="0"/>
          <w:w w:val="100"/>
          <w:position w:val="0"/>
        </w:rPr>
        <w:t>Ultrapoiuer</w:t>
      </w:r>
    </w:p>
    <w:p>
      <w:pPr>
        <w:pStyle w:val="Style41"/>
        <w:keepNext w:val="0"/>
        <w:keepLines w:val="0"/>
        <w:widowControl w:val="0"/>
        <w:pBdr>
          <w:top w:val="single" w:sz="4" w:space="0" w:color="auto"/>
        </w:pBdr>
        <w:shd w:val="clear" w:color="auto" w:fill="auto"/>
        <w:bidi w:val="0"/>
        <w:spacing w:before="0" w:after="260" w:line="467" w:lineRule="exact"/>
        <w:ind w:left="0" w:right="0" w:firstLine="820"/>
        <w:jc w:val="both"/>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 的快速发展至关重要。为此，公司将始终坚持</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高绩效、高贡献、高回报</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的人才发展观，通过提升薪资竞争力提高人才的吸 引力，通过为员工创造良好的职业发展环境、营造适宜的企业文化氛围等系统性的措施来吸引、留住和激励人才。</w:t>
      </w:r>
    </w:p>
    <w:p>
      <w:pPr>
        <w:pStyle w:val="Style41"/>
        <w:keepNext w:val="0"/>
        <w:keepLines w:val="0"/>
        <w:widowControl w:val="0"/>
        <w:shd w:val="clear" w:color="auto" w:fill="auto"/>
        <w:tabs>
          <w:tab w:pos="727" w:val="left"/>
        </w:tabs>
        <w:bidi w:val="0"/>
        <w:spacing w:before="0" w:after="0" w:line="542" w:lineRule="auto"/>
        <w:ind w:left="0" w:right="0"/>
        <w:jc w:val="both"/>
      </w:pPr>
      <w:bookmarkStart w:id="402" w:name="bookmark402"/>
      <w:r>
        <w:rPr>
          <w:rFonts w:ascii="Times New Roman" w:eastAsia="Times New Roman" w:hAnsi="Times New Roman" w:cs="Times New Roman"/>
          <w:b/>
          <w:bCs/>
          <w:color w:val="000000"/>
          <w:spacing w:val="0"/>
          <w:w w:val="100"/>
          <w:position w:val="0"/>
          <w:sz w:val="18"/>
          <w:szCs w:val="18"/>
        </w:rPr>
        <w:t>7</w:t>
      </w:r>
      <w:bookmarkEnd w:id="402"/>
      <w:r>
        <w:rPr>
          <w:b/>
          <w:bCs/>
          <w:color w:val="000000"/>
          <w:spacing w:val="0"/>
          <w:w w:val="100"/>
          <w:position w:val="0"/>
        </w:rPr>
        <w:t>、</w:t>
        <w:tab/>
        <w:t>商誉减值风险</w:t>
      </w:r>
    </w:p>
    <w:p>
      <w:pPr>
        <w:pStyle w:val="Style41"/>
        <w:keepNext w:val="0"/>
        <w:keepLines w:val="0"/>
        <w:widowControl w:val="0"/>
        <w:shd w:val="clear" w:color="auto" w:fill="auto"/>
        <w:bidi w:val="0"/>
        <w:spacing w:before="0" w:after="0" w:line="467" w:lineRule="exact"/>
        <w:ind w:left="0" w:right="0"/>
        <w:jc w:val="both"/>
      </w:pPr>
      <w:r>
        <w:rPr>
          <w:color w:val="000000"/>
          <w:spacing w:val="0"/>
          <w:w w:val="100"/>
          <w:position w:val="0"/>
        </w:rPr>
        <w:t>投资并购是企业发展的重要方式之一，由此也带来商誉金额的增加。如果未来受宏观经济形势变化、整体行业萎靡、市 场拓展、内部管理或其他原因导致相关公司未来经营状况未达预期，则公司可能存在商誉减值风险，从而对公司当期业绩造 成不利影响。</w:t>
      </w:r>
    </w:p>
    <w:p>
      <w:pPr>
        <w:pStyle w:val="Style41"/>
        <w:keepNext w:val="0"/>
        <w:keepLines w:val="0"/>
        <w:widowControl w:val="0"/>
        <w:shd w:val="clear" w:color="auto" w:fill="auto"/>
        <w:bidi w:val="0"/>
        <w:spacing w:before="0" w:after="0" w:line="467" w:lineRule="exact"/>
        <w:ind w:left="0" w:right="0"/>
        <w:jc w:val="both"/>
      </w:pPr>
      <w:r>
        <w:rPr>
          <w:color w:val="000000"/>
          <w:spacing w:val="0"/>
          <w:w w:val="100"/>
          <w:position w:val="0"/>
        </w:rPr>
        <w:t>公司已充分意识到潜在的商誉减值风险，为此公司：（</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）积极加强公司并购后的资源、文化融合，形成协同效应，努 力实现预期盈利目标，最大限度地降低商誉减值风险；（</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）通过跟踪关注并购公司的经营情况及行业趋势，通过业务、管 理等方面的协同共进，加强内部子公司管理，强化投后管理管控；（</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）通过规范运作、风险把控、业务整体筹划等措施， 持续提升公司的核心竞争力，促进并购公司业绩的持续增长，避免商誉减值风险发生。</w:t>
      </w:r>
    </w:p>
    <w:p>
      <w:pPr>
        <w:pStyle w:val="Style41"/>
        <w:keepNext w:val="0"/>
        <w:keepLines w:val="0"/>
        <w:widowControl w:val="0"/>
        <w:shd w:val="clear" w:color="auto" w:fill="auto"/>
        <w:tabs>
          <w:tab w:pos="727" w:val="left"/>
        </w:tabs>
        <w:bidi w:val="0"/>
        <w:spacing w:before="0" w:after="0" w:line="467" w:lineRule="exact"/>
        <w:ind w:left="0" w:right="0"/>
        <w:jc w:val="both"/>
      </w:pPr>
      <w:bookmarkStart w:id="403" w:name="bookmark403"/>
      <w:r>
        <w:rPr>
          <w:rFonts w:ascii="Times New Roman" w:eastAsia="Times New Roman" w:hAnsi="Times New Roman" w:cs="Times New Roman"/>
          <w:b/>
          <w:bCs/>
          <w:color w:val="000000"/>
          <w:spacing w:val="0"/>
          <w:w w:val="100"/>
          <w:position w:val="0"/>
          <w:sz w:val="18"/>
          <w:szCs w:val="18"/>
        </w:rPr>
        <w:t>8</w:t>
      </w:r>
      <w:bookmarkEnd w:id="403"/>
      <w:r>
        <w:rPr>
          <w:b/>
          <w:bCs/>
          <w:color w:val="000000"/>
          <w:spacing w:val="0"/>
          <w:w w:val="100"/>
          <w:position w:val="0"/>
        </w:rPr>
        <w:t>、</w:t>
        <w:tab/>
        <w:t>长期股权投资减值风险及公允价值变动风险</w:t>
      </w:r>
    </w:p>
    <w:p>
      <w:pPr>
        <w:pStyle w:val="Style41"/>
        <w:keepNext w:val="0"/>
        <w:keepLines w:val="0"/>
        <w:widowControl w:val="0"/>
        <w:shd w:val="clear" w:color="auto" w:fill="auto"/>
        <w:bidi w:val="0"/>
        <w:spacing w:before="0" w:after="0" w:line="467" w:lineRule="exact"/>
        <w:ind w:left="0" w:right="0"/>
        <w:jc w:val="both"/>
      </w:pPr>
      <w:r>
        <w:rPr>
          <w:color w:val="000000"/>
          <w:spacing w:val="0"/>
          <w:w w:val="100"/>
          <w:position w:val="0"/>
        </w:rPr>
        <w:t>截至本报告期，公司长期股权投资金额、其他非流动金融资产金额分别为</w:t>
      </w:r>
      <w:r>
        <w:rPr>
          <w:rFonts w:ascii="Times New Roman" w:eastAsia="Times New Roman" w:hAnsi="Times New Roman" w:cs="Times New Roman"/>
          <w:color w:val="000000"/>
          <w:spacing w:val="0"/>
          <w:w w:val="100"/>
          <w:position w:val="0"/>
          <w:sz w:val="18"/>
          <w:szCs w:val="18"/>
        </w:rPr>
        <w:t>1.25</w:t>
      </w:r>
      <w:r>
        <w:rPr>
          <w:color w:val="000000"/>
          <w:spacing w:val="0"/>
          <w:w w:val="100"/>
          <w:position w:val="0"/>
        </w:rPr>
        <w:t>亿元、</w:t>
      </w:r>
      <w:r>
        <w:rPr>
          <w:rFonts w:ascii="Times New Roman" w:eastAsia="Times New Roman" w:hAnsi="Times New Roman" w:cs="Times New Roman"/>
          <w:color w:val="000000"/>
          <w:spacing w:val="0"/>
          <w:w w:val="100"/>
          <w:position w:val="0"/>
          <w:sz w:val="18"/>
          <w:szCs w:val="18"/>
        </w:rPr>
        <w:t>1.78</w:t>
      </w:r>
      <w:r>
        <w:rPr>
          <w:color w:val="000000"/>
          <w:spacing w:val="0"/>
          <w:w w:val="100"/>
          <w:position w:val="0"/>
        </w:rPr>
        <w:t>亿元（所涉及公司参见本报告 中财务注释部分相关内容），如果所涉公司未来受宏观经济形势变化、整体行业萎靡、市场拓展、内部管理或其他原因导致 经营状况不佳，将有可能导致公司存在减值风险，从而对公司当期损益造成影响。</w:t>
      </w:r>
    </w:p>
    <w:p>
      <w:pPr>
        <w:pStyle w:val="Style41"/>
        <w:keepNext w:val="0"/>
        <w:keepLines w:val="0"/>
        <w:widowControl w:val="0"/>
        <w:shd w:val="clear" w:color="auto" w:fill="auto"/>
        <w:bidi w:val="0"/>
        <w:spacing w:before="0" w:after="440" w:line="467" w:lineRule="exact"/>
        <w:ind w:left="0" w:right="0"/>
        <w:jc w:val="both"/>
      </w:pPr>
      <w:r>
        <w:rPr>
          <w:color w:val="000000"/>
          <w:spacing w:val="0"/>
          <w:w w:val="100"/>
          <w:position w:val="0"/>
        </w:rPr>
        <w:t>为此，公司将不断加强对外股权投资的监督管理，降低和规避对外投资风险，并提高与其他出资方协作监督管理的效率， 依法行使出资人的权利，维护公司利益以及全体股东的合法权益。</w:t>
      </w:r>
    </w:p>
    <w:p>
      <w:pPr>
        <w:pStyle w:val="Style39"/>
        <w:keepNext/>
        <w:keepLines/>
        <w:widowControl w:val="0"/>
        <w:shd w:val="clear" w:color="auto" w:fill="auto"/>
        <w:bidi w:val="0"/>
        <w:spacing w:before="0" w:after="440" w:line="240" w:lineRule="auto"/>
        <w:ind w:left="0" w:right="0" w:firstLine="0"/>
        <w:jc w:val="left"/>
      </w:pPr>
      <w:bookmarkStart w:id="404" w:name="bookmark404"/>
      <w:bookmarkStart w:id="405" w:name="bookmark405"/>
      <w:bookmarkStart w:id="406" w:name="bookmark406"/>
      <w:r>
        <w:rPr>
          <w:color w:val="000000"/>
          <w:spacing w:val="0"/>
          <w:w w:val="100"/>
          <w:position w:val="0"/>
          <w:sz w:val="24"/>
          <w:szCs w:val="24"/>
        </w:rPr>
        <w:t>十、接待调研、沟通、采访等活动登记表</w:t>
      </w:r>
      <w:bookmarkEnd w:id="404"/>
      <w:bookmarkEnd w:id="405"/>
      <w:bookmarkEnd w:id="406"/>
    </w:p>
    <w:p>
      <w:pPr>
        <w:pStyle w:val="Style47"/>
        <w:keepNext/>
        <w:keepLines/>
        <w:widowControl w:val="0"/>
        <w:shd w:val="clear" w:color="auto" w:fill="auto"/>
        <w:bidi w:val="0"/>
        <w:spacing w:before="0" w:after="260" w:line="240" w:lineRule="auto"/>
        <w:ind w:left="0" w:right="0" w:firstLine="0"/>
        <w:jc w:val="left"/>
      </w:pPr>
      <w:bookmarkStart w:id="407" w:name="bookmark407"/>
      <w:bookmarkStart w:id="408" w:name="bookmark408"/>
      <w:bookmarkStart w:id="409" w:name="bookmark409"/>
      <w:bookmarkStart w:id="410" w:name="bookmark410"/>
      <w:r>
        <w:rPr>
          <w:color w:val="000000"/>
          <w:spacing w:val="0"/>
          <w:w w:val="100"/>
          <w:position w:val="0"/>
        </w:rPr>
        <w:t>1</w:t>
      </w:r>
      <w:bookmarkEnd w:id="409"/>
      <w:r>
        <w:rPr>
          <w:color w:val="000000"/>
          <w:spacing w:val="0"/>
          <w:w w:val="100"/>
          <w:position w:val="0"/>
        </w:rPr>
        <w:t>、报告期内接待调研、沟通、采访等活动登记表</w:t>
      </w:r>
      <w:bookmarkEnd w:id="407"/>
      <w:bookmarkEnd w:id="408"/>
      <w:bookmarkEnd w:id="410"/>
    </w:p>
    <w:p>
      <w:pPr>
        <w:pStyle w:val="Style41"/>
        <w:keepNext w:val="0"/>
        <w:keepLines w:val="0"/>
        <w:widowControl w:val="0"/>
        <w:shd w:val="clear" w:color="auto" w:fill="auto"/>
        <w:bidi w:val="0"/>
        <w:spacing w:before="0" w:after="0" w:line="542"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b/>
          <w:bCs/>
          <w:color w:val="000000"/>
          <w:spacing w:val="0"/>
          <w:w w:val="100"/>
          <w:position w:val="0"/>
          <w:sz w:val="19"/>
          <w:szCs w:val="19"/>
        </w:rPr>
        <w:t>寸</w:t>
      </w:r>
      <w:r>
        <w:rPr>
          <w:b/>
          <w:bCs/>
          <w:color w:val="000000"/>
          <w:spacing w:val="0"/>
          <w:w w:val="100"/>
          <w:position w:val="0"/>
        </w:rPr>
        <w:t>不适用</w:t>
      </w:r>
    </w:p>
    <w:p>
      <w:pPr>
        <w:pStyle w:val="Style41"/>
        <w:keepNext w:val="0"/>
        <w:keepLines w:val="0"/>
        <w:widowControl w:val="0"/>
        <w:shd w:val="clear" w:color="auto" w:fill="auto"/>
        <w:bidi w:val="0"/>
        <w:spacing w:before="0" w:after="260" w:line="467" w:lineRule="exact"/>
        <w:ind w:left="0" w:right="0" w:firstLine="0"/>
        <w:jc w:val="left"/>
        <w:sectPr>
          <w:headerReference w:type="default" r:id="rId171"/>
          <w:footerReference w:type="default" r:id="rId172"/>
          <w:headerReference w:type="even" r:id="rId173"/>
          <w:footerReference w:type="even" r:id="rId174"/>
          <w:footnotePr>
            <w:pos w:val="pageBottom"/>
            <w:numFmt w:val="decimal"/>
            <w:numRestart w:val="continuous"/>
          </w:footnotePr>
          <w:pgSz w:w="11904" w:h="17375"/>
          <w:pgMar w:top="1070" w:right="1017" w:bottom="1533" w:left="1099" w:header="642" w:footer="3" w:gutter="0"/>
          <w:cols w:space="720"/>
          <w:noEndnote/>
          <w:rtlGutter w:val="0"/>
          <w:docGrid w:linePitch="360"/>
        </w:sectPr>
      </w:pPr>
      <w:r>
        <w:rPr>
          <w:color w:val="000000"/>
          <w:spacing w:val="0"/>
          <w:w w:val="100"/>
          <w:position w:val="0"/>
        </w:rPr>
        <w:t>公司报告期内未发生接待调研、沟通、采访等活动。</w:t>
      </w:r>
    </w:p>
    <w:p>
      <w:pPr>
        <w:pStyle w:val="Style212"/>
        <w:keepNext w:val="0"/>
        <w:keepLines w:val="0"/>
        <w:widowControl w:val="0"/>
        <w:shd w:val="clear" w:color="auto" w:fill="auto"/>
        <w:bidi w:val="0"/>
        <w:spacing w:before="0" w:after="0" w:line="240" w:lineRule="auto"/>
        <w:ind w:left="0" w:right="0" w:firstLine="0"/>
        <w:jc w:val="left"/>
      </w:pPr>
      <w:r>
        <w:rPr>
          <w:spacing w:val="0"/>
          <w:w w:val="100"/>
          <w:position w:val="0"/>
        </w:rPr>
        <w:t>Ultrapouuer</w:t>
      </w:r>
    </w:p>
    <w:p>
      <w:pPr>
        <w:pStyle w:val="Style41"/>
        <w:keepNext w:val="0"/>
        <w:keepLines w:val="0"/>
        <w:widowControl w:val="0"/>
        <w:shd w:val="clear" w:color="auto" w:fill="auto"/>
        <w:bidi w:val="0"/>
        <w:spacing w:before="0" w:after="600" w:line="240" w:lineRule="auto"/>
        <w:ind w:left="0" w:right="0" w:firstLine="0"/>
        <w:jc w:val="both"/>
      </w:pPr>
      <w:bookmarkStart w:id="411" w:name="bookmark411"/>
      <w:r>
        <w:rPr>
          <w:b/>
          <w:bCs/>
          <w:i/>
          <w:iCs/>
          <w:color w:val="6DB14A"/>
          <w:spacing w:val="0"/>
          <w:w w:val="100"/>
          <w:position w:val="0"/>
          <w:sz w:val="18"/>
          <w:szCs w:val="18"/>
        </w:rPr>
        <w:t>、、</w:t>
      </w:r>
      <w:r>
        <w:rPr>
          <w:b/>
          <w:bCs/>
          <w:color w:val="6DB14A"/>
          <w:spacing w:val="0"/>
          <w:w w:val="100"/>
          <w:position w:val="0"/>
        </w:rPr>
        <w:t>一^</w:t>
      </w:r>
      <w:r>
        <w:rPr>
          <w:b/>
          <w:bCs/>
          <w:color w:val="5199CB"/>
          <w:spacing w:val="0"/>
          <w:w w:val="100"/>
          <w:position w:val="0"/>
        </w:rPr>
        <w:t>神州泰岳</w:t>
      </w:r>
      <w:bookmarkEnd w:id="411"/>
    </w:p>
    <w:p>
      <w:pPr>
        <w:pStyle w:val="Style7"/>
        <w:keepNext/>
        <w:keepLines/>
        <w:widowControl w:val="0"/>
        <w:shd w:val="clear" w:color="auto" w:fill="auto"/>
        <w:bidi w:val="0"/>
        <w:spacing w:before="0" w:after="520" w:line="240" w:lineRule="auto"/>
        <w:ind w:left="0" w:right="0" w:firstLine="0"/>
        <w:jc w:val="center"/>
      </w:pPr>
      <w:bookmarkStart w:id="412" w:name="bookmark412"/>
      <w:bookmarkStart w:id="413" w:name="bookmark413"/>
      <w:bookmarkStart w:id="414" w:name="bookmark414"/>
      <w:r>
        <w:rPr>
          <w:color w:val="000000"/>
          <w:spacing w:val="0"/>
          <w:w w:val="100"/>
          <w:position w:val="0"/>
        </w:rPr>
        <w:t>第五节重要事项</w:t>
      </w:r>
      <w:bookmarkEnd w:id="412"/>
      <w:bookmarkEnd w:id="413"/>
      <w:bookmarkEnd w:id="414"/>
    </w:p>
    <w:p>
      <w:pPr>
        <w:pStyle w:val="Style39"/>
        <w:keepNext/>
        <w:keepLines/>
        <w:widowControl w:val="0"/>
        <w:shd w:val="clear" w:color="auto" w:fill="auto"/>
        <w:bidi w:val="0"/>
        <w:spacing w:before="0" w:after="180" w:line="240" w:lineRule="auto"/>
        <w:ind w:left="0" w:right="0" w:firstLine="0"/>
        <w:jc w:val="both"/>
      </w:pPr>
      <w:bookmarkStart w:id="415" w:name="bookmark415"/>
      <w:bookmarkStart w:id="416" w:name="bookmark416"/>
      <w:bookmarkStart w:id="417" w:name="bookmark417"/>
      <w:bookmarkStart w:id="418" w:name="bookmark418"/>
      <w:r>
        <w:rPr>
          <w:color w:val="000000"/>
          <w:spacing w:val="0"/>
          <w:w w:val="100"/>
          <w:position w:val="0"/>
          <w:sz w:val="24"/>
          <w:szCs w:val="24"/>
        </w:rPr>
        <w:t>一</w:t>
      </w:r>
      <w:bookmarkEnd w:id="417"/>
      <w:r>
        <w:rPr>
          <w:color w:val="000000"/>
          <w:spacing w:val="0"/>
          <w:w w:val="100"/>
          <w:position w:val="0"/>
          <w:sz w:val="24"/>
          <w:szCs w:val="24"/>
        </w:rPr>
        <w:t>、公司普通股利润分配及资本公积金转增股本情况</w:t>
      </w:r>
      <w:bookmarkEnd w:id="415"/>
      <w:bookmarkEnd w:id="416"/>
      <w:bookmarkEnd w:id="418"/>
    </w:p>
    <w:p>
      <w:pPr>
        <w:pStyle w:val="Style41"/>
        <w:keepNext w:val="0"/>
        <w:keepLines w:val="0"/>
        <w:widowControl w:val="0"/>
        <w:shd w:val="clear" w:color="auto" w:fill="auto"/>
        <w:bidi w:val="0"/>
        <w:spacing w:before="0" w:after="260" w:line="470" w:lineRule="exact"/>
        <w:ind w:left="0" w:right="0" w:firstLine="0"/>
        <w:jc w:val="both"/>
      </w:pPr>
      <w:r>
        <w:rPr>
          <w:b/>
          <w:bCs/>
          <w:color w:val="000000"/>
          <w:spacing w:val="0"/>
          <w:w w:val="100"/>
          <w:position w:val="0"/>
        </w:rPr>
        <w:t>报告期内普通股利润分配政策，特别是现金分红政策的制定、执行或调整情况</w:t>
      </w:r>
    </w:p>
    <w:p>
      <w:pPr>
        <w:pStyle w:val="Style41"/>
        <w:keepNext w:val="0"/>
        <w:keepLines w:val="0"/>
        <w:widowControl w:val="0"/>
        <w:shd w:val="clear" w:color="auto" w:fill="auto"/>
        <w:bidi w:val="0"/>
        <w:spacing w:before="0" w:after="0" w:line="545" w:lineRule="auto"/>
        <w:ind w:left="0" w:right="0" w:firstLine="0"/>
        <w:jc w:val="both"/>
      </w:pPr>
      <w:r>
        <w:rPr>
          <w:rFonts w:ascii="Times New Roman" w:eastAsia="Times New Roman" w:hAnsi="Times New Roman" w:cs="Times New Roman"/>
          <w:b/>
          <w:bCs/>
          <w:color w:val="000000"/>
          <w:spacing w:val="0"/>
          <w:w w:val="100"/>
          <w:position w:val="0"/>
          <w:sz w:val="18"/>
          <w:szCs w:val="18"/>
        </w:rPr>
        <w:t>V</w:t>
      </w:r>
      <w:r>
        <w:rPr>
          <w:b/>
          <w:bCs/>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41"/>
        <w:keepNext w:val="0"/>
        <w:keepLines w:val="0"/>
        <w:widowControl w:val="0"/>
        <w:shd w:val="clear" w:color="auto" w:fill="auto"/>
        <w:bidi w:val="0"/>
        <w:spacing w:before="0" w:after="120" w:line="470" w:lineRule="exact"/>
        <w:ind w:left="0" w:right="0"/>
        <w:jc w:val="both"/>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19</w:t>
      </w:r>
      <w:r>
        <w:rPr>
          <w:color w:val="000000"/>
          <w:spacing w:val="0"/>
          <w:w w:val="100"/>
          <w:position w:val="0"/>
        </w:rPr>
        <w:t>日，公司</w:t>
      </w:r>
      <w:r>
        <w:rPr>
          <w:rFonts w:ascii="Times New Roman" w:eastAsia="Times New Roman" w:hAnsi="Times New Roman" w:cs="Times New Roman"/>
          <w:color w:val="000000"/>
          <w:spacing w:val="0"/>
          <w:w w:val="100"/>
          <w:position w:val="0"/>
          <w:sz w:val="18"/>
          <w:szCs w:val="18"/>
        </w:rPr>
        <w:t>2019</w:t>
      </w:r>
      <w:r>
        <w:rPr>
          <w:color w:val="000000"/>
          <w:spacing w:val="0"/>
          <w:w w:val="100"/>
          <w:position w:val="0"/>
        </w:rPr>
        <w:t>年度股东大会审议通过了《</w:t>
      </w:r>
      <w:r>
        <w:rPr>
          <w:rFonts w:ascii="Times New Roman" w:eastAsia="Times New Roman" w:hAnsi="Times New Roman" w:cs="Times New Roman"/>
          <w:color w:val="000000"/>
          <w:spacing w:val="0"/>
          <w:w w:val="100"/>
          <w:position w:val="0"/>
          <w:sz w:val="18"/>
          <w:szCs w:val="18"/>
        </w:rPr>
        <w:t>2019</w:t>
      </w:r>
      <w:r>
        <w:rPr>
          <w:color w:val="000000"/>
          <w:spacing w:val="0"/>
          <w:w w:val="100"/>
          <w:position w:val="0"/>
        </w:rPr>
        <w:t>年度利润分配预案》，鉴于</w:t>
      </w:r>
      <w:r>
        <w:rPr>
          <w:rFonts w:ascii="Times New Roman" w:eastAsia="Times New Roman" w:hAnsi="Times New Roman" w:cs="Times New Roman"/>
          <w:color w:val="000000"/>
          <w:spacing w:val="0"/>
          <w:w w:val="100"/>
          <w:position w:val="0"/>
          <w:sz w:val="18"/>
          <w:szCs w:val="18"/>
        </w:rPr>
        <w:t>2019</w:t>
      </w:r>
      <w:r>
        <w:rPr>
          <w:color w:val="000000"/>
          <w:spacing w:val="0"/>
          <w:w w:val="100"/>
          <w:position w:val="0"/>
        </w:rPr>
        <w:t>年末，公司短期借款余额较 大，有一定的偿还压力，同时将持续加大对物联网、</w:t>
      </w:r>
      <w:r>
        <w:rPr>
          <w:rFonts w:ascii="Times New Roman" w:eastAsia="Times New Roman" w:hAnsi="Times New Roman" w:cs="Times New Roman"/>
          <w:color w:val="000000"/>
          <w:spacing w:val="0"/>
          <w:w w:val="100"/>
          <w:position w:val="0"/>
          <w:sz w:val="18"/>
          <w:szCs w:val="18"/>
        </w:rPr>
        <w:t>5G</w:t>
      </w:r>
      <w:r>
        <w:rPr>
          <w:color w:val="000000"/>
          <w:spacing w:val="0"/>
          <w:w w:val="100"/>
          <w:position w:val="0"/>
        </w:rPr>
        <w:t>等方向的投入，现金流较为紧张；根据《公司法》和《公司章程》 的有关规定，公司</w:t>
      </w:r>
      <w:r>
        <w:rPr>
          <w:rFonts w:ascii="Times New Roman" w:eastAsia="Times New Roman" w:hAnsi="Times New Roman" w:cs="Times New Roman"/>
          <w:color w:val="000000"/>
          <w:spacing w:val="0"/>
          <w:w w:val="100"/>
          <w:position w:val="0"/>
          <w:sz w:val="18"/>
          <w:szCs w:val="18"/>
        </w:rPr>
        <w:t>2019</w:t>
      </w:r>
      <w:r>
        <w:rPr>
          <w:color w:val="000000"/>
          <w:spacing w:val="0"/>
          <w:w w:val="100"/>
          <w:position w:val="0"/>
        </w:rPr>
        <w:t>年度利润分配预案为：</w:t>
      </w:r>
      <w:r>
        <w:rPr>
          <w:rFonts w:ascii="Times New Roman" w:eastAsia="Times New Roman" w:hAnsi="Times New Roman" w:cs="Times New Roman"/>
          <w:color w:val="000000"/>
          <w:spacing w:val="0"/>
          <w:w w:val="100"/>
          <w:position w:val="0"/>
          <w:sz w:val="18"/>
          <w:szCs w:val="18"/>
        </w:rPr>
        <w:t>2019</w:t>
      </w:r>
      <w:r>
        <w:rPr>
          <w:color w:val="000000"/>
          <w:spacing w:val="0"/>
          <w:w w:val="100"/>
          <w:position w:val="0"/>
        </w:rPr>
        <w:t>年度不派发现金红利，不送红股，也不进行资本公积金转增股本，未分配 利润结转至下一年度。</w:t>
      </w:r>
    </w:p>
    <w:tbl>
      <w:tblPr>
        <w:tblOverlap w:val="never"/>
        <w:jc w:val="center"/>
        <w:tblLayout w:type="fixed"/>
      </w:tblPr>
      <w:tblGrid>
        <w:gridCol w:w="6557"/>
        <w:gridCol w:w="3154"/>
      </w:tblGrid>
      <w:tr>
        <w:trPr>
          <w:trHeight w:val="403" w:hRule="exact"/>
        </w:trPr>
        <w:tc>
          <w:tcPr>
            <w:gridSpan w:val="2"/>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现金分红政策的专项说明</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是否符合公司章程的规定或股东大会决议的要求：</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分红标准和比例是否明确和清晰：</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相关的决策程序和机制是否完备：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独立董事是否履职尽责并发挥了应有的作用：</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中小股东是否有充分表达意见和诉求的机会，其合法权益是否得到了充分保护：</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现金分红政策进行调整或变更的，条件及程序是否合规、透明：</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不适用</w:t>
            </w:r>
          </w:p>
        </w:tc>
      </w:tr>
    </w:tbl>
    <w:p>
      <w:pPr>
        <w:widowControl w:val="0"/>
        <w:spacing w:after="119" w:line="1" w:lineRule="exact"/>
      </w:pPr>
    </w:p>
    <w:p>
      <w:pPr>
        <w:pStyle w:val="Style41"/>
        <w:keepNext w:val="0"/>
        <w:keepLines w:val="0"/>
        <w:widowControl w:val="0"/>
        <w:shd w:val="clear" w:color="auto" w:fill="auto"/>
        <w:bidi w:val="0"/>
        <w:spacing w:before="0" w:after="260" w:line="240" w:lineRule="auto"/>
        <w:ind w:left="0" w:right="0" w:firstLine="0"/>
        <w:jc w:val="both"/>
      </w:pPr>
      <w:r>
        <w:rPr>
          <w:b/>
          <w:bCs/>
          <w:color w:val="000000"/>
          <w:spacing w:val="0"/>
          <w:w w:val="100"/>
          <w:position w:val="0"/>
        </w:rPr>
        <w:t>公司报告期利润分配预案及资本公积金转增股本预案与公司章程和分红管理办法等的相关规定一致</w:t>
      </w:r>
    </w:p>
    <w:p>
      <w:pPr>
        <w:pStyle w:val="Style41"/>
        <w:keepNext w:val="0"/>
        <w:keepLines w:val="0"/>
        <w:widowControl w:val="0"/>
        <w:shd w:val="clear" w:color="auto" w:fill="auto"/>
        <w:bidi w:val="0"/>
        <w:spacing w:before="0" w:after="260" w:line="240" w:lineRule="auto"/>
        <w:ind w:left="0" w:right="0" w:firstLine="0"/>
        <w:jc w:val="both"/>
      </w:pPr>
      <w:r>
        <w:rPr>
          <w:rFonts w:ascii="Times New Roman" w:eastAsia="Times New Roman" w:hAnsi="Times New Roman" w:cs="Times New Roman"/>
          <w:b/>
          <w:bCs/>
          <w:color w:val="000000"/>
          <w:spacing w:val="0"/>
          <w:w w:val="100"/>
          <w:position w:val="0"/>
          <w:sz w:val="18"/>
          <w:szCs w:val="18"/>
        </w:rPr>
        <w:t>V</w:t>
      </w:r>
      <w:r>
        <w:rPr>
          <w:b/>
          <w:bCs/>
          <w:color w:val="000000"/>
          <w:spacing w:val="0"/>
          <w:w w:val="100"/>
          <w:position w:val="0"/>
        </w:rPr>
        <w:t>是</w:t>
      </w:r>
      <w:r>
        <w:rPr>
          <w:color w:val="000000"/>
          <w:spacing w:val="0"/>
          <w:w w:val="100"/>
          <w:position w:val="0"/>
          <w:sz w:val="18"/>
          <w:szCs w:val="18"/>
        </w:rPr>
        <w:t>口</w:t>
      </w:r>
      <w:r>
        <w:rPr>
          <w:color w:val="000000"/>
          <w:spacing w:val="0"/>
          <w:w w:val="100"/>
          <w:position w:val="0"/>
        </w:rPr>
        <w:t>否</w:t>
      </w:r>
      <w:r>
        <w:rPr>
          <w:color w:val="000000"/>
          <w:spacing w:val="0"/>
          <w:w w:val="100"/>
          <w:position w:val="0"/>
          <w:sz w:val="18"/>
          <w:szCs w:val="18"/>
        </w:rPr>
        <w:t>口</w:t>
      </w:r>
      <w:r>
        <w:rPr>
          <w:color w:val="000000"/>
          <w:spacing w:val="0"/>
          <w:w w:val="100"/>
          <w:position w:val="0"/>
        </w:rPr>
        <w:t>不适用</w:t>
      </w:r>
    </w:p>
    <w:p>
      <w:pPr>
        <w:pStyle w:val="Style41"/>
        <w:keepNext w:val="0"/>
        <w:keepLines w:val="0"/>
        <w:widowControl w:val="0"/>
        <w:shd w:val="clear" w:color="auto" w:fill="auto"/>
        <w:bidi w:val="0"/>
        <w:spacing w:before="0" w:after="260" w:line="240" w:lineRule="auto"/>
        <w:ind w:left="0" w:right="0" w:firstLine="0"/>
        <w:jc w:val="both"/>
      </w:pPr>
      <w:r>
        <w:rPr>
          <w:color w:val="000000"/>
          <w:spacing w:val="0"/>
          <w:w w:val="100"/>
          <w:position w:val="0"/>
        </w:rPr>
        <w:t>公司报告期利润分配预案及资本公积金转增股本预案符合公司章程等的相关规定。</w:t>
      </w:r>
    </w:p>
    <w:p>
      <w:pPr>
        <w:pStyle w:val="Style41"/>
        <w:keepNext w:val="0"/>
        <w:keepLines w:val="0"/>
        <w:widowControl w:val="0"/>
        <w:shd w:val="clear" w:color="auto" w:fill="auto"/>
        <w:bidi w:val="0"/>
        <w:spacing w:before="0" w:after="120" w:line="240" w:lineRule="auto"/>
        <w:ind w:left="0" w:right="0" w:firstLine="0"/>
        <w:jc w:val="both"/>
      </w:pPr>
      <w:r>
        <w:rPr>
          <w:b/>
          <w:bCs/>
          <w:color w:val="000000"/>
          <w:spacing w:val="0"/>
          <w:w w:val="100"/>
          <w:position w:val="0"/>
        </w:rPr>
        <w:t>本年度利润分配及资本公积金转增股本情况</w:t>
      </w:r>
    </w:p>
    <w:tbl>
      <w:tblPr>
        <w:tblOverlap w:val="never"/>
        <w:jc w:val="center"/>
        <w:tblLayout w:type="fixed"/>
      </w:tblPr>
      <w:tblGrid>
        <w:gridCol w:w="3720"/>
        <w:gridCol w:w="5861"/>
      </w:tblGrid>
      <w:tr>
        <w:trPr>
          <w:trHeight w:val="40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每</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股送红股数（股）</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每</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股派息数（元）（含税）</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每</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股转增数（股）</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分配预案的股本基数（股）</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sz w:val="18"/>
                <w:szCs w:val="18"/>
              </w:rPr>
              <w:t>1,935,144,042</w:t>
            </w:r>
            <w:r>
              <w:rPr>
                <w:color w:val="000000"/>
                <w:spacing w:val="0"/>
                <w:w w:val="100"/>
                <w:position w:val="0"/>
              </w:rPr>
              <w:t>股（已剔除回购股份</w:t>
            </w:r>
            <w:r>
              <w:rPr>
                <w:rFonts w:ascii="Times New Roman" w:eastAsia="Times New Roman" w:hAnsi="Times New Roman" w:cs="Times New Roman"/>
                <w:color w:val="000000"/>
                <w:spacing w:val="0"/>
                <w:w w:val="100"/>
                <w:position w:val="0"/>
                <w:sz w:val="18"/>
                <w:szCs w:val="18"/>
              </w:rPr>
              <w:t>25,947,942</w:t>
            </w:r>
            <w:r>
              <w:rPr>
                <w:color w:val="000000"/>
                <w:spacing w:val="0"/>
                <w:w w:val="100"/>
                <w:position w:val="0"/>
              </w:rPr>
              <w:t>股）</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现金分红金额（元）（含税）</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以其他方式（如回购股份）现金分红金额（元）</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4700" w:right="0" w:firstLine="0"/>
              <w:jc w:val="left"/>
              <w:rPr>
                <w:sz w:val="18"/>
                <w:szCs w:val="18"/>
              </w:rPr>
            </w:pPr>
            <w:r>
              <w:rPr>
                <w:rFonts w:ascii="Times New Roman" w:eastAsia="Times New Roman" w:hAnsi="Times New Roman" w:cs="Times New Roman"/>
                <w:color w:val="000000"/>
                <w:spacing w:val="0"/>
                <w:w w:val="100"/>
                <w:position w:val="0"/>
                <w:sz w:val="18"/>
                <w:szCs w:val="18"/>
              </w:rPr>
              <w:t>100,973,450.64</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现金分红总额（含其他方式）（元）</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4700" w:right="0" w:firstLine="0"/>
              <w:jc w:val="left"/>
              <w:rPr>
                <w:sz w:val="18"/>
                <w:szCs w:val="18"/>
              </w:rPr>
            </w:pPr>
            <w:r>
              <w:rPr>
                <w:rFonts w:ascii="Times New Roman" w:eastAsia="Times New Roman" w:hAnsi="Times New Roman" w:cs="Times New Roman"/>
                <w:color w:val="000000"/>
                <w:spacing w:val="0"/>
                <w:w w:val="100"/>
                <w:position w:val="0"/>
                <w:sz w:val="18"/>
                <w:szCs w:val="18"/>
              </w:rPr>
              <w:t>100,973,450.64</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可分配利润（元）</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4700" w:right="0" w:firstLine="0"/>
              <w:jc w:val="left"/>
              <w:rPr>
                <w:sz w:val="18"/>
                <w:szCs w:val="18"/>
              </w:rPr>
            </w:pPr>
            <w:r>
              <w:rPr>
                <w:rFonts w:ascii="Times New Roman" w:eastAsia="Times New Roman" w:hAnsi="Times New Roman" w:cs="Times New Roman"/>
                <w:color w:val="000000"/>
                <w:spacing w:val="0"/>
                <w:w w:val="100"/>
                <w:position w:val="0"/>
                <w:sz w:val="18"/>
                <w:szCs w:val="18"/>
              </w:rPr>
              <w:t>112,750,901.04</w:t>
            </w: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现金分红总额（含其他方式）占利润分配总额 的比例</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100.00%</w:t>
            </w:r>
          </w:p>
        </w:tc>
      </w:tr>
      <w:tr>
        <w:trPr>
          <w:trHeight w:val="408" w:hRule="exact"/>
        </w:trPr>
        <w:tc>
          <w:tcPr>
            <w:gridSpan w:val="2"/>
            <w:tcBorders>
              <w:top w:val="single" w:sz="4"/>
              <w:left w:val="single" w:sz="4"/>
              <w:bottom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本次现金分红情况</w:t>
            </w:r>
          </w:p>
        </w:tc>
      </w:tr>
    </w:tbl>
    <w:p>
      <w:pPr>
        <w:sectPr>
          <w:headerReference w:type="default" r:id="rId175"/>
          <w:footerReference w:type="default" r:id="rId176"/>
          <w:headerReference w:type="even" r:id="rId177"/>
          <w:footerReference w:type="even" r:id="rId178"/>
          <w:footnotePr>
            <w:pos w:val="pageBottom"/>
            <w:numFmt w:val="decimal"/>
            <w:numRestart w:val="continuous"/>
          </w:footnotePr>
          <w:pgSz w:w="11904" w:h="17375"/>
          <w:pgMar w:top="1070" w:right="1094" w:bottom="1425" w:left="1099" w:header="0" w:footer="3" w:gutter="0"/>
          <w:cols w:space="720"/>
          <w:noEndnote/>
          <w:rtlGutter w:val="0"/>
          <w:docGrid w:linePitch="360"/>
        </w:sectPr>
      </w:pPr>
    </w:p>
    <w:p>
      <w:pPr>
        <w:pStyle w:val="Style212"/>
        <w:keepNext w:val="0"/>
        <w:keepLines w:val="0"/>
        <w:widowControl w:val="0"/>
        <w:shd w:val="clear" w:color="auto" w:fill="auto"/>
        <w:bidi w:val="0"/>
        <w:spacing w:before="0" w:after="0" w:line="240" w:lineRule="auto"/>
        <w:ind w:left="0" w:right="0" w:firstLine="0"/>
        <w:jc w:val="left"/>
      </w:pPr>
      <w:r>
        <w:rPr>
          <w:spacing w:val="0"/>
          <w:w w:val="100"/>
          <w:position w:val="0"/>
        </w:rPr>
        <w:t>Ultrapoiuer</w:t>
      </w:r>
    </w:p>
    <w:p>
      <w:pPr>
        <w:pStyle w:val="Style41"/>
        <w:keepNext w:val="0"/>
        <w:keepLines w:val="0"/>
        <w:widowControl w:val="0"/>
        <w:pBdr>
          <w:top w:val="single" w:sz="4" w:space="0" w:color="auto"/>
        </w:pBdr>
        <w:shd w:val="clear" w:color="auto" w:fill="auto"/>
        <w:bidi w:val="0"/>
        <w:spacing w:before="0" w:after="200" w:line="427" w:lineRule="exact"/>
        <w:ind w:left="0" w:right="0" w:firstLine="820"/>
        <w:jc w:val="both"/>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 其他</w:t>
      </w:r>
    </w:p>
    <w:p>
      <w:pPr>
        <w:pStyle w:val="Style41"/>
        <w:keepNext w:val="0"/>
        <w:keepLines w:val="0"/>
        <w:widowControl w:val="0"/>
        <w:pBdr>
          <w:bottom w:val="single" w:sz="4" w:space="0" w:color="auto"/>
        </w:pBdr>
        <w:shd w:val="clear" w:color="auto" w:fill="auto"/>
        <w:bidi w:val="0"/>
        <w:spacing w:before="0" w:after="200" w:line="240" w:lineRule="auto"/>
        <w:ind w:left="0" w:right="0" w:firstLine="0"/>
        <w:jc w:val="center"/>
      </w:pPr>
      <w:r>
        <w:rPr>
          <w:color w:val="000000"/>
          <w:spacing w:val="0"/>
          <w:w w:val="100"/>
          <w:position w:val="0"/>
        </w:rPr>
        <w:t>利润分配或资本公积金转增预案的详细情况说明</w:t>
      </w:r>
    </w:p>
    <w:p>
      <w:pPr>
        <w:pStyle w:val="Style41"/>
        <w:keepNext w:val="0"/>
        <w:keepLines w:val="0"/>
        <w:widowControl w:val="0"/>
        <w:shd w:val="clear" w:color="auto" w:fill="auto"/>
        <w:bidi w:val="0"/>
        <w:spacing w:before="0" w:after="100" w:line="240" w:lineRule="auto"/>
        <w:ind w:left="0" w:right="0" w:firstLine="0"/>
        <w:jc w:val="both"/>
      </w:pPr>
      <w:r>
        <w:rPr>
          <w:color w:val="000000"/>
          <w:spacing w:val="0"/>
          <w:w w:val="100"/>
          <w:position w:val="0"/>
        </w:rPr>
        <w:t>经立信会计师事务所（特殊普通合伙）审计，公司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年度实现归属于上市公司股东的净利润</w:t>
      </w:r>
      <w:r>
        <w:rPr>
          <w:rFonts w:ascii="Times New Roman" w:eastAsia="Times New Roman" w:hAnsi="Times New Roman" w:cs="Times New Roman"/>
          <w:color w:val="000000"/>
          <w:spacing w:val="0"/>
          <w:w w:val="100"/>
          <w:position w:val="0"/>
          <w:sz w:val="18"/>
          <w:szCs w:val="18"/>
        </w:rPr>
        <w:t>351,152,491.85</w:t>
      </w:r>
      <w:r>
        <w:rPr>
          <w:color w:val="000000"/>
          <w:spacing w:val="0"/>
          <w:w w:val="100"/>
          <w:position w:val="0"/>
        </w:rPr>
        <w:t>元。其中，</w:t>
      </w:r>
    </w:p>
    <w:p>
      <w:pPr>
        <w:pStyle w:val="Style222"/>
        <w:keepNext w:val="0"/>
        <w:keepLines w:val="0"/>
        <w:widowControl w:val="0"/>
        <w:shd w:val="clear" w:color="auto" w:fill="auto"/>
        <w:bidi w:val="0"/>
        <w:spacing w:before="0" w:after="0" w:line="240" w:lineRule="auto"/>
        <w:ind w:left="0" w:right="0" w:firstLine="0"/>
        <w:jc w:val="both"/>
        <w:rPr>
          <w:sz w:val="17"/>
          <w:szCs w:val="17"/>
        </w:rPr>
      </w:pPr>
      <w:r>
        <w:rPr>
          <w:rFonts w:ascii="SimSun" w:eastAsia="SimSun" w:hAnsi="SimSun" w:cs="SimSun"/>
          <w:color w:val="000000"/>
          <w:spacing w:val="0"/>
          <w:w w:val="100"/>
          <w:position w:val="0"/>
          <w:sz w:val="17"/>
          <w:szCs w:val="17"/>
        </w:rPr>
        <w:t>母公司实现净利润</w:t>
      </w:r>
      <w:r>
        <w:rPr>
          <w:color w:val="000000"/>
          <w:spacing w:val="0"/>
          <w:w w:val="100"/>
          <w:position w:val="0"/>
          <w:sz w:val="18"/>
          <w:szCs w:val="18"/>
        </w:rPr>
        <w:t>-55,853,941.28</w:t>
      </w:r>
      <w:r>
        <w:rPr>
          <w:rFonts w:ascii="SimSun" w:eastAsia="SimSun" w:hAnsi="SimSun" w:cs="SimSun"/>
          <w:color w:val="000000"/>
          <w:spacing w:val="0"/>
          <w:w w:val="100"/>
          <w:position w:val="0"/>
          <w:sz w:val="17"/>
          <w:szCs w:val="17"/>
        </w:rPr>
        <w:t>元。</w:t>
      </w:r>
    </w:p>
    <w:p>
      <w:pPr>
        <w:pStyle w:val="Style41"/>
        <w:keepNext w:val="0"/>
        <w:keepLines w:val="0"/>
        <w:widowControl w:val="0"/>
        <w:shd w:val="clear" w:color="auto" w:fill="auto"/>
        <w:bidi w:val="0"/>
        <w:spacing w:before="0" w:after="0" w:line="468" w:lineRule="exact"/>
        <w:ind w:left="0" w:right="0" w:firstLine="0"/>
        <w:jc w:val="both"/>
      </w:pPr>
      <w:r>
        <w:rPr>
          <w:color w:val="000000"/>
          <w:spacing w:val="0"/>
          <w:w w:val="100"/>
          <w:position w:val="0"/>
        </w:rPr>
        <w:t>根据《深圳证券交易所上市公司回购股份实施细则》的规定，上市公司以现金为对价，采用要约方式、集中竞价方式回购 股份的，当年已实施的回购股份金额视同现金分红金额，纳入该年度现金分红的相关比例计算。同时根据《公司章程》规 定，公司该年度实现的可分配利润（即公司弥补亏损、提取公积金后所余的税后利润）为正值，且现金流充裕，实施现金 分红不会影响公司后续持续经营等情况下，公司应当进行现金分红，且在具备现金分红的条件下，每年以现金方式分配的 利润不少于当年合并报表可供分配利润的</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w:t>
      </w:r>
    </w:p>
    <w:p>
      <w:pPr>
        <w:pStyle w:val="Style41"/>
        <w:keepNext w:val="0"/>
        <w:keepLines w:val="0"/>
        <w:widowControl w:val="0"/>
        <w:shd w:val="clear" w:color="auto" w:fill="auto"/>
        <w:bidi w:val="0"/>
        <w:spacing w:before="0" w:after="0" w:line="468" w:lineRule="exact"/>
        <w:ind w:left="0" w:right="0" w:firstLine="0"/>
        <w:jc w:val="both"/>
      </w:pPr>
      <w:r>
        <w:rPr>
          <w:color w:val="000000"/>
          <w:spacing w:val="0"/>
          <w:w w:val="100"/>
          <w:position w:val="0"/>
        </w:rPr>
        <w:t>鉴于</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年度公司使用自有资金以集中竞价交易方式回购股份合计支付</w:t>
      </w:r>
      <w:r>
        <w:rPr>
          <w:rFonts w:ascii="Times New Roman" w:eastAsia="Times New Roman" w:hAnsi="Times New Roman" w:cs="Times New Roman"/>
          <w:color w:val="000000"/>
          <w:spacing w:val="0"/>
          <w:w w:val="100"/>
          <w:position w:val="0"/>
          <w:sz w:val="18"/>
          <w:szCs w:val="18"/>
        </w:rPr>
        <w:t>100,973,450.64</w:t>
      </w:r>
      <w:r>
        <w:rPr>
          <w:color w:val="000000"/>
          <w:spacing w:val="0"/>
          <w:w w:val="100"/>
          <w:position w:val="0"/>
        </w:rPr>
        <w:t>元（不含交易费用），该金额视同 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年度现金分红金额，且超过了当年合并报表可供分配利润的</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。故本年度公司计划不派发现金红利，不送红 股，不以资本公积金转增股本，可供分配利润将用于公司发展和留待以后年度分配。</w:t>
      </w:r>
    </w:p>
    <w:p>
      <w:pPr>
        <w:pStyle w:val="Style41"/>
        <w:keepNext w:val="0"/>
        <w:keepLines w:val="0"/>
        <w:widowControl w:val="0"/>
        <w:shd w:val="clear" w:color="auto" w:fill="auto"/>
        <w:bidi w:val="0"/>
        <w:spacing w:before="0" w:after="0" w:line="471" w:lineRule="exact"/>
        <w:ind w:left="0" w:right="0" w:firstLine="0"/>
        <w:jc w:val="both"/>
      </w:pPr>
      <w:r>
        <w:rPr>
          <w:color w:val="000000"/>
          <w:spacing w:val="0"/>
          <w:w w:val="100"/>
          <w:position w:val="0"/>
        </w:rPr>
        <w:t>本议案尚需提交</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年度股东大会审议。</w:t>
      </w:r>
    </w:p>
    <w:p>
      <w:pPr>
        <w:pStyle w:val="Style41"/>
        <w:keepNext w:val="0"/>
        <w:keepLines w:val="0"/>
        <w:widowControl w:val="0"/>
        <w:shd w:val="clear" w:color="auto" w:fill="auto"/>
        <w:bidi w:val="0"/>
        <w:spacing w:before="0" w:after="0" w:line="471" w:lineRule="exact"/>
        <w:ind w:left="0" w:right="0" w:firstLine="0"/>
        <w:jc w:val="left"/>
      </w:pPr>
      <w:r>
        <w:rPr>
          <w:b/>
          <w:bCs/>
          <w:color w:val="000000"/>
          <w:spacing w:val="0"/>
          <w:w w:val="100"/>
          <w:position w:val="0"/>
        </w:rPr>
        <w:t>公司近</w:t>
      </w:r>
      <w:r>
        <w:rPr>
          <w:rFonts w:ascii="Times New Roman" w:eastAsia="Times New Roman" w:hAnsi="Times New Roman" w:cs="Times New Roman"/>
          <w:b/>
          <w:bCs/>
          <w:color w:val="000000"/>
          <w:spacing w:val="0"/>
          <w:w w:val="100"/>
          <w:position w:val="0"/>
          <w:sz w:val="18"/>
          <w:szCs w:val="18"/>
        </w:rPr>
        <w:t>3</w:t>
      </w:r>
      <w:r>
        <w:rPr>
          <w:b/>
          <w:bCs/>
          <w:color w:val="000000"/>
          <w:spacing w:val="0"/>
          <w:w w:val="100"/>
          <w:position w:val="0"/>
        </w:rPr>
        <w:t>年（包括本报告期）的普通股股利分配方案（预案）、资本公积金转增股本方案（预案）情况</w:t>
      </w:r>
    </w:p>
    <w:p>
      <w:pPr>
        <w:pStyle w:val="Style41"/>
        <w:keepNext w:val="0"/>
        <w:keepLines w:val="0"/>
        <w:widowControl w:val="0"/>
        <w:shd w:val="clear" w:color="auto" w:fill="auto"/>
        <w:tabs>
          <w:tab w:pos="878" w:val="left"/>
        </w:tabs>
        <w:bidi w:val="0"/>
        <w:spacing w:before="0" w:after="0" w:line="471" w:lineRule="exact"/>
        <w:ind w:left="0" w:right="0"/>
        <w:jc w:val="both"/>
      </w:pPr>
      <w:bookmarkStart w:id="419" w:name="bookmark419"/>
      <w:r>
        <w:rPr>
          <w:color w:val="000000"/>
          <w:spacing w:val="0"/>
          <w:w w:val="100"/>
          <w:position w:val="0"/>
        </w:rPr>
        <w:t>（</w:t>
      </w:r>
      <w:bookmarkEnd w:id="419"/>
      <w:r>
        <w:rPr>
          <w:rFonts w:ascii="Times New Roman" w:eastAsia="Times New Roman" w:hAnsi="Times New Roman" w:cs="Times New Roman"/>
          <w:color w:val="000000"/>
          <w:spacing w:val="0"/>
          <w:w w:val="100"/>
          <w:position w:val="0"/>
          <w:sz w:val="18"/>
          <w:szCs w:val="18"/>
        </w:rPr>
        <w:t>1</w:t>
      </w:r>
      <w:r>
        <w:rPr>
          <w:color w:val="000000"/>
          <w:spacing w:val="0"/>
          <w:w w:val="100"/>
          <w:position w:val="0"/>
        </w:rPr>
        <w:t>）</w:t>
        <w:tab/>
      </w:r>
      <w:r>
        <w:rPr>
          <w:rFonts w:ascii="Times New Roman" w:eastAsia="Times New Roman" w:hAnsi="Times New Roman" w:cs="Times New Roman"/>
          <w:color w:val="000000"/>
          <w:spacing w:val="0"/>
          <w:w w:val="100"/>
          <w:position w:val="0"/>
          <w:sz w:val="18"/>
          <w:szCs w:val="18"/>
        </w:rPr>
        <w:t>2018</w:t>
      </w:r>
      <w:r>
        <w:rPr>
          <w:color w:val="000000"/>
          <w:spacing w:val="0"/>
          <w:w w:val="100"/>
          <w:position w:val="0"/>
        </w:rPr>
        <w:t>年度利润分配方案为：以公司</w:t>
      </w:r>
      <w:r>
        <w:rPr>
          <w:rFonts w:ascii="Times New Roman" w:eastAsia="Times New Roman" w:hAnsi="Times New Roman" w:cs="Times New Roman"/>
          <w:color w:val="000000"/>
          <w:spacing w:val="0"/>
          <w:w w:val="100"/>
          <w:position w:val="0"/>
          <w:sz w:val="18"/>
          <w:szCs w:val="18"/>
        </w:rPr>
        <w:t>2018</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日总股本</w:t>
      </w:r>
      <w:r>
        <w:rPr>
          <w:rFonts w:ascii="Times New Roman" w:eastAsia="Times New Roman" w:hAnsi="Times New Roman" w:cs="Times New Roman"/>
          <w:color w:val="000000"/>
          <w:spacing w:val="0"/>
          <w:w w:val="100"/>
          <w:position w:val="0"/>
          <w:sz w:val="18"/>
          <w:szCs w:val="18"/>
        </w:rPr>
        <w:t>1,961,091,984</w:t>
      </w:r>
      <w:r>
        <w:rPr>
          <w:color w:val="000000"/>
          <w:spacing w:val="0"/>
          <w:w w:val="100"/>
          <w:position w:val="0"/>
        </w:rPr>
        <w:t>股为基数，向全体股东每</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股派发现金红 利</w:t>
      </w:r>
      <w:r>
        <w:rPr>
          <w:rFonts w:ascii="Times New Roman" w:eastAsia="Times New Roman" w:hAnsi="Times New Roman" w:cs="Times New Roman"/>
          <w:color w:val="000000"/>
          <w:spacing w:val="0"/>
          <w:w w:val="100"/>
          <w:position w:val="0"/>
          <w:sz w:val="18"/>
          <w:szCs w:val="18"/>
        </w:rPr>
        <w:t>0</w:t>
      </w:r>
      <w:r>
        <w:rPr>
          <w:rFonts w:ascii="Times New Roman" w:eastAsia="Times New Roman" w:hAnsi="Times New Roman" w:cs="Times New Roman"/>
          <w:color w:val="000000"/>
          <w:spacing w:val="0"/>
          <w:w w:val="100"/>
          <w:position w:val="0"/>
          <w:sz w:val="18"/>
          <w:szCs w:val="18"/>
        </w:rPr>
        <w:t>.00</w:t>
      </w:r>
      <w:r>
        <w:rPr>
          <w:color w:val="000000"/>
          <w:spacing w:val="0"/>
          <w:w w:val="100"/>
          <w:position w:val="0"/>
        </w:rPr>
        <w:t>元（含税），送红股</w:t>
      </w:r>
      <w:r>
        <w:rPr>
          <w:rFonts w:ascii="Times New Roman" w:eastAsia="Times New Roman" w:hAnsi="Times New Roman" w:cs="Times New Roman"/>
          <w:color w:val="000000"/>
          <w:spacing w:val="0"/>
          <w:w w:val="100"/>
          <w:position w:val="0"/>
          <w:sz w:val="18"/>
          <w:szCs w:val="18"/>
        </w:rPr>
        <w:t>0</w:t>
      </w:r>
      <w:r>
        <w:rPr>
          <w:color w:val="000000"/>
          <w:spacing w:val="0"/>
          <w:w w:val="100"/>
          <w:position w:val="0"/>
        </w:rPr>
        <w:t>股（含税），以资本公积金向全体股东每</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股转增</w:t>
      </w:r>
      <w:r>
        <w:rPr>
          <w:rFonts w:ascii="Times New Roman" w:eastAsia="Times New Roman" w:hAnsi="Times New Roman" w:cs="Times New Roman"/>
          <w:color w:val="000000"/>
          <w:spacing w:val="0"/>
          <w:w w:val="100"/>
          <w:position w:val="0"/>
          <w:sz w:val="18"/>
          <w:szCs w:val="18"/>
        </w:rPr>
        <w:t>0</w:t>
      </w:r>
      <w:r>
        <w:rPr>
          <w:color w:val="000000"/>
          <w:spacing w:val="0"/>
          <w:w w:val="100"/>
          <w:position w:val="0"/>
        </w:rPr>
        <w:t>股。</w:t>
      </w:r>
    </w:p>
    <w:p>
      <w:pPr>
        <w:pStyle w:val="Style41"/>
        <w:keepNext w:val="0"/>
        <w:keepLines w:val="0"/>
        <w:widowControl w:val="0"/>
        <w:shd w:val="clear" w:color="auto" w:fill="auto"/>
        <w:tabs>
          <w:tab w:pos="878" w:val="left"/>
        </w:tabs>
        <w:bidi w:val="0"/>
        <w:spacing w:before="0" w:after="0" w:line="471" w:lineRule="exact"/>
        <w:ind w:left="0" w:right="0"/>
        <w:jc w:val="both"/>
      </w:pPr>
      <w:bookmarkStart w:id="420" w:name="bookmark420"/>
      <w:r>
        <w:rPr>
          <w:color w:val="000000"/>
          <w:spacing w:val="0"/>
          <w:w w:val="100"/>
          <w:position w:val="0"/>
        </w:rPr>
        <w:t>（</w:t>
      </w:r>
      <w:bookmarkEnd w:id="420"/>
      <w:r>
        <w:rPr>
          <w:rFonts w:ascii="Times New Roman" w:eastAsia="Times New Roman" w:hAnsi="Times New Roman" w:cs="Times New Roman"/>
          <w:color w:val="000000"/>
          <w:spacing w:val="0"/>
          <w:w w:val="100"/>
          <w:position w:val="0"/>
          <w:sz w:val="18"/>
          <w:szCs w:val="18"/>
        </w:rPr>
        <w:t>2</w:t>
      </w:r>
      <w:r>
        <w:rPr>
          <w:color w:val="000000"/>
          <w:spacing w:val="0"/>
          <w:w w:val="100"/>
          <w:position w:val="0"/>
        </w:rPr>
        <w:t>）</w:t>
        <w:tab/>
      </w:r>
      <w:r>
        <w:rPr>
          <w:rFonts w:ascii="Times New Roman" w:eastAsia="Times New Roman" w:hAnsi="Times New Roman" w:cs="Times New Roman"/>
          <w:color w:val="000000"/>
          <w:spacing w:val="0"/>
          <w:w w:val="100"/>
          <w:position w:val="0"/>
          <w:sz w:val="18"/>
          <w:szCs w:val="18"/>
        </w:rPr>
        <w:t>2019</w:t>
      </w:r>
      <w:r>
        <w:rPr>
          <w:color w:val="000000"/>
          <w:spacing w:val="0"/>
          <w:w w:val="100"/>
          <w:position w:val="0"/>
        </w:rPr>
        <w:t>年度利润分配方案为：以公司</w:t>
      </w:r>
      <w:r>
        <w:rPr>
          <w:rFonts w:ascii="Times New Roman" w:eastAsia="Times New Roman" w:hAnsi="Times New Roman" w:cs="Times New Roman"/>
          <w:color w:val="000000"/>
          <w:spacing w:val="0"/>
          <w:w w:val="100"/>
          <w:position w:val="0"/>
          <w:sz w:val="18"/>
          <w:szCs w:val="18"/>
        </w:rPr>
        <w:t>2019</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日总股本</w:t>
      </w:r>
      <w:r>
        <w:rPr>
          <w:rFonts w:ascii="Times New Roman" w:eastAsia="Times New Roman" w:hAnsi="Times New Roman" w:cs="Times New Roman"/>
          <w:color w:val="000000"/>
          <w:spacing w:val="0"/>
          <w:w w:val="100"/>
          <w:position w:val="0"/>
          <w:sz w:val="18"/>
          <w:szCs w:val="18"/>
        </w:rPr>
        <w:t>1,961,091,984</w:t>
      </w:r>
      <w:r>
        <w:rPr>
          <w:color w:val="000000"/>
          <w:spacing w:val="0"/>
          <w:w w:val="100"/>
          <w:position w:val="0"/>
        </w:rPr>
        <w:t>股为基数，向全体股东每</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股派发现金红 利</w:t>
      </w:r>
      <w:r>
        <w:rPr>
          <w:rFonts w:ascii="Times New Roman" w:eastAsia="Times New Roman" w:hAnsi="Times New Roman" w:cs="Times New Roman"/>
          <w:color w:val="000000"/>
          <w:spacing w:val="0"/>
          <w:w w:val="100"/>
          <w:position w:val="0"/>
          <w:sz w:val="18"/>
          <w:szCs w:val="18"/>
        </w:rPr>
        <w:t>0</w:t>
      </w:r>
      <w:r>
        <w:rPr>
          <w:rFonts w:ascii="Times New Roman" w:eastAsia="Times New Roman" w:hAnsi="Times New Roman" w:cs="Times New Roman"/>
          <w:color w:val="000000"/>
          <w:spacing w:val="0"/>
          <w:w w:val="100"/>
          <w:position w:val="0"/>
          <w:sz w:val="18"/>
          <w:szCs w:val="18"/>
        </w:rPr>
        <w:t>.00</w:t>
      </w:r>
      <w:r>
        <w:rPr>
          <w:color w:val="000000"/>
          <w:spacing w:val="0"/>
          <w:w w:val="100"/>
          <w:position w:val="0"/>
        </w:rPr>
        <w:t>元（含税），送红股</w:t>
      </w:r>
      <w:r>
        <w:rPr>
          <w:rFonts w:ascii="Times New Roman" w:eastAsia="Times New Roman" w:hAnsi="Times New Roman" w:cs="Times New Roman"/>
          <w:color w:val="000000"/>
          <w:spacing w:val="0"/>
          <w:w w:val="100"/>
          <w:position w:val="0"/>
          <w:sz w:val="18"/>
          <w:szCs w:val="18"/>
        </w:rPr>
        <w:t>0</w:t>
      </w:r>
      <w:r>
        <w:rPr>
          <w:color w:val="000000"/>
          <w:spacing w:val="0"/>
          <w:w w:val="100"/>
          <w:position w:val="0"/>
        </w:rPr>
        <w:t>股（含税），以资本公积金向全体股东每</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股转增</w:t>
      </w:r>
      <w:r>
        <w:rPr>
          <w:rFonts w:ascii="Times New Roman" w:eastAsia="Times New Roman" w:hAnsi="Times New Roman" w:cs="Times New Roman"/>
          <w:color w:val="000000"/>
          <w:spacing w:val="0"/>
          <w:w w:val="100"/>
          <w:position w:val="0"/>
          <w:sz w:val="18"/>
          <w:szCs w:val="18"/>
        </w:rPr>
        <w:t>0</w:t>
      </w:r>
      <w:r>
        <w:rPr>
          <w:color w:val="000000"/>
          <w:spacing w:val="0"/>
          <w:w w:val="100"/>
          <w:position w:val="0"/>
        </w:rPr>
        <w:t>股。</w:t>
      </w:r>
    </w:p>
    <w:p>
      <w:pPr>
        <w:pStyle w:val="Style41"/>
        <w:keepNext w:val="0"/>
        <w:keepLines w:val="0"/>
        <w:widowControl w:val="0"/>
        <w:shd w:val="clear" w:color="auto" w:fill="auto"/>
        <w:tabs>
          <w:tab w:pos="878" w:val="left"/>
        </w:tabs>
        <w:bidi w:val="0"/>
        <w:spacing w:before="0" w:after="0" w:line="471" w:lineRule="exact"/>
        <w:ind w:left="0" w:right="0"/>
        <w:jc w:val="both"/>
      </w:pPr>
      <w:bookmarkStart w:id="421" w:name="bookmark421"/>
      <w:r>
        <w:rPr>
          <w:color w:val="000000"/>
          <w:spacing w:val="0"/>
          <w:w w:val="100"/>
          <w:position w:val="0"/>
        </w:rPr>
        <w:t>（</w:t>
      </w:r>
      <w:bookmarkEnd w:id="421"/>
      <w:r>
        <w:rPr>
          <w:rFonts w:ascii="Times New Roman" w:eastAsia="Times New Roman" w:hAnsi="Times New Roman" w:cs="Times New Roman"/>
          <w:color w:val="000000"/>
          <w:spacing w:val="0"/>
          <w:w w:val="100"/>
          <w:position w:val="0"/>
          <w:sz w:val="18"/>
          <w:szCs w:val="18"/>
        </w:rPr>
        <w:t>3</w:t>
      </w:r>
      <w:r>
        <w:rPr>
          <w:color w:val="000000"/>
          <w:spacing w:val="0"/>
          <w:w w:val="100"/>
          <w:position w:val="0"/>
        </w:rPr>
        <w:t>）</w:t>
        <w:tab/>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年度利润分配方案为：鉴于</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年度公司使用自有资金以集中竞价交易方式回购股份合计支付</w:t>
      </w:r>
      <w:r>
        <w:rPr>
          <w:rFonts w:ascii="Times New Roman" w:eastAsia="Times New Roman" w:hAnsi="Times New Roman" w:cs="Times New Roman"/>
          <w:color w:val="000000"/>
          <w:spacing w:val="0"/>
          <w:w w:val="100"/>
          <w:position w:val="0"/>
          <w:sz w:val="18"/>
          <w:szCs w:val="18"/>
        </w:rPr>
        <w:t xml:space="preserve">100,973,450.64 </w:t>
      </w:r>
      <w:r>
        <w:rPr>
          <w:color w:val="000000"/>
          <w:spacing w:val="0"/>
          <w:w w:val="100"/>
          <w:position w:val="0"/>
        </w:rPr>
        <w:t>元（不含交易费用），该金额视同公司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年度现金分红金额，且超过了当年合并报表可供分配利润的</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。故本年度公司 计划以</w:t>
      </w:r>
      <w:r>
        <w:rPr>
          <w:rFonts w:ascii="Times New Roman" w:eastAsia="Times New Roman" w:hAnsi="Times New Roman" w:cs="Times New Roman"/>
          <w:color w:val="000000"/>
          <w:spacing w:val="0"/>
          <w:w w:val="100"/>
          <w:position w:val="0"/>
          <w:sz w:val="18"/>
          <w:szCs w:val="18"/>
        </w:rPr>
        <w:t>1,935,144,042</w:t>
      </w:r>
      <w:r>
        <w:rPr>
          <w:color w:val="000000"/>
          <w:spacing w:val="0"/>
          <w:w w:val="100"/>
          <w:position w:val="0"/>
        </w:rPr>
        <w:t>股（已剔除回购股份</w:t>
      </w:r>
      <w:r>
        <w:rPr>
          <w:rFonts w:ascii="Times New Roman" w:eastAsia="Times New Roman" w:hAnsi="Times New Roman" w:cs="Times New Roman"/>
          <w:color w:val="000000"/>
          <w:spacing w:val="0"/>
          <w:w w:val="100"/>
          <w:position w:val="0"/>
          <w:sz w:val="18"/>
          <w:szCs w:val="18"/>
        </w:rPr>
        <w:t>25,947,942</w:t>
      </w:r>
      <w:r>
        <w:rPr>
          <w:color w:val="000000"/>
          <w:spacing w:val="0"/>
          <w:w w:val="100"/>
          <w:position w:val="0"/>
        </w:rPr>
        <w:t>股）为基数，向全体股东每</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股派发现金红利</w:t>
      </w:r>
      <w:r>
        <w:rPr>
          <w:rFonts w:ascii="Times New Roman" w:eastAsia="Times New Roman" w:hAnsi="Times New Roman" w:cs="Times New Roman"/>
          <w:color w:val="000000"/>
          <w:spacing w:val="0"/>
          <w:w w:val="100"/>
          <w:position w:val="0"/>
          <w:sz w:val="18"/>
          <w:szCs w:val="18"/>
        </w:rPr>
        <w:t>0</w:t>
      </w:r>
      <w:r>
        <w:rPr>
          <w:rFonts w:ascii="Times New Roman" w:eastAsia="Times New Roman" w:hAnsi="Times New Roman" w:cs="Times New Roman"/>
          <w:color w:val="000000"/>
          <w:spacing w:val="0"/>
          <w:w w:val="100"/>
          <w:position w:val="0"/>
          <w:sz w:val="18"/>
          <w:szCs w:val="18"/>
        </w:rPr>
        <w:t>.00</w:t>
      </w:r>
      <w:r>
        <w:rPr>
          <w:color w:val="000000"/>
          <w:spacing w:val="0"/>
          <w:w w:val="100"/>
          <w:position w:val="0"/>
        </w:rPr>
        <w:t>元（含税），送红股</w:t>
      </w:r>
      <w:r>
        <w:rPr>
          <w:rFonts w:ascii="Times New Roman" w:eastAsia="Times New Roman" w:hAnsi="Times New Roman" w:cs="Times New Roman"/>
          <w:color w:val="000000"/>
          <w:spacing w:val="0"/>
          <w:w w:val="100"/>
          <w:position w:val="0"/>
          <w:sz w:val="18"/>
          <w:szCs w:val="18"/>
        </w:rPr>
        <w:t xml:space="preserve">0 </w:t>
      </w:r>
      <w:r>
        <w:rPr>
          <w:color w:val="000000"/>
          <w:spacing w:val="0"/>
          <w:w w:val="100"/>
          <w:position w:val="0"/>
        </w:rPr>
        <w:t>股（含税），以资本公积金向全体股东每</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股转增</w:t>
      </w:r>
      <w:r>
        <w:rPr>
          <w:rFonts w:ascii="Times New Roman" w:eastAsia="Times New Roman" w:hAnsi="Times New Roman" w:cs="Times New Roman"/>
          <w:color w:val="000000"/>
          <w:spacing w:val="0"/>
          <w:w w:val="100"/>
          <w:position w:val="0"/>
          <w:sz w:val="18"/>
          <w:szCs w:val="18"/>
        </w:rPr>
        <w:t>0</w:t>
      </w:r>
      <w:r>
        <w:rPr>
          <w:color w:val="000000"/>
          <w:spacing w:val="0"/>
          <w:w w:val="100"/>
          <w:position w:val="0"/>
        </w:rPr>
        <w:t>股。</w:t>
      </w:r>
    </w:p>
    <w:p>
      <w:pPr>
        <w:pStyle w:val="Style41"/>
        <w:keepNext w:val="0"/>
        <w:keepLines w:val="0"/>
        <w:widowControl w:val="0"/>
        <w:shd w:val="clear" w:color="auto" w:fill="auto"/>
        <w:bidi w:val="0"/>
        <w:spacing w:before="0" w:after="200" w:line="471" w:lineRule="exact"/>
        <w:ind w:left="0" w:right="0" w:firstLine="0"/>
        <w:jc w:val="left"/>
      </w:pPr>
      <w:r>
        <w:rPr>
          <w:b/>
          <w:bCs/>
          <w:color w:val="000000"/>
          <w:spacing w:val="0"/>
          <w:w w:val="100"/>
          <w:position w:val="0"/>
        </w:rPr>
        <w:t>公司近三年（包括本报告期）普通股现金分红情况表</w:t>
      </w:r>
    </w:p>
    <w:p>
      <w:pPr>
        <w:pStyle w:val="Style20"/>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单位：元</w:t>
      </w:r>
    </w:p>
    <w:tbl>
      <w:tblPr>
        <w:tblOverlap w:val="never"/>
        <w:jc w:val="center"/>
        <w:tblLayout w:type="fixed"/>
      </w:tblPr>
      <w:tblGrid>
        <w:gridCol w:w="1195"/>
        <w:gridCol w:w="1186"/>
        <w:gridCol w:w="1378"/>
        <w:gridCol w:w="1186"/>
        <w:gridCol w:w="1190"/>
        <w:gridCol w:w="1186"/>
        <w:gridCol w:w="1190"/>
        <w:gridCol w:w="1200"/>
      </w:tblGrid>
      <w:tr>
        <w:trPr>
          <w:trHeight w:val="227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分红年度</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120" w:line="240" w:lineRule="auto"/>
              <w:ind w:left="0" w:right="0" w:firstLine="0"/>
              <w:jc w:val="left"/>
            </w:pPr>
            <w:r>
              <w:rPr>
                <w:color w:val="000000"/>
                <w:spacing w:val="0"/>
                <w:w w:val="100"/>
                <w:position w:val="0"/>
              </w:rPr>
              <w:t>现金分红金额</w:t>
            </w:r>
          </w:p>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（含税）</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分红年度合并报 表中归属于上市 公司普通股股东</w:t>
            </w:r>
          </w:p>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的净利润</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6" w:lineRule="exact"/>
              <w:ind w:left="0" w:right="0" w:firstLine="0"/>
              <w:jc w:val="center"/>
            </w:pPr>
            <w:r>
              <w:rPr>
                <w:color w:val="000000"/>
                <w:spacing w:val="0"/>
                <w:w w:val="100"/>
                <w:position w:val="0"/>
              </w:rPr>
              <w:t>现金分红金额 占合并报表中 归属于上市公 司普通股股东 的净利润的比 率</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firstLine="140"/>
              <w:jc w:val="left"/>
            </w:pPr>
            <w:r>
              <w:rPr>
                <w:color w:val="000000"/>
                <w:spacing w:val="0"/>
                <w:w w:val="100"/>
                <w:position w:val="0"/>
              </w:rPr>
              <w:t>以其他方式</w:t>
            </w:r>
          </w:p>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（如回购股 份）现金分红 的金额</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3" w:lineRule="exact"/>
              <w:ind w:left="0" w:right="0" w:firstLine="0"/>
              <w:jc w:val="both"/>
            </w:pPr>
            <w:r>
              <w:rPr>
                <w:color w:val="000000"/>
                <w:spacing w:val="0"/>
                <w:w w:val="100"/>
                <w:position w:val="0"/>
              </w:rPr>
              <w:t>以其他方式现 金分红金额占 合并报表中归 属于上市公司 普通股股东的 净利润的比例</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4" w:lineRule="exact"/>
              <w:ind w:left="0" w:right="0" w:firstLine="0"/>
              <w:jc w:val="center"/>
            </w:pPr>
            <w:r>
              <w:rPr>
                <w:color w:val="000000"/>
                <w:spacing w:val="0"/>
                <w:w w:val="100"/>
                <w:position w:val="0"/>
              </w:rPr>
              <w:t>现金分红总额 （含其他方 式）</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现金分红总额</w:t>
            </w:r>
          </w:p>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（含其他方 式）占合并报 表中归属于上 市公司普通股 股东的净利润 的比率</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 xml:space="preserve">2020 </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rFonts w:ascii="Times New Roman" w:eastAsia="Times New Roman" w:hAnsi="Times New Roman" w:cs="Times New Roman"/>
                <w:color w:val="000000"/>
                <w:spacing w:val="0"/>
                <w:w w:val="100"/>
                <w:position w:val="0"/>
                <w:sz w:val="18"/>
                <w:szCs w:val="18"/>
              </w:rPr>
              <w:t>351,152,491.85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100,973,450.64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28.75%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100,973,450.64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28.75%</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 xml:space="preserve">2019 </w:t>
            </w:r>
            <w:r>
              <w:rPr>
                <w:color w:val="000000"/>
                <w:spacing w:val="0"/>
                <w:w w:val="100"/>
                <w:position w:val="0"/>
              </w:rPr>
              <w:t>年</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-1,474,177,938.37</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r>
    </w:tbl>
    <w:p>
      <w:pPr>
        <w:sectPr>
          <w:headerReference w:type="default" r:id="rId179"/>
          <w:footerReference w:type="default" r:id="rId180"/>
          <w:headerReference w:type="even" r:id="rId181"/>
          <w:footerReference w:type="even" r:id="rId182"/>
          <w:footnotePr>
            <w:pos w:val="pageBottom"/>
            <w:numFmt w:val="decimal"/>
            <w:numRestart w:val="continuous"/>
          </w:footnotePr>
          <w:pgSz w:w="11904" w:h="17375"/>
          <w:pgMar w:top="1070" w:right="1094" w:bottom="1425" w:left="1099" w:header="642" w:footer="3" w:gutter="0"/>
          <w:cols w:space="720"/>
          <w:noEndnote/>
          <w:rtlGutter w:val="0"/>
          <w:docGrid w:linePitch="360"/>
        </w:sectPr>
      </w:pPr>
    </w:p>
    <w:tbl>
      <w:tblPr>
        <w:tblOverlap w:val="never"/>
        <w:jc w:val="center"/>
        <w:tblLayout w:type="fixed"/>
      </w:tblPr>
      <w:tblGrid>
        <w:gridCol w:w="1195"/>
        <w:gridCol w:w="1186"/>
        <w:gridCol w:w="1378"/>
        <w:gridCol w:w="1186"/>
        <w:gridCol w:w="1190"/>
        <w:gridCol w:w="1186"/>
        <w:gridCol w:w="1190"/>
        <w:gridCol w:w="1200"/>
      </w:tblGrid>
      <w:tr>
        <w:trPr>
          <w:trHeight w:val="418"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 xml:space="preserve">2018 </w:t>
            </w:r>
            <w:r>
              <w:rPr>
                <w:color w:val="000000"/>
                <w:spacing w:val="0"/>
                <w:w w:val="100"/>
                <w:position w:val="0"/>
              </w:rPr>
              <w:t>年</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80,247,586.32</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r>
    </w:tbl>
    <w:p>
      <w:pPr>
        <w:widowControl w:val="0"/>
        <w:spacing w:after="119" w:line="1" w:lineRule="exact"/>
      </w:pPr>
    </w:p>
    <w:p>
      <w:pPr>
        <w:pStyle w:val="Style41"/>
        <w:keepNext w:val="0"/>
        <w:keepLines w:val="0"/>
        <w:widowControl w:val="0"/>
        <w:shd w:val="clear" w:color="auto" w:fill="auto"/>
        <w:bidi w:val="0"/>
        <w:spacing w:before="0" w:after="260" w:line="240" w:lineRule="auto"/>
        <w:ind w:left="0" w:right="0" w:firstLine="0"/>
        <w:jc w:val="left"/>
      </w:pPr>
      <w:r>
        <w:rPr>
          <w:b/>
          <w:bCs/>
          <w:color w:val="000000"/>
          <w:spacing w:val="0"/>
          <w:w w:val="100"/>
          <w:position w:val="0"/>
        </w:rPr>
        <w:t>公司报告期内盈利且母公司可供普通股股东分配利润为正但未提出普通股现金红利分配预案</w:t>
      </w:r>
    </w:p>
    <w:p>
      <w:pPr>
        <w:pStyle w:val="Style41"/>
        <w:keepNext w:val="0"/>
        <w:keepLines w:val="0"/>
        <w:widowControl w:val="0"/>
        <w:shd w:val="clear" w:color="auto" w:fill="auto"/>
        <w:bidi w:val="0"/>
        <w:spacing w:before="0" w:after="42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b/>
          <w:bCs/>
          <w:color w:val="000000"/>
          <w:spacing w:val="0"/>
          <w:w w:val="100"/>
          <w:position w:val="0"/>
          <w:sz w:val="19"/>
          <w:szCs w:val="19"/>
        </w:rPr>
        <w:t>寸</w:t>
      </w:r>
      <w:r>
        <w:rPr>
          <w:b/>
          <w:bCs/>
          <w:color w:val="000000"/>
          <w:spacing w:val="0"/>
          <w:w w:val="100"/>
          <w:position w:val="0"/>
        </w:rPr>
        <w:t>不适用</w:t>
      </w:r>
    </w:p>
    <w:p>
      <w:pPr>
        <w:pStyle w:val="Style39"/>
        <w:keepNext/>
        <w:keepLines/>
        <w:widowControl w:val="0"/>
        <w:shd w:val="clear" w:color="auto" w:fill="auto"/>
        <w:bidi w:val="0"/>
        <w:spacing w:before="0" w:line="240" w:lineRule="auto"/>
        <w:ind w:left="0" w:right="0" w:firstLine="0"/>
        <w:jc w:val="left"/>
      </w:pPr>
      <w:bookmarkStart w:id="422" w:name="bookmark422"/>
      <w:bookmarkStart w:id="423" w:name="bookmark423"/>
      <w:bookmarkStart w:id="424" w:name="bookmark424"/>
      <w:bookmarkStart w:id="425" w:name="bookmark425"/>
      <w:r>
        <w:rPr>
          <w:color w:val="000000"/>
          <w:spacing w:val="0"/>
          <w:w w:val="100"/>
          <w:position w:val="0"/>
          <w:sz w:val="24"/>
          <w:szCs w:val="24"/>
        </w:rPr>
        <w:t>二</w:t>
      </w:r>
      <w:bookmarkEnd w:id="424"/>
      <w:r>
        <w:rPr>
          <w:color w:val="000000"/>
          <w:spacing w:val="0"/>
          <w:w w:val="100"/>
          <w:position w:val="0"/>
          <w:sz w:val="24"/>
          <w:szCs w:val="24"/>
        </w:rPr>
        <w:t>、承诺事项履行情况</w:t>
      </w:r>
      <w:bookmarkEnd w:id="422"/>
      <w:bookmarkEnd w:id="423"/>
      <w:bookmarkEnd w:id="425"/>
    </w:p>
    <w:p>
      <w:pPr>
        <w:pStyle w:val="Style47"/>
        <w:keepNext/>
        <w:keepLines/>
        <w:widowControl w:val="0"/>
        <w:shd w:val="clear" w:color="auto" w:fill="auto"/>
        <w:bidi w:val="0"/>
        <w:spacing w:before="0" w:after="420" w:line="302" w:lineRule="exact"/>
        <w:ind w:left="0" w:right="0" w:firstLine="0"/>
        <w:jc w:val="left"/>
      </w:pPr>
      <w:bookmarkStart w:id="426" w:name="bookmark426"/>
      <w:bookmarkStart w:id="427" w:name="bookmark427"/>
      <w:bookmarkStart w:id="428" w:name="bookmark428"/>
      <w:bookmarkStart w:id="429" w:name="bookmark429"/>
      <w:r>
        <w:rPr>
          <w:color w:val="000000"/>
          <w:spacing w:val="0"/>
          <w:w w:val="100"/>
          <w:position w:val="0"/>
        </w:rPr>
        <w:t>1</w:t>
      </w:r>
      <w:bookmarkEnd w:id="428"/>
      <w:r>
        <w:rPr>
          <w:color w:val="000000"/>
          <w:spacing w:val="0"/>
          <w:w w:val="100"/>
          <w:position w:val="0"/>
        </w:rPr>
        <w:t>、公司实际控制人、股东、关联方、收购人以及公司等承诺相关方在报告期内履行完毕及截至报告期末 尚未履行完毕的承诺事项</w:t>
      </w:r>
      <w:bookmarkEnd w:id="426"/>
      <w:bookmarkEnd w:id="427"/>
      <w:bookmarkEnd w:id="429"/>
    </w:p>
    <w:p>
      <w:pPr>
        <w:pStyle w:val="Style20"/>
        <w:keepNext w:val="0"/>
        <w:keepLines w:val="0"/>
        <w:widowControl w:val="0"/>
        <w:shd w:val="clear" w:color="auto" w:fill="auto"/>
        <w:bidi w:val="0"/>
        <w:spacing w:before="0" w:after="0" w:line="240" w:lineRule="auto"/>
        <w:ind w:left="14" w:right="0" w:firstLine="0"/>
        <w:jc w:val="left"/>
        <w:rPr>
          <w:sz w:val="17"/>
          <w:szCs w:val="17"/>
        </w:rPr>
      </w:pPr>
      <w:r>
        <w:rPr>
          <w:rFonts w:ascii="SimSun" w:eastAsia="SimSun" w:hAnsi="SimSun" w:cs="SimSun"/>
          <w:b/>
          <w:bCs/>
          <w:color w:val="000000"/>
          <w:spacing w:val="0"/>
          <w:w w:val="100"/>
          <w:position w:val="0"/>
          <w:sz w:val="19"/>
          <w:szCs w:val="19"/>
        </w:rPr>
        <w:t>寸</w:t>
      </w:r>
      <w:r>
        <w:rPr>
          <w:rFonts w:ascii="SimSun" w:eastAsia="SimSun" w:hAnsi="SimSun" w:cs="SimSun"/>
          <w:b/>
          <w:bCs/>
          <w:color w:val="000000"/>
          <w:spacing w:val="0"/>
          <w:w w:val="100"/>
          <w:position w:val="0"/>
          <w:sz w:val="17"/>
          <w:szCs w:val="17"/>
        </w:rPr>
        <w:t>适用</w:t>
      </w:r>
      <w:r>
        <w:rPr>
          <w:rFonts w:ascii="SimSun" w:eastAsia="SimSun" w:hAnsi="SimSun" w:cs="SimSun"/>
          <w:color w:val="000000"/>
          <w:spacing w:val="0"/>
          <w:w w:val="100"/>
          <w:position w:val="0"/>
          <w:sz w:val="18"/>
          <w:szCs w:val="18"/>
        </w:rPr>
        <w:t>口</w:t>
      </w:r>
      <w:r>
        <w:rPr>
          <w:rFonts w:ascii="SimSun" w:eastAsia="SimSun" w:hAnsi="SimSun" w:cs="SimSun"/>
          <w:color w:val="000000"/>
          <w:spacing w:val="0"/>
          <w:w w:val="100"/>
          <w:position w:val="0"/>
          <w:sz w:val="17"/>
          <w:szCs w:val="17"/>
        </w:rPr>
        <w:t>不适用</w:t>
      </w:r>
    </w:p>
    <w:tbl>
      <w:tblPr>
        <w:tblOverlap w:val="never"/>
        <w:jc w:val="center"/>
        <w:tblLayout w:type="fixed"/>
      </w:tblPr>
      <w:tblGrid>
        <w:gridCol w:w="2016"/>
        <w:gridCol w:w="854"/>
        <w:gridCol w:w="1272"/>
        <w:gridCol w:w="2698"/>
        <w:gridCol w:w="989"/>
        <w:gridCol w:w="854"/>
        <w:gridCol w:w="1027"/>
      </w:tblGrid>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承诺来源</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140"/>
              <w:jc w:val="left"/>
            </w:pPr>
            <w:r>
              <w:rPr>
                <w:color w:val="000000"/>
                <w:spacing w:val="0"/>
                <w:w w:val="100"/>
                <w:position w:val="0"/>
              </w:rPr>
              <w:t>承诺方</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260"/>
              <w:jc w:val="left"/>
            </w:pPr>
            <w:r>
              <w:rPr>
                <w:color w:val="000000"/>
                <w:spacing w:val="0"/>
                <w:w w:val="100"/>
                <w:position w:val="0"/>
              </w:rPr>
              <w:t>承诺类型</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承诺内容</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承诺时间</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承诺期限</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140"/>
              <w:jc w:val="left"/>
            </w:pPr>
            <w:r>
              <w:rPr>
                <w:color w:val="000000"/>
                <w:spacing w:val="0"/>
                <w:w w:val="100"/>
                <w:position w:val="0"/>
              </w:rPr>
              <w:t>履行情况</w:t>
            </w: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收购报告书或权益变动 报告书中所作承诺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无</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771"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资产重组时所作承诺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李毅</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2" w:lineRule="exact"/>
              <w:ind w:left="0" w:right="0" w:firstLine="0"/>
              <w:jc w:val="left"/>
            </w:pPr>
            <w:r>
              <w:rPr>
                <w:color w:val="000000"/>
                <w:spacing w:val="0"/>
                <w:w w:val="100"/>
                <w:position w:val="0"/>
              </w:rPr>
              <w:t>壳木软件资产 重组期限承诺</w:t>
            </w:r>
          </w:p>
        </w:tc>
        <w:tc>
          <w:tcPr>
            <w:tcBorders>
              <w:top w:val="single" w:sz="4"/>
              <w:left w:val="single" w:sz="4"/>
            </w:tcBorders>
            <w:shd w:val="clear" w:color="auto" w:fill="FFFFFF"/>
            <w:vAlign w:val="center"/>
          </w:tcPr>
          <w:p>
            <w:pPr>
              <w:pStyle w:val="Style2"/>
              <w:keepNext w:val="0"/>
              <w:keepLines w:val="0"/>
              <w:widowControl w:val="0"/>
              <w:shd w:val="clear" w:color="auto" w:fill="auto"/>
              <w:tabs>
                <w:tab w:pos="278" w:val="left"/>
              </w:tabs>
              <w:bidi w:val="0"/>
              <w:spacing w:before="0" w:after="0" w:line="313" w:lineRule="exact"/>
              <w:ind w:left="0" w:right="0" w:firstLine="0"/>
              <w:jc w:val="both"/>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w:t>
              <w:tab/>
              <w:t>壳木软件的任职期限内，未经 神州泰岳书面同意，不得在神州泰 岳及其子公司、壳木软件以外，从 事游戏开发、运营及维护业务或通 过直接或间接控制的其他经营主 体从事该等业务；不得在其他与神 州泰岳及其子公司、壳木软件有竞 争关系的任何企业或组织任职。</w:t>
            </w:r>
          </w:p>
          <w:p>
            <w:pPr>
              <w:pStyle w:val="Style2"/>
              <w:keepNext w:val="0"/>
              <w:keepLines w:val="0"/>
              <w:widowControl w:val="0"/>
              <w:shd w:val="clear" w:color="auto" w:fill="auto"/>
              <w:tabs>
                <w:tab w:pos="312" w:val="left"/>
              </w:tabs>
              <w:bidi w:val="0"/>
              <w:spacing w:before="0" w:after="0" w:line="313" w:lineRule="exact"/>
              <w:ind w:left="0" w:right="0" w:firstLine="0"/>
              <w:jc w:val="both"/>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w:t>
              <w:tab/>
              <w:t>自其从壳木软件离职后两年内 不得在神州泰岳及其子公司、壳木 软件以外的任何企业或组织任职 或担任任何形式的顾问，从事游戏 开发、运营及维护业务或通过直接 或间接控制的其他经营主体从事 该等业务。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2014-05-07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长期有效</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正常履行中</w:t>
            </w:r>
          </w:p>
        </w:tc>
      </w:tr>
      <w:tr>
        <w:trPr>
          <w:trHeight w:val="3211" w:hRule="exact"/>
        </w:trPr>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首次公开发行或再融资 时所作承诺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王宁、李</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力</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首次公开发行</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时承诺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1" w:lineRule="exact"/>
              <w:ind w:left="0" w:right="0" w:firstLine="0"/>
              <w:jc w:val="both"/>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 xml:space="preserve">、将来不以任何方式从事，包括 与他人合作直接或间接从事与公 司及其子公司相同、相似或在任何 方面构成竞争的业务； </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 承诺将尽可能避免和减少与公司 之间的关联交易。若有关的关联交 易为公司日常经营所必须或者无 法避免，承诺方保证该等关联交易 所列之交易条件公允，不损害公司 及股东利益。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2009-10-30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长期有效</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正常履行中</w:t>
            </w:r>
          </w:p>
        </w:tc>
      </w:tr>
      <w:tr>
        <w:trPr>
          <w:trHeight w:val="994" w:hRule="exact"/>
        </w:trPr>
        <w:tc>
          <w:tcPr>
            <w:vMerge/>
            <w:tcBorders>
              <w:left w:val="single" w:sz="4"/>
              <w:bottom w:val="single" w:sz="4"/>
            </w:tcBorders>
            <w:shd w:val="clear" w:color="auto" w:fill="D7D7D7"/>
            <w:vAlign w:val="center"/>
          </w:tcPr>
          <w:p>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公司首次</w:t>
            </w:r>
          </w:p>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公开发行</w:t>
            </w:r>
          </w:p>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股票前的</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首次公开发行</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时承诺</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0"/>
              <w:jc w:val="both"/>
            </w:pPr>
            <w:r>
              <w:rPr>
                <w:color w:val="000000"/>
                <w:spacing w:val="0"/>
                <w:w w:val="100"/>
                <w:position w:val="0"/>
              </w:rPr>
              <w:t>在担任公司董事、监事或高级管理 人员期间，每年转让的股份不超过 本人所持公司股份总数的百分之</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2009-10-30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长期有效</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正常履行中</w:t>
            </w:r>
          </w:p>
        </w:tc>
      </w:tr>
    </w:tbl>
    <w:tbl>
      <w:tblPr>
        <w:tblOverlap w:val="never"/>
        <w:jc w:val="center"/>
        <w:tblLayout w:type="fixed"/>
      </w:tblPr>
      <w:tblGrid>
        <w:gridCol w:w="2016"/>
        <w:gridCol w:w="854"/>
        <w:gridCol w:w="1272"/>
        <w:gridCol w:w="2698"/>
        <w:gridCol w:w="989"/>
        <w:gridCol w:w="854"/>
        <w:gridCol w:w="1027"/>
      </w:tblGrid>
      <w:tr>
        <w:trPr>
          <w:trHeight w:val="480"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承诺来源</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140"/>
              <w:jc w:val="left"/>
            </w:pPr>
            <w:r>
              <w:rPr>
                <w:color w:val="000000"/>
                <w:spacing w:val="0"/>
                <w:w w:val="100"/>
                <w:position w:val="0"/>
              </w:rPr>
              <w:t>承诺方</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承诺类型</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承诺内容</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承诺时间</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承诺期限</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履行情况</w:t>
            </w:r>
          </w:p>
        </w:tc>
      </w:tr>
      <w:tr>
        <w:trPr>
          <w:trHeight w:val="672" w:hRule="exact"/>
        </w:trPr>
        <w:tc>
          <w:tcPr>
            <w:tcBorders>
              <w:top w:val="single" w:sz="4"/>
              <w:left w:val="single" w:sz="4"/>
            </w:tcBorders>
            <w:shd w:val="clear" w:color="auto" w:fill="D7D7D7"/>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股东</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二十五；离职后半年内，不转让所 持有的公司股份。</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股权激励承诺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无</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其他对公司中小股东所 作承诺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无</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承诺是否按时履行</w:t>
            </w:r>
          </w:p>
        </w:tc>
        <w:tc>
          <w:tcPr>
            <w:gridSpan w:val="6"/>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r>
      <w:tr>
        <w:trPr>
          <w:trHeight w:val="1349"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315" w:lineRule="exact"/>
              <w:ind w:left="0" w:right="0" w:firstLine="0"/>
              <w:jc w:val="left"/>
            </w:pPr>
            <w:r>
              <w:rPr>
                <w:color w:val="000000"/>
                <w:spacing w:val="0"/>
                <w:w w:val="100"/>
                <w:position w:val="0"/>
              </w:rPr>
              <w:t>如承诺超期未履行完毕 的，应当详细说明未完成 履行的具体原因及下一 步的工作计划</w:t>
            </w:r>
          </w:p>
        </w:tc>
        <w:tc>
          <w:tcPr>
            <w:gridSpan w:val="6"/>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r>
    </w:tbl>
    <w:p>
      <w:pPr>
        <w:widowControl w:val="0"/>
        <w:spacing w:after="239" w:line="1" w:lineRule="exact"/>
      </w:pPr>
    </w:p>
    <w:p>
      <w:pPr>
        <w:pStyle w:val="Style47"/>
        <w:keepNext/>
        <w:keepLines/>
        <w:widowControl w:val="0"/>
        <w:shd w:val="clear" w:color="auto" w:fill="auto"/>
        <w:bidi w:val="0"/>
        <w:spacing w:before="0" w:after="440" w:line="322" w:lineRule="exact"/>
        <w:ind w:left="0" w:right="0" w:firstLine="0"/>
        <w:jc w:val="left"/>
      </w:pPr>
      <w:bookmarkStart w:id="430" w:name="bookmark430"/>
      <w:bookmarkStart w:id="431" w:name="bookmark431"/>
      <w:bookmarkStart w:id="432" w:name="bookmark432"/>
      <w:bookmarkStart w:id="433" w:name="bookmark433"/>
      <w:r>
        <w:rPr>
          <w:color w:val="000000"/>
          <w:spacing w:val="0"/>
          <w:w w:val="100"/>
          <w:position w:val="0"/>
        </w:rPr>
        <w:t>2</w:t>
      </w:r>
      <w:bookmarkEnd w:id="432"/>
      <w:r>
        <w:rPr>
          <w:color w:val="000000"/>
          <w:spacing w:val="0"/>
          <w:w w:val="100"/>
          <w:position w:val="0"/>
        </w:rPr>
        <w:t>、公司资产或项目存在盈利预测，且报告期仍处在盈利预测期间，公司就资产或项目达到原盈利预测及 其原因做出说明</w:t>
      </w:r>
      <w:bookmarkEnd w:id="430"/>
      <w:bookmarkEnd w:id="431"/>
      <w:bookmarkEnd w:id="433"/>
    </w:p>
    <w:p>
      <w:pPr>
        <w:pStyle w:val="Style20"/>
        <w:keepNext w:val="0"/>
        <w:keepLines w:val="0"/>
        <w:widowControl w:val="0"/>
        <w:shd w:val="clear" w:color="auto" w:fill="auto"/>
        <w:bidi w:val="0"/>
        <w:spacing w:before="0" w:after="0" w:line="240" w:lineRule="auto"/>
        <w:ind w:left="14" w:right="0" w:firstLine="0"/>
        <w:jc w:val="left"/>
        <w:rPr>
          <w:sz w:val="17"/>
          <w:szCs w:val="17"/>
        </w:rPr>
      </w:pPr>
      <w:r>
        <w:rPr>
          <w:rFonts w:ascii="SimSun" w:eastAsia="SimSun" w:hAnsi="SimSun" w:cs="SimSun"/>
          <w:b/>
          <w:bCs/>
          <w:color w:val="000000"/>
          <w:spacing w:val="0"/>
          <w:w w:val="100"/>
          <w:position w:val="0"/>
          <w:sz w:val="19"/>
          <w:szCs w:val="19"/>
        </w:rPr>
        <w:t>寸</w:t>
      </w:r>
      <w:r>
        <w:rPr>
          <w:rFonts w:ascii="SimSun" w:eastAsia="SimSun" w:hAnsi="SimSun" w:cs="SimSun"/>
          <w:b/>
          <w:bCs/>
          <w:color w:val="000000"/>
          <w:spacing w:val="0"/>
          <w:w w:val="100"/>
          <w:position w:val="0"/>
          <w:sz w:val="17"/>
          <w:szCs w:val="17"/>
        </w:rPr>
        <w:t>适用</w:t>
      </w:r>
      <w:r>
        <w:rPr>
          <w:rFonts w:ascii="SimSun" w:eastAsia="SimSun" w:hAnsi="SimSun" w:cs="SimSun"/>
          <w:color w:val="000000"/>
          <w:spacing w:val="0"/>
          <w:w w:val="100"/>
          <w:position w:val="0"/>
          <w:sz w:val="18"/>
          <w:szCs w:val="18"/>
        </w:rPr>
        <w:t>口</w:t>
      </w:r>
      <w:r>
        <w:rPr>
          <w:rFonts w:ascii="SimSun" w:eastAsia="SimSun" w:hAnsi="SimSun" w:cs="SimSun"/>
          <w:color w:val="000000"/>
          <w:spacing w:val="0"/>
          <w:w w:val="100"/>
          <w:position w:val="0"/>
          <w:sz w:val="17"/>
          <w:szCs w:val="17"/>
        </w:rPr>
        <w:t>不适用</w:t>
      </w:r>
    </w:p>
    <w:tbl>
      <w:tblPr>
        <w:tblOverlap w:val="never"/>
        <w:jc w:val="center"/>
        <w:tblLayout w:type="fixed"/>
      </w:tblPr>
      <w:tblGrid>
        <w:gridCol w:w="1214"/>
        <w:gridCol w:w="1210"/>
        <w:gridCol w:w="1214"/>
        <w:gridCol w:w="1210"/>
        <w:gridCol w:w="1214"/>
        <w:gridCol w:w="1210"/>
        <w:gridCol w:w="1214"/>
        <w:gridCol w:w="1224"/>
      </w:tblGrid>
      <w:tr>
        <w:trPr>
          <w:trHeight w:val="720"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盈利预测资产 或项目名称</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预测起始时间</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预测终止时间</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120" w:line="240" w:lineRule="auto"/>
              <w:ind w:left="0" w:right="0" w:firstLine="0"/>
              <w:jc w:val="left"/>
            </w:pPr>
            <w:r>
              <w:rPr>
                <w:color w:val="000000"/>
                <w:spacing w:val="0"/>
                <w:w w:val="100"/>
                <w:position w:val="0"/>
              </w:rPr>
              <w:t>当期预测业绩</w:t>
            </w:r>
          </w:p>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（万元）</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120" w:line="240" w:lineRule="auto"/>
              <w:ind w:left="0" w:right="0" w:firstLine="0"/>
              <w:jc w:val="left"/>
            </w:pPr>
            <w:r>
              <w:rPr>
                <w:color w:val="000000"/>
                <w:spacing w:val="0"/>
                <w:w w:val="100"/>
                <w:position w:val="0"/>
              </w:rPr>
              <w:t>当期实际业绩</w:t>
            </w:r>
          </w:p>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（万元）</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22" w:lineRule="exact"/>
              <w:ind w:left="0" w:right="0" w:firstLine="0"/>
              <w:jc w:val="center"/>
            </w:pPr>
            <w:r>
              <w:rPr>
                <w:color w:val="000000"/>
                <w:spacing w:val="0"/>
                <w:w w:val="100"/>
                <w:position w:val="0"/>
              </w:rPr>
              <w:t>未达预测的原 因（如适用）</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26" w:lineRule="exact"/>
              <w:ind w:left="0" w:right="0" w:firstLine="0"/>
              <w:jc w:val="center"/>
            </w:pPr>
            <w:r>
              <w:rPr>
                <w:color w:val="000000"/>
                <w:spacing w:val="0"/>
                <w:w w:val="100"/>
                <w:position w:val="0"/>
              </w:rPr>
              <w:t>原预测披露日 期</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120" w:line="240" w:lineRule="auto"/>
              <w:ind w:left="0" w:right="0" w:firstLine="0"/>
              <w:jc w:val="center"/>
            </w:pPr>
            <w:r>
              <w:rPr>
                <w:color w:val="000000"/>
                <w:spacing w:val="0"/>
                <w:w w:val="100"/>
                <w:position w:val="0"/>
              </w:rPr>
              <w:t>原预测披露索</w:t>
            </w:r>
          </w:p>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引</w:t>
            </w:r>
          </w:p>
        </w:tc>
      </w:tr>
      <w:tr>
        <w:trPr>
          <w:trHeight w:val="725"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蓝鸥科技有限 公司</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2020-01-01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2020-12-31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2,585</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2018-04-27</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2018-013</w:t>
            </w:r>
          </w:p>
        </w:tc>
      </w:tr>
    </w:tbl>
    <w:p>
      <w:pPr>
        <w:widowControl w:val="0"/>
        <w:spacing w:after="139" w:line="1" w:lineRule="exact"/>
      </w:pPr>
    </w:p>
    <w:p>
      <w:pPr>
        <w:pStyle w:val="Style41"/>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rPr>
        <w:t>公司股东、交易对手方对公司或相关资产年度经营业绩作出的承诺情况</w:t>
      </w:r>
    </w:p>
    <w:p>
      <w:pPr>
        <w:pStyle w:val="Style41"/>
        <w:keepNext w:val="0"/>
        <w:keepLines w:val="0"/>
        <w:widowControl w:val="0"/>
        <w:shd w:val="clear" w:color="auto" w:fill="auto"/>
        <w:bidi w:val="0"/>
        <w:spacing w:before="0" w:after="240" w:line="240" w:lineRule="auto"/>
        <w:ind w:left="0" w:right="0" w:firstLine="0"/>
        <w:jc w:val="both"/>
      </w:pPr>
      <w:r>
        <w:rPr>
          <w:b/>
          <w:bCs/>
          <w:color w:val="000000"/>
          <w:spacing w:val="0"/>
          <w:w w:val="100"/>
          <w:position w:val="0"/>
          <w:sz w:val="19"/>
          <w:szCs w:val="19"/>
        </w:rPr>
        <w:t>寸</w:t>
      </w:r>
      <w:r>
        <w:rPr>
          <w:b/>
          <w:bCs/>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41"/>
        <w:keepNext w:val="0"/>
        <w:keepLines w:val="0"/>
        <w:widowControl w:val="0"/>
        <w:shd w:val="clear" w:color="auto" w:fill="auto"/>
        <w:bidi w:val="0"/>
        <w:spacing w:before="0" w:after="440" w:line="240" w:lineRule="auto"/>
        <w:ind w:left="0" w:right="0" w:firstLine="0"/>
        <w:jc w:val="left"/>
      </w:pPr>
      <w:r>
        <w:rPr>
          <w:color w:val="000000"/>
          <w:spacing w:val="0"/>
          <w:w w:val="100"/>
          <w:position w:val="0"/>
        </w:rPr>
        <w:t>从</w:t>
      </w:r>
      <w:r>
        <w:rPr>
          <w:rFonts w:ascii="Times New Roman" w:eastAsia="Times New Roman" w:hAnsi="Times New Roman" w:cs="Times New Roman"/>
          <w:color w:val="000000"/>
          <w:spacing w:val="0"/>
          <w:w w:val="100"/>
          <w:position w:val="0"/>
          <w:sz w:val="18"/>
          <w:szCs w:val="18"/>
        </w:rPr>
        <w:t>2019</w:t>
      </w:r>
      <w:r>
        <w:rPr>
          <w:color w:val="000000"/>
          <w:spacing w:val="0"/>
          <w:w w:val="100"/>
          <w:position w:val="0"/>
        </w:rPr>
        <w:t>年第四季度开始，由于经营不善，蓝鸥科技有限公司业务整体处于停顿状态，导致其无法正常出具</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年度财务报表。</w:t>
      </w:r>
    </w:p>
    <w:p>
      <w:pPr>
        <w:pStyle w:val="Style39"/>
        <w:keepNext/>
        <w:keepLines/>
        <w:widowControl w:val="0"/>
        <w:shd w:val="clear" w:color="auto" w:fill="auto"/>
        <w:tabs>
          <w:tab w:pos="517" w:val="left"/>
        </w:tabs>
        <w:bidi w:val="0"/>
        <w:spacing w:before="0" w:after="440" w:line="240" w:lineRule="auto"/>
        <w:ind w:left="0" w:right="0" w:firstLine="0"/>
        <w:jc w:val="left"/>
      </w:pPr>
      <w:bookmarkStart w:id="434" w:name="bookmark434"/>
      <w:bookmarkStart w:id="435" w:name="bookmark435"/>
      <w:bookmarkStart w:id="436" w:name="bookmark436"/>
      <w:bookmarkStart w:id="437" w:name="bookmark437"/>
      <w:r>
        <w:rPr>
          <w:color w:val="000000"/>
          <w:spacing w:val="0"/>
          <w:w w:val="100"/>
          <w:position w:val="0"/>
          <w:sz w:val="24"/>
          <w:szCs w:val="24"/>
        </w:rPr>
        <w:t>三</w:t>
      </w:r>
      <w:bookmarkEnd w:id="436"/>
      <w:r>
        <w:rPr>
          <w:color w:val="000000"/>
          <w:spacing w:val="0"/>
          <w:w w:val="100"/>
          <w:position w:val="0"/>
          <w:sz w:val="24"/>
          <w:szCs w:val="24"/>
        </w:rPr>
        <w:t>、</w:t>
        <w:tab/>
        <w:t>控股股东及其关联方对上市公司的非经营性占用资金情况</w:t>
      </w:r>
      <w:bookmarkEnd w:id="434"/>
      <w:bookmarkEnd w:id="435"/>
      <w:bookmarkEnd w:id="437"/>
    </w:p>
    <w:p>
      <w:pPr>
        <w:pStyle w:val="Style41"/>
        <w:keepNext w:val="0"/>
        <w:keepLines w:val="0"/>
        <w:widowControl w:val="0"/>
        <w:shd w:val="clear" w:color="auto" w:fill="auto"/>
        <w:bidi w:val="0"/>
        <w:spacing w:before="0" w:after="24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b/>
          <w:bCs/>
          <w:color w:val="000000"/>
          <w:spacing w:val="0"/>
          <w:w w:val="100"/>
          <w:position w:val="0"/>
          <w:sz w:val="19"/>
          <w:szCs w:val="19"/>
        </w:rPr>
        <w:t>寸</w:t>
      </w:r>
      <w:r>
        <w:rPr>
          <w:b/>
          <w:bCs/>
          <w:color w:val="000000"/>
          <w:spacing w:val="0"/>
          <w:w w:val="100"/>
          <w:position w:val="0"/>
        </w:rPr>
        <w:t>不适用</w:t>
      </w:r>
    </w:p>
    <w:p>
      <w:pPr>
        <w:pStyle w:val="Style41"/>
        <w:keepNext w:val="0"/>
        <w:keepLines w:val="0"/>
        <w:widowControl w:val="0"/>
        <w:shd w:val="clear" w:color="auto" w:fill="auto"/>
        <w:bidi w:val="0"/>
        <w:spacing w:before="0" w:after="440" w:line="240" w:lineRule="auto"/>
        <w:ind w:left="0" w:right="0" w:firstLine="0"/>
        <w:jc w:val="left"/>
      </w:pPr>
      <w:r>
        <w:rPr>
          <w:color w:val="000000"/>
          <w:spacing w:val="0"/>
          <w:w w:val="100"/>
          <w:position w:val="0"/>
        </w:rPr>
        <w:t>公司报告期不存在控股股东及其关联方对上市公司的非经营性占用资金。</w:t>
      </w:r>
    </w:p>
    <w:p>
      <w:pPr>
        <w:pStyle w:val="Style39"/>
        <w:keepNext/>
        <w:keepLines/>
        <w:widowControl w:val="0"/>
        <w:shd w:val="clear" w:color="auto" w:fill="auto"/>
        <w:tabs>
          <w:tab w:pos="517" w:val="left"/>
        </w:tabs>
        <w:bidi w:val="0"/>
        <w:spacing w:before="0" w:after="440" w:line="240" w:lineRule="auto"/>
        <w:ind w:left="0" w:right="0" w:firstLine="0"/>
        <w:jc w:val="left"/>
      </w:pPr>
      <w:bookmarkStart w:id="438" w:name="bookmark438"/>
      <w:bookmarkStart w:id="439" w:name="bookmark439"/>
      <w:bookmarkStart w:id="440" w:name="bookmark440"/>
      <w:bookmarkStart w:id="441" w:name="bookmark441"/>
      <w:r>
        <w:rPr>
          <w:color w:val="000000"/>
          <w:spacing w:val="0"/>
          <w:w w:val="100"/>
          <w:position w:val="0"/>
          <w:sz w:val="24"/>
          <w:szCs w:val="24"/>
        </w:rPr>
        <w:t>四</w:t>
      </w:r>
      <w:bookmarkEnd w:id="440"/>
      <w:r>
        <w:rPr>
          <w:color w:val="000000"/>
          <w:spacing w:val="0"/>
          <w:w w:val="100"/>
          <w:position w:val="0"/>
          <w:sz w:val="24"/>
          <w:szCs w:val="24"/>
        </w:rPr>
        <w:t>、</w:t>
        <w:tab/>
        <w:t>董事会对最近一期</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非标准审计报告</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相关情况的说明</w:t>
      </w:r>
      <w:bookmarkEnd w:id="438"/>
      <w:bookmarkEnd w:id="439"/>
      <w:bookmarkEnd w:id="441"/>
    </w:p>
    <w:p>
      <w:pPr>
        <w:pStyle w:val="Style41"/>
        <w:keepNext w:val="0"/>
        <w:keepLines w:val="0"/>
        <w:widowControl w:val="0"/>
        <w:shd w:val="clear" w:color="auto" w:fill="auto"/>
        <w:bidi w:val="0"/>
        <w:spacing w:before="0" w:after="440" w:line="240" w:lineRule="auto"/>
        <w:ind w:left="0" w:right="0" w:firstLine="0"/>
        <w:jc w:val="both"/>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b/>
          <w:bCs/>
          <w:color w:val="000000"/>
          <w:spacing w:val="0"/>
          <w:w w:val="100"/>
          <w:position w:val="0"/>
          <w:sz w:val="19"/>
          <w:szCs w:val="19"/>
        </w:rPr>
        <w:t>寸</w:t>
      </w:r>
      <w:r>
        <w:rPr>
          <w:b/>
          <w:bCs/>
          <w:color w:val="000000"/>
          <w:spacing w:val="0"/>
          <w:w w:val="100"/>
          <w:position w:val="0"/>
        </w:rPr>
        <w:t>不适用</w:t>
      </w:r>
    </w:p>
    <w:p>
      <w:pPr>
        <w:pStyle w:val="Style39"/>
        <w:keepNext/>
        <w:keepLines/>
        <w:widowControl w:val="0"/>
        <w:shd w:val="clear" w:color="auto" w:fill="auto"/>
        <w:tabs>
          <w:tab w:pos="517" w:val="left"/>
        </w:tabs>
        <w:bidi w:val="0"/>
        <w:spacing w:before="0" w:after="440" w:line="240" w:lineRule="auto"/>
        <w:ind w:left="0" w:right="0" w:firstLine="0"/>
        <w:jc w:val="left"/>
      </w:pPr>
      <w:bookmarkStart w:id="442" w:name="bookmark442"/>
      <w:bookmarkStart w:id="443" w:name="bookmark443"/>
      <w:bookmarkStart w:id="444" w:name="bookmark444"/>
      <w:bookmarkStart w:id="445" w:name="bookmark445"/>
      <w:r>
        <w:rPr>
          <w:color w:val="000000"/>
          <w:spacing w:val="0"/>
          <w:w w:val="100"/>
          <w:position w:val="0"/>
          <w:sz w:val="24"/>
          <w:szCs w:val="24"/>
        </w:rPr>
        <w:t>五</w:t>
      </w:r>
      <w:bookmarkEnd w:id="444"/>
      <w:r>
        <w:rPr>
          <w:color w:val="000000"/>
          <w:spacing w:val="0"/>
          <w:w w:val="100"/>
          <w:position w:val="0"/>
          <w:sz w:val="24"/>
          <w:szCs w:val="24"/>
        </w:rPr>
        <w:t>、</w:t>
        <w:tab/>
        <w:t>董事会、监事会、独立董事（如有）对会计师事务所本报告期</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非标准审计报告</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的说明</w:t>
      </w:r>
      <w:bookmarkEnd w:id="442"/>
      <w:bookmarkEnd w:id="443"/>
      <w:bookmarkEnd w:id="445"/>
    </w:p>
    <w:p>
      <w:pPr>
        <w:pStyle w:val="Style41"/>
        <w:keepNext w:val="0"/>
        <w:keepLines w:val="0"/>
        <w:widowControl w:val="0"/>
        <w:shd w:val="clear" w:color="auto" w:fill="auto"/>
        <w:bidi w:val="0"/>
        <w:spacing w:before="0" w:after="440" w:line="240" w:lineRule="auto"/>
        <w:ind w:left="0" w:right="0" w:firstLine="0"/>
        <w:jc w:val="both"/>
        <w:sectPr>
          <w:headerReference w:type="default" r:id="rId183"/>
          <w:footerReference w:type="default" r:id="rId184"/>
          <w:headerReference w:type="even" r:id="rId185"/>
          <w:footerReference w:type="even" r:id="rId186"/>
          <w:footnotePr>
            <w:pos w:val="pageBottom"/>
            <w:numFmt w:val="decimal"/>
            <w:numRestart w:val="continuous"/>
          </w:footnotePr>
          <w:pgSz w:w="11904" w:h="17375"/>
          <w:pgMar w:top="1668" w:right="1047" w:bottom="1806" w:left="1070" w:header="0" w:footer="3" w:gutter="0"/>
          <w:cols w:space="720"/>
          <w:noEndnote/>
          <w:rtlGutter w:val="0"/>
          <w:docGrid w:linePitch="360"/>
        </w:sectPr>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b/>
          <w:bCs/>
          <w:color w:val="000000"/>
          <w:spacing w:val="0"/>
          <w:w w:val="100"/>
          <w:position w:val="0"/>
          <w:sz w:val="19"/>
          <w:szCs w:val="19"/>
        </w:rPr>
        <w:t>寸</w:t>
      </w:r>
      <w:r>
        <w:rPr>
          <w:b/>
          <w:bCs/>
          <w:color w:val="000000"/>
          <w:spacing w:val="0"/>
          <w:w w:val="100"/>
          <w:position w:val="0"/>
        </w:rPr>
        <w:t>不适用</w:t>
      </w:r>
    </w:p>
    <w:p>
      <w:pPr>
        <w:pStyle w:val="Style39"/>
        <w:keepNext/>
        <w:keepLines/>
        <w:widowControl w:val="0"/>
        <w:shd w:val="clear" w:color="auto" w:fill="auto"/>
        <w:bidi w:val="0"/>
        <w:spacing w:before="0" w:after="440" w:line="240" w:lineRule="auto"/>
        <w:ind w:left="0" w:right="0" w:firstLine="0"/>
        <w:jc w:val="both"/>
      </w:pPr>
      <w:bookmarkStart w:id="446" w:name="bookmark446"/>
      <w:bookmarkStart w:id="447" w:name="bookmark447"/>
      <w:bookmarkStart w:id="448" w:name="bookmark448"/>
      <w:bookmarkStart w:id="449" w:name="bookmark449"/>
      <w:r>
        <w:rPr>
          <w:color w:val="000000"/>
          <w:spacing w:val="0"/>
          <w:w w:val="100"/>
          <w:position w:val="0"/>
          <w:sz w:val="24"/>
          <w:szCs w:val="24"/>
        </w:rPr>
        <w:t>六</w:t>
      </w:r>
      <w:bookmarkEnd w:id="448"/>
      <w:r>
        <w:rPr>
          <w:color w:val="000000"/>
          <w:spacing w:val="0"/>
          <w:w w:val="100"/>
          <w:position w:val="0"/>
          <w:sz w:val="24"/>
          <w:szCs w:val="24"/>
        </w:rPr>
        <w:t>、董事会关于报告期会计政策、会计估计变更或重大会计差错更正的说明</w:t>
      </w:r>
      <w:bookmarkEnd w:id="446"/>
      <w:bookmarkEnd w:id="447"/>
      <w:bookmarkEnd w:id="449"/>
    </w:p>
    <w:p>
      <w:pPr>
        <w:pStyle w:val="Style41"/>
        <w:keepNext w:val="0"/>
        <w:keepLines w:val="0"/>
        <w:widowControl w:val="0"/>
        <w:shd w:val="clear" w:color="auto" w:fill="auto"/>
        <w:bidi w:val="0"/>
        <w:spacing w:before="0" w:after="0" w:line="550" w:lineRule="auto"/>
        <w:ind w:left="0" w:right="0" w:firstLine="0"/>
        <w:jc w:val="both"/>
      </w:pPr>
      <w:r>
        <w:rPr>
          <w:rFonts w:ascii="Times New Roman" w:eastAsia="Times New Roman" w:hAnsi="Times New Roman" w:cs="Times New Roman"/>
          <w:b/>
          <w:bCs/>
          <w:color w:val="000000"/>
          <w:spacing w:val="0"/>
          <w:w w:val="100"/>
          <w:position w:val="0"/>
          <w:sz w:val="18"/>
          <w:szCs w:val="18"/>
        </w:rPr>
        <w:t>V</w:t>
      </w:r>
      <w:r>
        <w:rPr>
          <w:b/>
          <w:bCs/>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41"/>
        <w:keepNext w:val="0"/>
        <w:keepLines w:val="0"/>
        <w:widowControl w:val="0"/>
        <w:shd w:val="clear" w:color="auto" w:fill="auto"/>
        <w:tabs>
          <w:tab w:pos="825" w:val="left"/>
        </w:tabs>
        <w:bidi w:val="0"/>
        <w:spacing w:before="0" w:after="0" w:line="474" w:lineRule="exact"/>
        <w:ind w:left="0" w:right="0"/>
        <w:jc w:val="both"/>
      </w:pPr>
      <w:bookmarkStart w:id="450" w:name="bookmark450"/>
      <w:r>
        <w:rPr>
          <w:color w:val="000000"/>
          <w:spacing w:val="0"/>
          <w:w w:val="100"/>
          <w:position w:val="0"/>
        </w:rPr>
        <w:t>（</w:t>
      </w:r>
      <w:bookmarkEnd w:id="450"/>
      <w:r>
        <w:rPr>
          <w:rFonts w:ascii="Times New Roman" w:eastAsia="Times New Roman" w:hAnsi="Times New Roman" w:cs="Times New Roman"/>
          <w:color w:val="000000"/>
          <w:spacing w:val="0"/>
          <w:w w:val="100"/>
          <w:position w:val="0"/>
          <w:sz w:val="18"/>
          <w:szCs w:val="18"/>
        </w:rPr>
        <w:t>1</w:t>
      </w:r>
      <w:r>
        <w:rPr>
          <w:color w:val="000000"/>
          <w:spacing w:val="0"/>
          <w:w w:val="100"/>
          <w:position w:val="0"/>
        </w:rPr>
        <w:t>）</w:t>
        <w:tab/>
        <w:t>执行《企业会计准则第</w:t>
      </w:r>
      <w:r>
        <w:rPr>
          <w:rFonts w:ascii="Times New Roman" w:eastAsia="Times New Roman" w:hAnsi="Times New Roman" w:cs="Times New Roman"/>
          <w:color w:val="000000"/>
          <w:spacing w:val="0"/>
          <w:w w:val="100"/>
          <w:position w:val="0"/>
          <w:sz w:val="18"/>
          <w:szCs w:val="18"/>
        </w:rPr>
        <w:t>14</w:t>
      </w:r>
      <w:r>
        <w:rPr>
          <w:color w:val="000000"/>
          <w:spacing w:val="0"/>
          <w:w w:val="100"/>
          <w:position w:val="0"/>
        </w:rPr>
        <w:t>号——收入》（</w:t>
      </w:r>
      <w:r>
        <w:rPr>
          <w:rFonts w:ascii="Times New Roman" w:eastAsia="Times New Roman" w:hAnsi="Times New Roman" w:cs="Times New Roman"/>
          <w:color w:val="000000"/>
          <w:spacing w:val="0"/>
          <w:w w:val="100"/>
          <w:position w:val="0"/>
          <w:sz w:val="18"/>
          <w:szCs w:val="18"/>
        </w:rPr>
        <w:t>2017</w:t>
      </w:r>
      <w:r>
        <w:rPr>
          <w:color w:val="000000"/>
          <w:spacing w:val="0"/>
          <w:w w:val="100"/>
          <w:position w:val="0"/>
        </w:rPr>
        <w:t>年修订）（以下简称</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新收入准则</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p>
      <w:pPr>
        <w:pStyle w:val="Style41"/>
        <w:keepNext w:val="0"/>
        <w:keepLines w:val="0"/>
        <w:widowControl w:val="0"/>
        <w:shd w:val="clear" w:color="auto" w:fill="auto"/>
        <w:bidi w:val="0"/>
        <w:spacing w:before="0" w:after="0" w:line="474" w:lineRule="exact"/>
        <w:ind w:left="0" w:right="0"/>
        <w:jc w:val="both"/>
      </w:pPr>
      <w:r>
        <w:rPr>
          <w:color w:val="000000"/>
          <w:spacing w:val="0"/>
          <w:w w:val="100"/>
          <w:position w:val="0"/>
        </w:rPr>
        <w:t>财政部于</w:t>
      </w:r>
      <w:r>
        <w:rPr>
          <w:rFonts w:ascii="Times New Roman" w:eastAsia="Times New Roman" w:hAnsi="Times New Roman" w:cs="Times New Roman"/>
          <w:color w:val="000000"/>
          <w:spacing w:val="0"/>
          <w:w w:val="100"/>
          <w:position w:val="0"/>
          <w:sz w:val="18"/>
          <w:szCs w:val="18"/>
        </w:rPr>
        <w:t>2017</w:t>
      </w:r>
      <w:r>
        <w:rPr>
          <w:color w:val="000000"/>
          <w:spacing w:val="0"/>
          <w:w w:val="100"/>
          <w:position w:val="0"/>
        </w:rPr>
        <w:t>年度修订了《企业会计准则第</w:t>
      </w:r>
      <w:r>
        <w:rPr>
          <w:rFonts w:ascii="Times New Roman" w:eastAsia="Times New Roman" w:hAnsi="Times New Roman" w:cs="Times New Roman"/>
          <w:color w:val="000000"/>
          <w:spacing w:val="0"/>
          <w:w w:val="100"/>
          <w:position w:val="0"/>
          <w:sz w:val="18"/>
          <w:szCs w:val="18"/>
        </w:rPr>
        <w:t>14</w:t>
      </w:r>
      <w:r>
        <w:rPr>
          <w:color w:val="000000"/>
          <w:spacing w:val="0"/>
          <w:w w:val="100"/>
          <w:position w:val="0"/>
        </w:rPr>
        <w:t>号——收入》。修订后的准则规定，首次执行该准则应当根据累积影响数 调整当年年初留存收益及财务报表其他相关项目金额，对可比期间信息不予调整。</w:t>
      </w:r>
    </w:p>
    <w:p>
      <w:pPr>
        <w:pStyle w:val="Style41"/>
        <w:keepNext w:val="0"/>
        <w:keepLines w:val="0"/>
        <w:widowControl w:val="0"/>
        <w:shd w:val="clear" w:color="auto" w:fill="auto"/>
        <w:bidi w:val="0"/>
        <w:spacing w:before="0" w:after="0" w:line="474" w:lineRule="exact"/>
        <w:ind w:left="0" w:right="0"/>
        <w:jc w:val="both"/>
      </w:pPr>
      <w:r>
        <w:rPr>
          <w:color w:val="000000"/>
          <w:spacing w:val="0"/>
          <w:w w:val="100"/>
          <w:position w:val="0"/>
        </w:rPr>
        <w:t>本公司自</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日起执行新收入准则。根据准则的规定，本公司仅对在首次执行日尚未完成的合同的累积影响数调 整</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年年初留存收益以及财务报表其他相关项目金额，比较财务报表不做调整。</w:t>
      </w:r>
    </w:p>
    <w:p>
      <w:pPr>
        <w:pStyle w:val="Style41"/>
        <w:keepNext w:val="0"/>
        <w:keepLines w:val="0"/>
        <w:widowControl w:val="0"/>
        <w:shd w:val="clear" w:color="auto" w:fill="auto"/>
        <w:tabs>
          <w:tab w:pos="825" w:val="left"/>
        </w:tabs>
        <w:bidi w:val="0"/>
        <w:spacing w:before="0" w:after="0" w:line="474" w:lineRule="exact"/>
        <w:ind w:left="0" w:right="0"/>
        <w:jc w:val="both"/>
      </w:pPr>
      <w:bookmarkStart w:id="451" w:name="bookmark451"/>
      <w:r>
        <w:rPr>
          <w:color w:val="000000"/>
          <w:spacing w:val="0"/>
          <w:w w:val="100"/>
          <w:position w:val="0"/>
        </w:rPr>
        <w:t>（</w:t>
      </w:r>
      <w:bookmarkEnd w:id="451"/>
      <w:r>
        <w:rPr>
          <w:rFonts w:ascii="Times New Roman" w:eastAsia="Times New Roman" w:hAnsi="Times New Roman" w:cs="Times New Roman"/>
          <w:color w:val="000000"/>
          <w:spacing w:val="0"/>
          <w:w w:val="100"/>
          <w:position w:val="0"/>
          <w:sz w:val="18"/>
          <w:szCs w:val="18"/>
        </w:rPr>
        <w:t>2</w:t>
      </w:r>
      <w:r>
        <w:rPr>
          <w:color w:val="000000"/>
          <w:spacing w:val="0"/>
          <w:w w:val="100"/>
          <w:position w:val="0"/>
        </w:rPr>
        <w:t>）</w:t>
        <w:tab/>
        <w:t>执行《企业会计准则解释第</w:t>
      </w:r>
      <w:r>
        <w:rPr>
          <w:rFonts w:ascii="Times New Roman" w:eastAsia="Times New Roman" w:hAnsi="Times New Roman" w:cs="Times New Roman"/>
          <w:color w:val="000000"/>
          <w:spacing w:val="0"/>
          <w:w w:val="100"/>
          <w:position w:val="0"/>
          <w:sz w:val="18"/>
          <w:szCs w:val="18"/>
        </w:rPr>
        <w:t>13</w:t>
      </w:r>
      <w:r>
        <w:rPr>
          <w:color w:val="000000"/>
          <w:spacing w:val="0"/>
          <w:w w:val="100"/>
          <w:position w:val="0"/>
        </w:rPr>
        <w:t>号》</w:t>
      </w:r>
    </w:p>
    <w:p>
      <w:pPr>
        <w:pStyle w:val="Style41"/>
        <w:keepNext w:val="0"/>
        <w:keepLines w:val="0"/>
        <w:widowControl w:val="0"/>
        <w:shd w:val="clear" w:color="auto" w:fill="auto"/>
        <w:bidi w:val="0"/>
        <w:spacing w:before="0" w:after="0" w:line="474" w:lineRule="exact"/>
        <w:ind w:left="0" w:right="0"/>
        <w:jc w:val="both"/>
      </w:pPr>
      <w:r>
        <w:rPr>
          <w:color w:val="000000"/>
          <w:spacing w:val="0"/>
          <w:w w:val="100"/>
          <w:position w:val="0"/>
        </w:rPr>
        <w:t>财政部于</w:t>
      </w:r>
      <w:r>
        <w:rPr>
          <w:rFonts w:ascii="Times New Roman" w:eastAsia="Times New Roman" w:hAnsi="Times New Roman" w:cs="Times New Roman"/>
          <w:color w:val="000000"/>
          <w:spacing w:val="0"/>
          <w:w w:val="100"/>
          <w:position w:val="0"/>
          <w:sz w:val="18"/>
          <w:szCs w:val="18"/>
        </w:rPr>
        <w:t>2019</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日发布了《企业会计准则解释第</w:t>
      </w:r>
      <w:r>
        <w:rPr>
          <w:rFonts w:ascii="Times New Roman" w:eastAsia="Times New Roman" w:hAnsi="Times New Roman" w:cs="Times New Roman"/>
          <w:color w:val="000000"/>
          <w:spacing w:val="0"/>
          <w:w w:val="100"/>
          <w:position w:val="0"/>
          <w:sz w:val="18"/>
          <w:szCs w:val="18"/>
        </w:rPr>
        <w:t>13</w:t>
      </w:r>
      <w:r>
        <w:rPr>
          <w:color w:val="000000"/>
          <w:spacing w:val="0"/>
          <w:w w:val="100"/>
          <w:position w:val="0"/>
        </w:rPr>
        <w:t>号》（财会（</w:t>
      </w:r>
      <w:r>
        <w:rPr>
          <w:rFonts w:ascii="Times New Roman" w:eastAsia="Times New Roman" w:hAnsi="Times New Roman" w:cs="Times New Roman"/>
          <w:color w:val="000000"/>
          <w:spacing w:val="0"/>
          <w:w w:val="100"/>
          <w:position w:val="0"/>
          <w:sz w:val="18"/>
          <w:szCs w:val="18"/>
        </w:rPr>
        <w:t>2019</w:t>
      </w:r>
      <w:r>
        <w:rPr>
          <w:color w:val="000000"/>
          <w:spacing w:val="0"/>
          <w:w w:val="100"/>
          <w:position w:val="0"/>
        </w:rPr>
        <w:t xml:space="preserve">〕 </w:t>
      </w:r>
      <w:r>
        <w:rPr>
          <w:rFonts w:ascii="Times New Roman" w:eastAsia="Times New Roman" w:hAnsi="Times New Roman" w:cs="Times New Roman"/>
          <w:color w:val="000000"/>
          <w:spacing w:val="0"/>
          <w:w w:val="100"/>
          <w:position w:val="0"/>
          <w:sz w:val="18"/>
          <w:szCs w:val="18"/>
        </w:rPr>
        <w:t>21</w:t>
      </w:r>
      <w:r>
        <w:rPr>
          <w:color w:val="000000"/>
          <w:spacing w:val="0"/>
          <w:w w:val="100"/>
          <w:position w:val="0"/>
        </w:rPr>
        <w:t>号，以下简称</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解释第</w:t>
      </w:r>
      <w:r>
        <w:rPr>
          <w:rFonts w:ascii="Times New Roman" w:eastAsia="Times New Roman" w:hAnsi="Times New Roman" w:cs="Times New Roman"/>
          <w:color w:val="000000"/>
          <w:spacing w:val="0"/>
          <w:w w:val="100"/>
          <w:position w:val="0"/>
          <w:sz w:val="18"/>
          <w:szCs w:val="18"/>
        </w:rPr>
        <w:t>13</w:t>
      </w:r>
      <w:r>
        <w:rPr>
          <w:color w:val="000000"/>
          <w:spacing w:val="0"/>
          <w:w w:val="100"/>
          <w:position w:val="0"/>
        </w:rPr>
        <w:t>号</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），自</w:t>
      </w:r>
      <w:r>
        <w:rPr>
          <w:rFonts w:ascii="Times New Roman" w:eastAsia="Times New Roman" w:hAnsi="Times New Roman" w:cs="Times New Roman"/>
          <w:color w:val="000000"/>
          <w:spacing w:val="0"/>
          <w:w w:val="100"/>
          <w:position w:val="0"/>
          <w:sz w:val="18"/>
          <w:szCs w:val="18"/>
        </w:rPr>
        <w:t xml:space="preserve">2020 </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日起施行，不要求追溯调整。</w:t>
      </w:r>
    </w:p>
    <w:p>
      <w:pPr>
        <w:pStyle w:val="Style41"/>
        <w:keepNext w:val="0"/>
        <w:keepLines w:val="0"/>
        <w:widowControl w:val="0"/>
        <w:numPr>
          <w:ilvl w:val="0"/>
          <w:numId w:val="15"/>
        </w:numPr>
        <w:shd w:val="clear" w:color="auto" w:fill="auto"/>
        <w:tabs>
          <w:tab w:pos="753" w:val="left"/>
        </w:tabs>
        <w:bidi w:val="0"/>
        <w:spacing w:before="0" w:after="0" w:line="474" w:lineRule="exact"/>
        <w:ind w:left="0" w:right="0"/>
        <w:jc w:val="both"/>
      </w:pPr>
      <w:bookmarkStart w:id="452" w:name="bookmark452"/>
      <w:bookmarkEnd w:id="452"/>
      <w:r>
        <w:rPr>
          <w:color w:val="000000"/>
          <w:spacing w:val="0"/>
          <w:w w:val="100"/>
          <w:position w:val="0"/>
        </w:rPr>
        <w:t>关联方的认定</w:t>
      </w:r>
    </w:p>
    <w:p>
      <w:pPr>
        <w:pStyle w:val="Style41"/>
        <w:keepNext w:val="0"/>
        <w:keepLines w:val="0"/>
        <w:widowControl w:val="0"/>
        <w:shd w:val="clear" w:color="auto" w:fill="auto"/>
        <w:bidi w:val="0"/>
        <w:spacing w:before="0" w:after="0" w:line="474" w:lineRule="exact"/>
        <w:ind w:left="0" w:right="0"/>
        <w:jc w:val="both"/>
      </w:pPr>
      <w:r>
        <w:rPr>
          <w:color w:val="000000"/>
          <w:spacing w:val="0"/>
          <w:w w:val="100"/>
          <w:position w:val="0"/>
        </w:rPr>
        <w:t>解释第</w:t>
      </w:r>
      <w:r>
        <w:rPr>
          <w:rFonts w:ascii="Times New Roman" w:eastAsia="Times New Roman" w:hAnsi="Times New Roman" w:cs="Times New Roman"/>
          <w:color w:val="000000"/>
          <w:spacing w:val="0"/>
          <w:w w:val="100"/>
          <w:position w:val="0"/>
          <w:sz w:val="18"/>
          <w:szCs w:val="18"/>
        </w:rPr>
        <w:t>13</w:t>
      </w:r>
      <w:r>
        <w:rPr>
          <w:color w:val="000000"/>
          <w:spacing w:val="0"/>
          <w:w w:val="100"/>
          <w:position w:val="0"/>
        </w:rPr>
        <w:t>号明确了以下情形构成关联方：企业与其所属企业集团的其他成员单位（包括母公司和子公司）的合营企业或 联营企业；企业的合营企业与企业的其他合营企业或联营企业。此外，解释第</w:t>
      </w:r>
      <w:r>
        <w:rPr>
          <w:rFonts w:ascii="Times New Roman" w:eastAsia="Times New Roman" w:hAnsi="Times New Roman" w:cs="Times New Roman"/>
          <w:color w:val="000000"/>
          <w:spacing w:val="0"/>
          <w:w w:val="100"/>
          <w:position w:val="0"/>
          <w:sz w:val="18"/>
          <w:szCs w:val="18"/>
        </w:rPr>
        <w:t>13</w:t>
      </w:r>
      <w:r>
        <w:rPr>
          <w:color w:val="000000"/>
          <w:spacing w:val="0"/>
          <w:w w:val="100"/>
          <w:position w:val="0"/>
        </w:rPr>
        <w:t>号也明确了仅仅同受一方重大影响的两方或 两方以上的企业不构成关联方，并补充说明了联营企业包括联营企业及其子公司，合营企业包括合营企业及其子公司。</w:t>
      </w:r>
    </w:p>
    <w:p>
      <w:pPr>
        <w:pStyle w:val="Style41"/>
        <w:keepNext w:val="0"/>
        <w:keepLines w:val="0"/>
        <w:widowControl w:val="0"/>
        <w:numPr>
          <w:ilvl w:val="0"/>
          <w:numId w:val="15"/>
        </w:numPr>
        <w:shd w:val="clear" w:color="auto" w:fill="auto"/>
        <w:tabs>
          <w:tab w:pos="753" w:val="left"/>
        </w:tabs>
        <w:bidi w:val="0"/>
        <w:spacing w:before="0" w:after="0" w:line="474" w:lineRule="exact"/>
        <w:ind w:left="0" w:right="0"/>
        <w:jc w:val="both"/>
      </w:pPr>
      <w:bookmarkStart w:id="453" w:name="bookmark453"/>
      <w:bookmarkEnd w:id="453"/>
      <w:r>
        <w:rPr>
          <w:color w:val="000000"/>
          <w:spacing w:val="0"/>
          <w:w w:val="100"/>
          <w:position w:val="0"/>
        </w:rPr>
        <w:t>业务的定义</w:t>
      </w:r>
    </w:p>
    <w:p>
      <w:pPr>
        <w:pStyle w:val="Style41"/>
        <w:keepNext w:val="0"/>
        <w:keepLines w:val="0"/>
        <w:widowControl w:val="0"/>
        <w:shd w:val="clear" w:color="auto" w:fill="auto"/>
        <w:bidi w:val="0"/>
        <w:spacing w:before="0" w:after="0" w:line="474" w:lineRule="exact"/>
        <w:ind w:left="0" w:right="0"/>
        <w:jc w:val="both"/>
      </w:pPr>
      <w:r>
        <w:rPr>
          <w:color w:val="000000"/>
          <w:spacing w:val="0"/>
          <w:w w:val="100"/>
          <w:position w:val="0"/>
        </w:rPr>
        <w:t>解释第</w:t>
      </w:r>
      <w:r>
        <w:rPr>
          <w:rFonts w:ascii="Times New Roman" w:eastAsia="Times New Roman" w:hAnsi="Times New Roman" w:cs="Times New Roman"/>
          <w:color w:val="000000"/>
          <w:spacing w:val="0"/>
          <w:w w:val="100"/>
          <w:position w:val="0"/>
          <w:sz w:val="18"/>
          <w:szCs w:val="18"/>
        </w:rPr>
        <w:t>13</w:t>
      </w:r>
      <w:r>
        <w:rPr>
          <w:color w:val="000000"/>
          <w:spacing w:val="0"/>
          <w:w w:val="100"/>
          <w:position w:val="0"/>
        </w:rPr>
        <w:t>号完善了业务构成的三个要素，细化了构成业务的判断条件，同时引入</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集中度测试</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选择，以在一定程度上简 化非同一控制下取得组合是否构成业务的判断等问题。</w:t>
      </w:r>
    </w:p>
    <w:p>
      <w:pPr>
        <w:pStyle w:val="Style41"/>
        <w:keepNext w:val="0"/>
        <w:keepLines w:val="0"/>
        <w:widowControl w:val="0"/>
        <w:shd w:val="clear" w:color="auto" w:fill="auto"/>
        <w:bidi w:val="0"/>
        <w:spacing w:before="0" w:after="0" w:line="474" w:lineRule="exact"/>
        <w:ind w:left="0" w:right="0"/>
        <w:jc w:val="both"/>
      </w:pPr>
      <w:r>
        <w:rPr>
          <w:color w:val="000000"/>
          <w:spacing w:val="0"/>
          <w:w w:val="100"/>
          <w:position w:val="0"/>
        </w:rPr>
        <w:t>本公司自</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日起执行解释第</w:t>
      </w:r>
      <w:r>
        <w:rPr>
          <w:rFonts w:ascii="Times New Roman" w:eastAsia="Times New Roman" w:hAnsi="Times New Roman" w:cs="Times New Roman"/>
          <w:color w:val="000000"/>
          <w:spacing w:val="0"/>
          <w:w w:val="100"/>
          <w:position w:val="0"/>
          <w:sz w:val="18"/>
          <w:szCs w:val="18"/>
        </w:rPr>
        <w:t>13</w:t>
      </w:r>
      <w:r>
        <w:rPr>
          <w:color w:val="000000"/>
          <w:spacing w:val="0"/>
          <w:w w:val="100"/>
          <w:position w:val="0"/>
        </w:rPr>
        <w:t>号，比较财务报表不做调整，执行解释第</w:t>
      </w:r>
      <w:r>
        <w:rPr>
          <w:rFonts w:ascii="Times New Roman" w:eastAsia="Times New Roman" w:hAnsi="Times New Roman" w:cs="Times New Roman"/>
          <w:color w:val="000000"/>
          <w:spacing w:val="0"/>
          <w:w w:val="100"/>
          <w:position w:val="0"/>
          <w:sz w:val="18"/>
          <w:szCs w:val="18"/>
        </w:rPr>
        <w:t>13</w:t>
      </w:r>
      <w:r>
        <w:rPr>
          <w:color w:val="000000"/>
          <w:spacing w:val="0"/>
          <w:w w:val="100"/>
          <w:position w:val="0"/>
        </w:rPr>
        <w:t>号未对本公司财务状况和经营成果产 生重大影响。</w:t>
      </w:r>
    </w:p>
    <w:p>
      <w:pPr>
        <w:pStyle w:val="Style41"/>
        <w:keepNext w:val="0"/>
        <w:keepLines w:val="0"/>
        <w:widowControl w:val="0"/>
        <w:shd w:val="clear" w:color="auto" w:fill="auto"/>
        <w:tabs>
          <w:tab w:pos="825" w:val="left"/>
        </w:tabs>
        <w:bidi w:val="0"/>
        <w:spacing w:before="0" w:after="0" w:line="474" w:lineRule="exact"/>
        <w:ind w:left="0" w:right="0"/>
        <w:jc w:val="both"/>
      </w:pPr>
      <w:bookmarkStart w:id="454" w:name="bookmark454"/>
      <w:r>
        <w:rPr>
          <w:color w:val="000000"/>
          <w:spacing w:val="0"/>
          <w:w w:val="100"/>
          <w:position w:val="0"/>
        </w:rPr>
        <w:t>（</w:t>
      </w:r>
      <w:bookmarkEnd w:id="454"/>
      <w:r>
        <w:rPr>
          <w:rFonts w:ascii="Times New Roman" w:eastAsia="Times New Roman" w:hAnsi="Times New Roman" w:cs="Times New Roman"/>
          <w:color w:val="000000"/>
          <w:spacing w:val="0"/>
          <w:w w:val="100"/>
          <w:position w:val="0"/>
          <w:sz w:val="18"/>
          <w:szCs w:val="18"/>
        </w:rPr>
        <w:t>3</w:t>
      </w:r>
      <w:r>
        <w:rPr>
          <w:color w:val="000000"/>
          <w:spacing w:val="0"/>
          <w:w w:val="100"/>
          <w:position w:val="0"/>
        </w:rPr>
        <w:t>）</w:t>
        <w:tab/>
        <w:t>执行《新冠肺炎疫情相关租金减让会计处理规定》</w:t>
      </w:r>
    </w:p>
    <w:p>
      <w:pPr>
        <w:pStyle w:val="Style41"/>
        <w:keepNext w:val="0"/>
        <w:keepLines w:val="0"/>
        <w:widowControl w:val="0"/>
        <w:shd w:val="clear" w:color="auto" w:fill="auto"/>
        <w:bidi w:val="0"/>
        <w:spacing w:before="0" w:after="0" w:line="474" w:lineRule="exact"/>
        <w:ind w:left="0" w:right="0"/>
        <w:jc w:val="both"/>
      </w:pPr>
      <w:r>
        <w:rPr>
          <w:color w:val="000000"/>
          <w:spacing w:val="0"/>
          <w:w w:val="100"/>
          <w:position w:val="0"/>
        </w:rPr>
        <w:t>财政部于</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6</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19</w:t>
      </w:r>
      <w:r>
        <w:rPr>
          <w:color w:val="000000"/>
          <w:spacing w:val="0"/>
          <w:w w:val="100"/>
          <w:position w:val="0"/>
        </w:rPr>
        <w:t>日发布了《新冠肺炎疫情相关租金减让会计处理规定》（财会〔</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号），自</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6</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 xml:space="preserve">19 </w:t>
      </w:r>
      <w:r>
        <w:rPr>
          <w:color w:val="000000"/>
          <w:spacing w:val="0"/>
          <w:w w:val="100"/>
          <w:position w:val="0"/>
        </w:rPr>
        <w:t>日起施行，允许企业对</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日至该规定施行日之间发生的相关租金减让进行调整。按照该规定，对于满足条件的由新 冠肺炎疫情直接引发的租金减免、延期支付租金等租金减让，企业可以选择采用简化方法进行会计处理。</w:t>
      </w:r>
    </w:p>
    <w:p>
      <w:pPr>
        <w:pStyle w:val="Style41"/>
        <w:keepNext w:val="0"/>
        <w:keepLines w:val="0"/>
        <w:widowControl w:val="0"/>
        <w:shd w:val="clear" w:color="auto" w:fill="auto"/>
        <w:bidi w:val="0"/>
        <w:spacing w:before="0" w:after="0" w:line="474" w:lineRule="exact"/>
        <w:ind w:left="0" w:right="0"/>
        <w:jc w:val="both"/>
      </w:pPr>
      <w:r>
        <w:rPr>
          <w:color w:val="000000"/>
          <w:spacing w:val="0"/>
          <w:w w:val="100"/>
          <w:position w:val="0"/>
        </w:rPr>
        <w:t>本公司对于属于该规定适用范围的租金减让全部选择采用简化方法进行会计处理并对</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日至该规定施行日之 间发生的相关租金减让根据该规定进行相应调整。</w:t>
      </w:r>
    </w:p>
    <w:p>
      <w:pPr>
        <w:pStyle w:val="Style41"/>
        <w:keepNext w:val="0"/>
        <w:keepLines w:val="0"/>
        <w:widowControl w:val="0"/>
        <w:shd w:val="clear" w:color="auto" w:fill="auto"/>
        <w:bidi w:val="0"/>
        <w:spacing w:before="0" w:after="0" w:line="474" w:lineRule="exact"/>
        <w:ind w:left="0" w:right="0"/>
        <w:jc w:val="both"/>
      </w:pPr>
      <w:r>
        <w:rPr>
          <w:color w:val="000000"/>
          <w:spacing w:val="0"/>
          <w:w w:val="100"/>
          <w:position w:val="0"/>
        </w:rPr>
        <w:t>本公司作为出租人采用简化方法处理相关租金减让冲减本期营业收入人民币</w:t>
      </w:r>
      <w:r>
        <w:rPr>
          <w:rFonts w:ascii="Times New Roman" w:eastAsia="Times New Roman" w:hAnsi="Times New Roman" w:cs="Times New Roman"/>
          <w:color w:val="000000"/>
          <w:spacing w:val="0"/>
          <w:w w:val="100"/>
          <w:position w:val="0"/>
          <w:sz w:val="18"/>
          <w:szCs w:val="18"/>
        </w:rPr>
        <w:t>112.75</w:t>
      </w:r>
      <w:r>
        <w:rPr>
          <w:color w:val="000000"/>
          <w:spacing w:val="0"/>
          <w:w w:val="100"/>
          <w:position w:val="0"/>
        </w:rPr>
        <w:t>万元。</w:t>
      </w:r>
    </w:p>
    <w:p>
      <w:pPr>
        <w:pStyle w:val="Style39"/>
        <w:keepNext/>
        <w:keepLines/>
        <w:widowControl w:val="0"/>
        <w:shd w:val="clear" w:color="auto" w:fill="auto"/>
        <w:tabs>
          <w:tab w:pos="522" w:val="left"/>
        </w:tabs>
        <w:bidi w:val="0"/>
        <w:spacing w:before="0" w:after="440" w:line="240" w:lineRule="auto"/>
        <w:ind w:left="0" w:right="0" w:firstLine="0"/>
        <w:jc w:val="left"/>
      </w:pPr>
      <w:bookmarkStart w:id="455" w:name="bookmark455"/>
      <w:bookmarkStart w:id="456" w:name="bookmark456"/>
      <w:bookmarkStart w:id="457" w:name="bookmark457"/>
      <w:bookmarkStart w:id="458" w:name="bookmark458"/>
      <w:r>
        <w:rPr>
          <w:color w:val="000000"/>
          <w:spacing w:val="0"/>
          <w:w w:val="100"/>
          <w:position w:val="0"/>
          <w:sz w:val="24"/>
          <w:szCs w:val="24"/>
        </w:rPr>
        <w:t>七</w:t>
      </w:r>
      <w:bookmarkEnd w:id="457"/>
      <w:r>
        <w:rPr>
          <w:color w:val="000000"/>
          <w:spacing w:val="0"/>
          <w:w w:val="100"/>
          <w:position w:val="0"/>
          <w:sz w:val="24"/>
          <w:szCs w:val="24"/>
        </w:rPr>
        <w:t>、</w:t>
        <w:tab/>
        <w:t>与上年度财务报告相比，合并报表范围发生变化的情况说明</w:t>
      </w:r>
      <w:bookmarkEnd w:id="455"/>
      <w:bookmarkEnd w:id="456"/>
      <w:bookmarkEnd w:id="458"/>
    </w:p>
    <w:p>
      <w:pPr>
        <w:pStyle w:val="Style41"/>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z w:val="19"/>
          <w:szCs w:val="19"/>
        </w:rPr>
        <w:t>寸</w:t>
      </w:r>
      <w:r>
        <w:rPr>
          <w:b/>
          <w:bCs/>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41"/>
        <w:keepNext w:val="0"/>
        <w:keepLines w:val="0"/>
        <w:widowControl w:val="0"/>
        <w:shd w:val="clear" w:color="auto" w:fill="auto"/>
        <w:bidi w:val="0"/>
        <w:spacing w:before="0" w:after="240" w:line="240" w:lineRule="auto"/>
        <w:ind w:left="0" w:right="0" w:firstLine="0"/>
        <w:jc w:val="left"/>
      </w:pPr>
      <w:r>
        <w:rPr>
          <w:color w:val="000000"/>
          <w:spacing w:val="0"/>
          <w:w w:val="100"/>
          <w:position w:val="0"/>
        </w:rPr>
        <w:t>具体内容详见</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第十二节财务报告</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中</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八、合并范围的变更</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p>
      <w:pPr>
        <w:pStyle w:val="Style39"/>
        <w:keepNext/>
        <w:keepLines/>
        <w:widowControl w:val="0"/>
        <w:shd w:val="clear" w:color="auto" w:fill="auto"/>
        <w:tabs>
          <w:tab w:pos="522" w:val="left"/>
        </w:tabs>
        <w:bidi w:val="0"/>
        <w:spacing w:before="0" w:after="240" w:line="240" w:lineRule="auto"/>
        <w:ind w:left="0" w:right="0" w:firstLine="0"/>
        <w:jc w:val="left"/>
      </w:pPr>
      <w:bookmarkStart w:id="459" w:name="bookmark459"/>
      <w:bookmarkStart w:id="460" w:name="bookmark460"/>
      <w:bookmarkStart w:id="461" w:name="bookmark461"/>
      <w:bookmarkStart w:id="462" w:name="bookmark462"/>
      <w:r>
        <w:rPr>
          <w:color w:val="000000"/>
          <w:spacing w:val="0"/>
          <w:w w:val="100"/>
          <w:position w:val="0"/>
          <w:sz w:val="24"/>
          <w:szCs w:val="24"/>
        </w:rPr>
        <w:t>八</w:t>
      </w:r>
      <w:bookmarkEnd w:id="461"/>
      <w:r>
        <w:rPr>
          <w:color w:val="000000"/>
          <w:spacing w:val="0"/>
          <w:w w:val="100"/>
          <w:position w:val="0"/>
          <w:sz w:val="24"/>
          <w:szCs w:val="24"/>
        </w:rPr>
        <w:t>、</w:t>
        <w:tab/>
        <w:t>聘任、解聘会计师事务所情况</w:t>
      </w:r>
      <w:bookmarkEnd w:id="459"/>
      <w:bookmarkEnd w:id="460"/>
      <w:bookmarkEnd w:id="462"/>
    </w:p>
    <w:p>
      <w:pPr>
        <w:pStyle w:val="Style20"/>
        <w:keepNext w:val="0"/>
        <w:keepLines w:val="0"/>
        <w:widowControl w:val="0"/>
        <w:shd w:val="clear" w:color="auto" w:fill="auto"/>
        <w:bidi w:val="0"/>
        <w:spacing w:before="0" w:after="0" w:line="240" w:lineRule="auto"/>
        <w:ind w:left="14" w:right="0" w:firstLine="0"/>
        <w:jc w:val="left"/>
        <w:rPr>
          <w:sz w:val="17"/>
          <w:szCs w:val="17"/>
        </w:rPr>
      </w:pPr>
      <w:r>
        <w:rPr>
          <w:rFonts w:ascii="SimSun" w:eastAsia="SimSun" w:hAnsi="SimSun" w:cs="SimSun"/>
          <w:color w:val="000000"/>
          <w:spacing w:val="0"/>
          <w:w w:val="100"/>
          <w:position w:val="0"/>
          <w:sz w:val="17"/>
          <w:szCs w:val="17"/>
        </w:rPr>
        <w:t>现聘任的会计事务所</w:t>
      </w:r>
    </w:p>
    <w:tbl>
      <w:tblPr>
        <w:tblOverlap w:val="never"/>
        <w:jc w:val="center"/>
        <w:tblLayout w:type="fixed"/>
      </w:tblPr>
      <w:tblGrid>
        <w:gridCol w:w="4862"/>
        <w:gridCol w:w="4848"/>
      </w:tblGrid>
      <w:tr>
        <w:trPr>
          <w:trHeight w:val="40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境内会计师事务所名称</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立信会计师事务所（特殊普通合伙）</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境内会计师事务所报酬（万元）</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230</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境内会计师事务所审计服务的连续年限</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15</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境内会计师事务所注册会计师姓名</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王一芳、张佳朕</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境内会计师事务所注册会计师审计服务的连续年限</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w:t>
            </w:r>
            <w:r>
              <w:rPr>
                <w:color w:val="000000"/>
                <w:spacing w:val="0"/>
                <w:w w:val="100"/>
                <w:position w:val="0"/>
                <w:sz w:val="17"/>
                <w:szCs w:val="17"/>
              </w:rPr>
              <w:t>、</w:t>
            </w:r>
            <w:r>
              <w:rPr>
                <w:rFonts w:ascii="Times New Roman" w:eastAsia="Times New Roman" w:hAnsi="Times New Roman" w:cs="Times New Roman"/>
                <w:color w:val="000000"/>
                <w:spacing w:val="0"/>
                <w:w w:val="100"/>
                <w:position w:val="0"/>
                <w:sz w:val="18"/>
                <w:szCs w:val="18"/>
              </w:rPr>
              <w:t>2</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境外会计师事务所名称</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不适用</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境外会计师事务所报酬（万元）</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0</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境外会计师事务所审计服务的连续年限</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不适用</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境外会计师事务所注册会计师姓名</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不适用</w:t>
            </w:r>
          </w:p>
        </w:tc>
      </w:tr>
      <w:tr>
        <w:trPr>
          <w:trHeight w:val="408"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境外会计师事务所注册会计师审计服务的连续年限</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不适用</w:t>
            </w:r>
          </w:p>
        </w:tc>
      </w:tr>
    </w:tbl>
    <w:p>
      <w:pPr>
        <w:widowControl w:val="0"/>
        <w:spacing w:after="139" w:line="1" w:lineRule="exact"/>
      </w:pPr>
    </w:p>
    <w:p>
      <w:pPr>
        <w:pStyle w:val="Style41"/>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rPr>
        <w:t>是否改聘会计师事务所</w:t>
      </w:r>
    </w:p>
    <w:p>
      <w:pPr>
        <w:pStyle w:val="Style41"/>
        <w:keepNext w:val="0"/>
        <w:keepLines w:val="0"/>
        <w:widowControl w:val="0"/>
        <w:shd w:val="clear" w:color="auto" w:fill="auto"/>
        <w:bidi w:val="0"/>
        <w:spacing w:before="0" w:after="24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是</w:t>
      </w:r>
      <w:r>
        <w:rPr>
          <w:b/>
          <w:bCs/>
          <w:i/>
          <w:iCs/>
          <w:color w:val="000000"/>
          <w:spacing w:val="0"/>
          <w:w w:val="100"/>
          <w:position w:val="0"/>
        </w:rPr>
        <w:t>V</w:t>
      </w:r>
      <w:r>
        <w:rPr>
          <w:b/>
          <w:bCs/>
          <w:color w:val="000000"/>
          <w:spacing w:val="0"/>
          <w:w w:val="100"/>
          <w:position w:val="0"/>
        </w:rPr>
        <w:t>否</w:t>
      </w:r>
    </w:p>
    <w:p>
      <w:pPr>
        <w:pStyle w:val="Style41"/>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rPr>
        <w:t>聘请内部控制审计会计师事务所、财务顾问或保荐人情况</w:t>
      </w:r>
    </w:p>
    <w:p>
      <w:pPr>
        <w:pStyle w:val="Style41"/>
        <w:keepNext w:val="0"/>
        <w:keepLines w:val="0"/>
        <w:widowControl w:val="0"/>
        <w:shd w:val="clear" w:color="auto" w:fill="auto"/>
        <w:bidi w:val="0"/>
        <w:spacing w:before="0" w:after="240" w:line="240" w:lineRule="auto"/>
        <w:ind w:left="0" w:right="0" w:firstLine="0"/>
        <w:jc w:val="left"/>
      </w:pPr>
      <w:r>
        <w:rPr>
          <w:rFonts w:ascii="Times New Roman" w:eastAsia="Times New Roman" w:hAnsi="Times New Roman" w:cs="Times New Roman"/>
          <w:b/>
          <w:bCs/>
          <w:color w:val="000000"/>
          <w:spacing w:val="0"/>
          <w:w w:val="100"/>
          <w:position w:val="0"/>
          <w:sz w:val="18"/>
          <w:szCs w:val="18"/>
        </w:rPr>
        <w:t>V</w:t>
      </w:r>
      <w:r>
        <w:rPr>
          <w:b/>
          <w:bCs/>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41"/>
        <w:keepNext w:val="0"/>
        <w:keepLines w:val="0"/>
        <w:widowControl w:val="0"/>
        <w:shd w:val="clear" w:color="auto" w:fill="auto"/>
        <w:bidi w:val="0"/>
        <w:spacing w:before="0" w:after="440" w:line="240" w:lineRule="auto"/>
        <w:ind w:left="0" w:right="0" w:firstLine="0"/>
        <w:jc w:val="left"/>
      </w:pPr>
      <w:r>
        <w:rPr>
          <w:color w:val="000000"/>
          <w:spacing w:val="0"/>
          <w:w w:val="100"/>
          <w:position w:val="0"/>
        </w:rPr>
        <w:t>本年度，公司聘请中信证券股份有限公司担任向特定对象发行股票的保荐机构，期间共支付保荐费</w:t>
      </w:r>
      <w:r>
        <w:rPr>
          <w:rFonts w:ascii="Times New Roman" w:eastAsia="Times New Roman" w:hAnsi="Times New Roman" w:cs="Times New Roman"/>
          <w:color w:val="000000"/>
          <w:spacing w:val="0"/>
          <w:w w:val="100"/>
          <w:position w:val="0"/>
          <w:sz w:val="18"/>
          <w:szCs w:val="18"/>
        </w:rPr>
        <w:t>100</w:t>
      </w:r>
      <w:r>
        <w:rPr>
          <w:color w:val="000000"/>
          <w:spacing w:val="0"/>
          <w:w w:val="100"/>
          <w:position w:val="0"/>
        </w:rPr>
        <w:t>万元。</w:t>
      </w:r>
    </w:p>
    <w:p>
      <w:pPr>
        <w:pStyle w:val="Style39"/>
        <w:keepNext/>
        <w:keepLines/>
        <w:widowControl w:val="0"/>
        <w:shd w:val="clear" w:color="auto" w:fill="auto"/>
        <w:bidi w:val="0"/>
        <w:spacing w:before="0" w:after="440" w:line="240" w:lineRule="auto"/>
        <w:ind w:left="0" w:right="0" w:firstLine="0"/>
        <w:jc w:val="left"/>
      </w:pPr>
      <w:bookmarkStart w:id="463" w:name="bookmark463"/>
      <w:bookmarkStart w:id="464" w:name="bookmark464"/>
      <w:bookmarkStart w:id="465" w:name="bookmark465"/>
      <w:bookmarkStart w:id="466" w:name="bookmark466"/>
      <w:r>
        <w:rPr>
          <w:color w:val="000000"/>
          <w:spacing w:val="0"/>
          <w:w w:val="100"/>
          <w:position w:val="0"/>
          <w:sz w:val="24"/>
          <w:szCs w:val="24"/>
        </w:rPr>
        <w:t>九</w:t>
      </w:r>
      <w:bookmarkEnd w:id="465"/>
      <w:r>
        <w:rPr>
          <w:color w:val="000000"/>
          <w:spacing w:val="0"/>
          <w:w w:val="100"/>
          <w:position w:val="0"/>
          <w:sz w:val="24"/>
          <w:szCs w:val="24"/>
        </w:rPr>
        <w:t>、年度报告披露后面临退市情况</w:t>
      </w:r>
      <w:bookmarkEnd w:id="463"/>
      <w:bookmarkEnd w:id="464"/>
      <w:bookmarkEnd w:id="466"/>
    </w:p>
    <w:p>
      <w:pPr>
        <w:pStyle w:val="Style41"/>
        <w:keepNext w:val="0"/>
        <w:keepLines w:val="0"/>
        <w:widowControl w:val="0"/>
        <w:shd w:val="clear" w:color="auto" w:fill="auto"/>
        <w:bidi w:val="0"/>
        <w:spacing w:before="0" w:after="44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b/>
          <w:bCs/>
          <w:color w:val="000000"/>
          <w:spacing w:val="0"/>
          <w:w w:val="100"/>
          <w:position w:val="0"/>
          <w:sz w:val="18"/>
          <w:szCs w:val="18"/>
        </w:rPr>
        <w:t>V</w:t>
      </w:r>
      <w:r>
        <w:rPr>
          <w:b/>
          <w:bCs/>
          <w:color w:val="000000"/>
          <w:spacing w:val="0"/>
          <w:w w:val="100"/>
          <w:position w:val="0"/>
        </w:rPr>
        <w:t>不适用</w:t>
      </w:r>
    </w:p>
    <w:p>
      <w:pPr>
        <w:pStyle w:val="Style39"/>
        <w:keepNext/>
        <w:keepLines/>
        <w:widowControl w:val="0"/>
        <w:shd w:val="clear" w:color="auto" w:fill="auto"/>
        <w:bidi w:val="0"/>
        <w:spacing w:before="0" w:after="440" w:line="240" w:lineRule="auto"/>
        <w:ind w:left="0" w:right="0" w:firstLine="0"/>
        <w:jc w:val="left"/>
      </w:pPr>
      <w:bookmarkStart w:id="467" w:name="bookmark467"/>
      <w:bookmarkStart w:id="468" w:name="bookmark468"/>
      <w:bookmarkStart w:id="469" w:name="bookmark469"/>
      <w:r>
        <w:rPr>
          <w:color w:val="000000"/>
          <w:spacing w:val="0"/>
          <w:w w:val="100"/>
          <w:position w:val="0"/>
          <w:sz w:val="24"/>
          <w:szCs w:val="24"/>
        </w:rPr>
        <w:t>十、破产重整相关事项</w:t>
      </w:r>
      <w:bookmarkEnd w:id="467"/>
      <w:bookmarkEnd w:id="468"/>
      <w:bookmarkEnd w:id="469"/>
    </w:p>
    <w:p>
      <w:pPr>
        <w:pStyle w:val="Style41"/>
        <w:keepNext w:val="0"/>
        <w:keepLines w:val="0"/>
        <w:widowControl w:val="0"/>
        <w:shd w:val="clear" w:color="auto" w:fill="auto"/>
        <w:bidi w:val="0"/>
        <w:spacing w:before="0" w:after="24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b/>
          <w:bCs/>
          <w:color w:val="000000"/>
          <w:spacing w:val="0"/>
          <w:w w:val="100"/>
          <w:position w:val="0"/>
          <w:sz w:val="18"/>
          <w:szCs w:val="18"/>
        </w:rPr>
        <w:t>V</w:t>
      </w:r>
      <w:r>
        <w:rPr>
          <w:b/>
          <w:bCs/>
          <w:color w:val="000000"/>
          <w:spacing w:val="0"/>
          <w:w w:val="100"/>
          <w:position w:val="0"/>
        </w:rPr>
        <w:t>不适用</w:t>
      </w:r>
    </w:p>
    <w:p>
      <w:pPr>
        <w:pStyle w:val="Style41"/>
        <w:keepNext w:val="0"/>
        <w:keepLines w:val="0"/>
        <w:widowControl w:val="0"/>
        <w:shd w:val="clear" w:color="auto" w:fill="auto"/>
        <w:bidi w:val="0"/>
        <w:spacing w:before="0" w:after="440" w:line="240" w:lineRule="auto"/>
        <w:ind w:left="0" w:right="0" w:firstLine="0"/>
        <w:jc w:val="left"/>
      </w:pPr>
      <w:r>
        <w:rPr>
          <w:color w:val="000000"/>
          <w:spacing w:val="0"/>
          <w:w w:val="100"/>
          <w:position w:val="0"/>
        </w:rPr>
        <w:t>公司报告期未发生破产重整相关事项。</w:t>
      </w:r>
    </w:p>
    <w:p>
      <w:pPr>
        <w:pStyle w:val="Style39"/>
        <w:keepNext/>
        <w:keepLines/>
        <w:widowControl w:val="0"/>
        <w:shd w:val="clear" w:color="auto" w:fill="auto"/>
        <w:bidi w:val="0"/>
        <w:spacing w:before="0" w:after="440" w:line="240" w:lineRule="auto"/>
        <w:ind w:left="0" w:right="0" w:firstLine="0"/>
        <w:jc w:val="left"/>
      </w:pPr>
      <w:bookmarkStart w:id="470" w:name="bookmark470"/>
      <w:bookmarkStart w:id="471" w:name="bookmark471"/>
      <w:bookmarkStart w:id="472" w:name="bookmark472"/>
      <w:r>
        <w:rPr>
          <w:color w:val="000000"/>
          <w:spacing w:val="0"/>
          <w:w w:val="100"/>
          <w:position w:val="0"/>
          <w:sz w:val="24"/>
          <w:szCs w:val="24"/>
        </w:rPr>
        <w:t>十一、重大诉讼、仲裁事项</w:t>
      </w:r>
      <w:bookmarkEnd w:id="470"/>
      <w:bookmarkEnd w:id="471"/>
      <w:bookmarkEnd w:id="472"/>
    </w:p>
    <w:p>
      <w:pPr>
        <w:pStyle w:val="Style41"/>
        <w:keepNext w:val="0"/>
        <w:keepLines w:val="0"/>
        <w:widowControl w:val="0"/>
        <w:shd w:val="clear" w:color="auto" w:fill="auto"/>
        <w:bidi w:val="0"/>
        <w:spacing w:before="0" w:after="240" w:line="240" w:lineRule="auto"/>
        <w:ind w:left="0" w:right="0" w:firstLine="0"/>
        <w:jc w:val="left"/>
      </w:pPr>
      <w:r>
        <w:rPr>
          <w:rFonts w:ascii="Times New Roman" w:eastAsia="Times New Roman" w:hAnsi="Times New Roman" w:cs="Times New Roman"/>
          <w:b/>
          <w:bCs/>
          <w:color w:val="000000"/>
          <w:spacing w:val="0"/>
          <w:w w:val="100"/>
          <w:position w:val="0"/>
          <w:sz w:val="18"/>
          <w:szCs w:val="18"/>
        </w:rPr>
        <w:t>V</w:t>
      </w:r>
      <w:r>
        <w:rPr>
          <w:b/>
          <w:bCs/>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41"/>
        <w:keepNext w:val="0"/>
        <w:keepLines w:val="0"/>
        <w:widowControl w:val="0"/>
        <w:shd w:val="clear" w:color="auto" w:fill="auto"/>
        <w:bidi w:val="0"/>
        <w:spacing w:before="0" w:after="240" w:line="240" w:lineRule="auto"/>
        <w:ind w:left="0" w:right="0" w:firstLine="0"/>
        <w:jc w:val="left"/>
        <w:sectPr>
          <w:headerReference w:type="default" r:id="rId187"/>
          <w:footerReference w:type="default" r:id="rId188"/>
          <w:headerReference w:type="even" r:id="rId189"/>
          <w:footerReference w:type="even" r:id="rId190"/>
          <w:footnotePr>
            <w:pos w:val="pageBottom"/>
            <w:numFmt w:val="decimal"/>
            <w:numRestart w:val="continuous"/>
          </w:footnotePr>
          <w:type w:val="continuous"/>
          <w:pgSz w:w="11904" w:h="17375"/>
          <w:pgMar w:top="1668" w:right="1047" w:bottom="1806" w:left="1070" w:header="0" w:footer="3" w:gutter="0"/>
          <w:cols w:space="720"/>
          <w:noEndnote/>
          <w:rtlGutter w:val="0"/>
          <w:docGrid w:linePitch="360"/>
        </w:sectPr>
      </w:pPr>
      <w:r>
        <w:rPr>
          <w:b/>
          <w:bCs/>
          <w:color w:val="000000"/>
          <w:spacing w:val="0"/>
          <w:w w:val="100"/>
          <w:position w:val="0"/>
        </w:rPr>
        <w:t>本报告期公司无重大诉讼、仲裁事项。</w:t>
      </w:r>
    </w:p>
    <w:p>
      <w:pPr>
        <w:pStyle w:val="Style212"/>
        <w:keepNext w:val="0"/>
        <w:keepLines w:val="0"/>
        <w:widowControl w:val="0"/>
        <w:shd w:val="clear" w:color="auto" w:fill="auto"/>
        <w:bidi w:val="0"/>
        <w:spacing w:before="0" w:after="0" w:line="240" w:lineRule="auto"/>
        <w:ind w:left="0" w:right="0" w:firstLine="0"/>
        <w:jc w:val="left"/>
      </w:pPr>
      <w:r>
        <w:rPr>
          <w:spacing w:val="0"/>
          <w:w w:val="100"/>
          <w:position w:val="0"/>
        </w:rPr>
        <w:t>Ultrapoiuer</w:t>
      </w:r>
    </w:p>
    <w:p>
      <w:pPr>
        <w:pStyle w:val="Style41"/>
        <w:keepNext w:val="0"/>
        <w:keepLines w:val="0"/>
        <w:widowControl w:val="0"/>
        <w:pBdr>
          <w:top w:val="single" w:sz="4" w:space="0" w:color="auto"/>
        </w:pBdr>
        <w:shd w:val="clear" w:color="auto" w:fill="auto"/>
        <w:bidi w:val="0"/>
        <w:spacing w:before="0" w:after="420" w:line="456" w:lineRule="exact"/>
        <w:ind w:left="0" w:right="0" w:firstLine="820"/>
        <w:jc w:val="both"/>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 截至本报告期末，公司尚在进行中的诉讼、仲裁涉案总额约</w:t>
      </w:r>
      <w:r>
        <w:rPr>
          <w:rFonts w:ascii="Times New Roman" w:eastAsia="Times New Roman" w:hAnsi="Times New Roman" w:cs="Times New Roman"/>
          <w:color w:val="000000"/>
          <w:spacing w:val="0"/>
          <w:w w:val="100"/>
          <w:position w:val="0"/>
          <w:sz w:val="18"/>
          <w:szCs w:val="18"/>
        </w:rPr>
        <w:t>3,021.33</w:t>
      </w:r>
      <w:r>
        <w:rPr>
          <w:color w:val="000000"/>
          <w:spacing w:val="0"/>
          <w:w w:val="100"/>
          <w:position w:val="0"/>
        </w:rPr>
        <w:t>万元，为日常经营管理产生的合同纠纷及劳动争议等, 不会对公司业务开展造成重大影响，因诉讼事项计提预计总负债金额为</w:t>
      </w:r>
      <w:r>
        <w:rPr>
          <w:rFonts w:ascii="Times New Roman" w:eastAsia="Times New Roman" w:hAnsi="Times New Roman" w:cs="Times New Roman"/>
          <w:color w:val="000000"/>
          <w:spacing w:val="0"/>
          <w:w w:val="100"/>
          <w:position w:val="0"/>
          <w:sz w:val="18"/>
          <w:szCs w:val="18"/>
        </w:rPr>
        <w:t>146.63</w:t>
      </w:r>
      <w:r>
        <w:rPr>
          <w:color w:val="000000"/>
          <w:spacing w:val="0"/>
          <w:w w:val="100"/>
          <w:position w:val="0"/>
        </w:rPr>
        <w:t>万元。</w:t>
      </w:r>
    </w:p>
    <w:p>
      <w:pPr>
        <w:pStyle w:val="Style39"/>
        <w:keepNext/>
        <w:keepLines/>
        <w:widowControl w:val="0"/>
        <w:shd w:val="clear" w:color="auto" w:fill="auto"/>
        <w:bidi w:val="0"/>
        <w:spacing w:before="0" w:after="360" w:line="240" w:lineRule="auto"/>
        <w:ind w:left="0" w:right="0" w:firstLine="0"/>
        <w:jc w:val="both"/>
      </w:pPr>
      <w:bookmarkStart w:id="473" w:name="bookmark473"/>
      <w:bookmarkStart w:id="474" w:name="bookmark474"/>
      <w:bookmarkStart w:id="475" w:name="bookmark475"/>
      <w:r>
        <w:rPr>
          <w:color w:val="000000"/>
          <w:spacing w:val="0"/>
          <w:w w:val="100"/>
          <w:position w:val="0"/>
          <w:sz w:val="24"/>
          <w:szCs w:val="24"/>
        </w:rPr>
        <w:t>十二、处罚及整改情况</w:t>
      </w:r>
      <w:bookmarkEnd w:id="473"/>
      <w:bookmarkEnd w:id="474"/>
      <w:bookmarkEnd w:id="475"/>
    </w:p>
    <w:p>
      <w:pPr>
        <w:pStyle w:val="Style41"/>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b/>
          <w:bCs/>
          <w:color w:val="000000"/>
          <w:spacing w:val="0"/>
          <w:w w:val="100"/>
          <w:position w:val="0"/>
          <w:sz w:val="18"/>
          <w:szCs w:val="18"/>
        </w:rPr>
        <w:t>V</w:t>
      </w:r>
      <w:r>
        <w:rPr>
          <w:b/>
          <w:bCs/>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tbl>
      <w:tblPr>
        <w:tblOverlap w:val="never"/>
        <w:jc w:val="center"/>
        <w:tblLayout w:type="fixed"/>
      </w:tblPr>
      <w:tblGrid>
        <w:gridCol w:w="854"/>
        <w:gridCol w:w="1277"/>
        <w:gridCol w:w="1978"/>
        <w:gridCol w:w="1363"/>
        <w:gridCol w:w="1368"/>
        <w:gridCol w:w="1368"/>
        <w:gridCol w:w="1378"/>
      </w:tblGrid>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名称</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姓名</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类型</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原因</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调查处罚类型</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结论（如有）</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披露日期</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披露索引</w:t>
            </w:r>
          </w:p>
        </w:tc>
      </w:tr>
      <w:tr>
        <w:trPr>
          <w:trHeight w:val="2597"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公司</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3" w:lineRule="exact"/>
              <w:ind w:left="0" w:right="0" w:firstLine="0"/>
              <w:jc w:val="center"/>
            </w:pPr>
            <w:r>
              <w:rPr>
                <w:color w:val="000000"/>
                <w:spacing w:val="0"/>
                <w:w w:val="100"/>
                <w:position w:val="0"/>
              </w:rPr>
              <w:t>以前年度开展的部分计 算机硬件购销业务会计 核算依据不充分，业务管 理及风险控制存在缺陷， 导致公司相关财务信息 披露不准确，违反了《上 市公司信息披露管理办 法》第二条的规定。</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在收到北京证监 局监管措施决定 书后</w:t>
            </w:r>
            <w:r>
              <w:rPr>
                <w:rFonts w:ascii="Times New Roman" w:eastAsia="Times New Roman" w:hAnsi="Times New Roman" w:cs="Times New Roman"/>
                <w:color w:val="000000"/>
                <w:spacing w:val="0"/>
                <w:w w:val="100"/>
                <w:position w:val="0"/>
                <w:sz w:val="18"/>
                <w:szCs w:val="18"/>
              </w:rPr>
              <w:t>15</w:t>
            </w:r>
            <w:r>
              <w:rPr>
                <w:color w:val="000000"/>
                <w:spacing w:val="0"/>
                <w:w w:val="100"/>
                <w:position w:val="0"/>
              </w:rPr>
              <w:t>个工作日 内更正相关财务 信息，并向北京 证监局报送书面 整改报告。</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2021-3-16</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310" w:lineRule="exact"/>
              <w:ind w:left="0" w:right="0" w:firstLine="0"/>
              <w:jc w:val="left"/>
            </w:pPr>
            <w:r>
              <w:rPr>
                <w:color w:val="000000"/>
                <w:spacing w:val="0"/>
                <w:w w:val="100"/>
                <w:position w:val="0"/>
              </w:rPr>
              <w:t>巨潮资讯网《关 于收到中国证监 会北京监管局对 公司采取责令改 正监管措施决定 的公告》（公告编</w:t>
            </w:r>
          </w:p>
          <w:p>
            <w:pPr>
              <w:pStyle w:val="Style2"/>
              <w:keepNext w:val="0"/>
              <w:keepLines w:val="0"/>
              <w:widowControl w:val="0"/>
              <w:shd w:val="clear" w:color="auto" w:fill="auto"/>
              <w:bidi w:val="0"/>
              <w:spacing w:before="0" w:after="0" w:line="310" w:lineRule="exact"/>
              <w:ind w:left="0" w:right="0" w:firstLine="0"/>
              <w:jc w:val="left"/>
            </w:pPr>
            <w:r>
              <w:rPr>
                <w:color w:val="000000"/>
                <w:spacing w:val="0"/>
                <w:w w:val="100"/>
                <w:position w:val="0"/>
              </w:rPr>
              <w:t>号：</w:t>
            </w:r>
            <w:r>
              <w:rPr>
                <w:rFonts w:ascii="Times New Roman" w:eastAsia="Times New Roman" w:hAnsi="Times New Roman" w:cs="Times New Roman"/>
                <w:color w:val="000000"/>
                <w:spacing w:val="0"/>
                <w:w w:val="100"/>
                <w:position w:val="0"/>
                <w:sz w:val="18"/>
                <w:szCs w:val="18"/>
              </w:rPr>
              <w:t>2021-013</w:t>
            </w:r>
            <w:r>
              <w:rPr>
                <w:color w:val="000000"/>
                <w:spacing w:val="0"/>
                <w:w w:val="100"/>
                <w:position w:val="0"/>
              </w:rPr>
              <w:t>）</w:t>
            </w:r>
          </w:p>
        </w:tc>
      </w:tr>
    </w:tbl>
    <w:p>
      <w:pPr>
        <w:widowControl w:val="0"/>
        <w:spacing w:after="79" w:line="1" w:lineRule="exact"/>
      </w:pPr>
    </w:p>
    <w:p>
      <w:pPr>
        <w:pStyle w:val="Style41"/>
        <w:keepNext w:val="0"/>
        <w:keepLines w:val="0"/>
        <w:widowControl w:val="0"/>
        <w:shd w:val="clear" w:color="auto" w:fill="auto"/>
        <w:bidi w:val="0"/>
        <w:spacing w:before="0" w:after="140" w:line="240" w:lineRule="auto"/>
        <w:ind w:left="0" w:right="0" w:firstLine="0"/>
        <w:jc w:val="both"/>
      </w:pPr>
      <w:r>
        <w:rPr>
          <w:b/>
          <w:bCs/>
          <w:color w:val="000000"/>
          <w:spacing w:val="0"/>
          <w:w w:val="100"/>
          <w:position w:val="0"/>
        </w:rPr>
        <w:t>整改情况说明</w:t>
      </w:r>
    </w:p>
    <w:p>
      <w:pPr>
        <w:pStyle w:val="Style4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b/>
          <w:bCs/>
          <w:color w:val="000000"/>
          <w:spacing w:val="0"/>
          <w:w w:val="100"/>
          <w:position w:val="0"/>
          <w:sz w:val="18"/>
          <w:szCs w:val="18"/>
        </w:rPr>
        <w:t>V</w:t>
      </w:r>
      <w:r>
        <w:rPr>
          <w:b/>
          <w:bCs/>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41"/>
        <w:keepNext w:val="0"/>
        <w:keepLines w:val="0"/>
        <w:widowControl w:val="0"/>
        <w:shd w:val="clear" w:color="auto" w:fill="auto"/>
        <w:bidi w:val="0"/>
        <w:spacing w:before="0" w:after="0" w:line="470" w:lineRule="exact"/>
        <w:ind w:left="0" w:right="0"/>
        <w:jc w:val="both"/>
      </w:pPr>
      <w:r>
        <w:rPr>
          <w:rFonts w:ascii="Times New Roman" w:eastAsia="Times New Roman" w:hAnsi="Times New Roman" w:cs="Times New Roman"/>
          <w:color w:val="000000"/>
          <w:spacing w:val="0"/>
          <w:w w:val="100"/>
          <w:position w:val="0"/>
          <w:sz w:val="18"/>
          <w:szCs w:val="18"/>
        </w:rPr>
        <w:t>2021</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4</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6</w:t>
      </w:r>
      <w:r>
        <w:rPr>
          <w:color w:val="000000"/>
          <w:spacing w:val="0"/>
          <w:w w:val="100"/>
          <w:position w:val="0"/>
        </w:rPr>
        <w:t>日公司召开了第七届董事会第四十二次会议、第七届监事会第十一次会议，审议通过《关于就北京证监 局对公司采取责令改正监管措施决定的整改报告的议案》，有关本次整改的具体情况，详见公司</w:t>
      </w:r>
      <w:r>
        <w:rPr>
          <w:rFonts w:ascii="Times New Roman" w:eastAsia="Times New Roman" w:hAnsi="Times New Roman" w:cs="Times New Roman"/>
          <w:color w:val="000000"/>
          <w:spacing w:val="0"/>
          <w:w w:val="100"/>
          <w:position w:val="0"/>
          <w:sz w:val="18"/>
          <w:szCs w:val="18"/>
        </w:rPr>
        <w:t>2021</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4</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6</w:t>
      </w:r>
      <w:r>
        <w:rPr>
          <w:color w:val="000000"/>
          <w:spacing w:val="0"/>
          <w:w w:val="100"/>
          <w:position w:val="0"/>
        </w:rPr>
        <w:t>日在巨潮资讯 网上披露的《关于就北京证监局对公司采取责令改正监管措施决定的整改报告》（公告编号：</w:t>
      </w:r>
      <w:r>
        <w:rPr>
          <w:rFonts w:ascii="Times New Roman" w:eastAsia="Times New Roman" w:hAnsi="Times New Roman" w:cs="Times New Roman"/>
          <w:color w:val="000000"/>
          <w:spacing w:val="0"/>
          <w:w w:val="100"/>
          <w:position w:val="0"/>
          <w:sz w:val="18"/>
          <w:szCs w:val="18"/>
        </w:rPr>
        <w:t>2021-016</w:t>
      </w:r>
      <w:r>
        <w:rPr>
          <w:color w:val="000000"/>
          <w:spacing w:val="0"/>
          <w:w w:val="100"/>
          <w:position w:val="0"/>
        </w:rPr>
        <w:t>）。</w:t>
      </w:r>
    </w:p>
    <w:p>
      <w:pPr>
        <w:pStyle w:val="Style41"/>
        <w:keepNext w:val="0"/>
        <w:keepLines w:val="0"/>
        <w:widowControl w:val="0"/>
        <w:shd w:val="clear" w:color="auto" w:fill="auto"/>
        <w:bidi w:val="0"/>
        <w:spacing w:before="0" w:after="0" w:line="470" w:lineRule="exact"/>
        <w:ind w:left="0" w:right="0" w:firstLine="0"/>
        <w:jc w:val="both"/>
      </w:pPr>
      <w:r>
        <w:rPr>
          <w:b/>
          <w:bCs/>
          <w:color w:val="000000"/>
          <w:spacing w:val="0"/>
          <w:w w:val="100"/>
          <w:position w:val="0"/>
        </w:rPr>
        <w:t>董事、监事、高级管理人员、持股</w:t>
      </w:r>
      <w:r>
        <w:rPr>
          <w:rFonts w:ascii="Times New Roman" w:eastAsia="Times New Roman" w:hAnsi="Times New Roman" w:cs="Times New Roman"/>
          <w:b/>
          <w:bCs/>
          <w:color w:val="000000"/>
          <w:spacing w:val="0"/>
          <w:w w:val="100"/>
          <w:position w:val="0"/>
          <w:sz w:val="18"/>
          <w:szCs w:val="18"/>
        </w:rPr>
        <w:t>5%</w:t>
      </w:r>
      <w:r>
        <w:rPr>
          <w:b/>
          <w:bCs/>
          <w:color w:val="000000"/>
          <w:spacing w:val="0"/>
          <w:w w:val="100"/>
          <w:position w:val="0"/>
        </w:rPr>
        <w:t>以上的股东违规买卖公司股票情况</w:t>
      </w:r>
    </w:p>
    <w:p>
      <w:pPr>
        <w:pStyle w:val="Style41"/>
        <w:keepNext w:val="0"/>
        <w:keepLines w:val="0"/>
        <w:widowControl w:val="0"/>
        <w:shd w:val="clear" w:color="auto" w:fill="auto"/>
        <w:bidi w:val="0"/>
        <w:spacing w:before="0" w:after="420" w:line="470" w:lineRule="exact"/>
        <w:ind w:left="0" w:right="0" w:firstLine="0"/>
        <w:jc w:val="both"/>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b/>
          <w:bCs/>
          <w:color w:val="000000"/>
          <w:spacing w:val="0"/>
          <w:w w:val="100"/>
          <w:position w:val="0"/>
          <w:sz w:val="18"/>
          <w:szCs w:val="18"/>
        </w:rPr>
        <w:t>V</w:t>
      </w:r>
      <w:r>
        <w:rPr>
          <w:b/>
          <w:bCs/>
          <w:color w:val="000000"/>
          <w:spacing w:val="0"/>
          <w:w w:val="100"/>
          <w:position w:val="0"/>
        </w:rPr>
        <w:t>不适用</w:t>
      </w:r>
    </w:p>
    <w:p>
      <w:pPr>
        <w:pStyle w:val="Style39"/>
        <w:keepNext/>
        <w:keepLines/>
        <w:widowControl w:val="0"/>
        <w:shd w:val="clear" w:color="auto" w:fill="auto"/>
        <w:bidi w:val="0"/>
        <w:spacing w:before="0" w:after="200" w:line="240" w:lineRule="auto"/>
        <w:ind w:left="0" w:right="0" w:firstLine="0"/>
        <w:jc w:val="both"/>
      </w:pPr>
      <w:bookmarkStart w:id="476" w:name="bookmark476"/>
      <w:bookmarkStart w:id="477" w:name="bookmark477"/>
      <w:bookmarkStart w:id="478" w:name="bookmark478"/>
      <w:r>
        <w:rPr>
          <w:color w:val="000000"/>
          <w:spacing w:val="0"/>
          <w:w w:val="100"/>
          <w:position w:val="0"/>
          <w:sz w:val="24"/>
          <w:szCs w:val="24"/>
        </w:rPr>
        <w:t>十三、公司及其控股股东、实际控制人的诚信状况</w:t>
      </w:r>
      <w:bookmarkEnd w:id="476"/>
      <w:bookmarkEnd w:id="477"/>
      <w:bookmarkEnd w:id="478"/>
    </w:p>
    <w:p>
      <w:pPr>
        <w:pStyle w:val="Style41"/>
        <w:keepNext w:val="0"/>
        <w:keepLines w:val="0"/>
        <w:widowControl w:val="0"/>
        <w:shd w:val="clear" w:color="auto" w:fill="auto"/>
        <w:bidi w:val="0"/>
        <w:spacing w:before="0" w:after="420" w:line="470" w:lineRule="exact"/>
        <w:ind w:left="0" w:right="0" w:firstLine="0"/>
        <w:jc w:val="both"/>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b/>
          <w:bCs/>
          <w:color w:val="000000"/>
          <w:spacing w:val="0"/>
          <w:w w:val="100"/>
          <w:position w:val="0"/>
          <w:sz w:val="18"/>
          <w:szCs w:val="18"/>
        </w:rPr>
        <w:t>V</w:t>
      </w:r>
      <w:r>
        <w:rPr>
          <w:b/>
          <w:bCs/>
          <w:color w:val="000000"/>
          <w:spacing w:val="0"/>
          <w:w w:val="100"/>
          <w:position w:val="0"/>
        </w:rPr>
        <w:t>不适用</w:t>
      </w:r>
    </w:p>
    <w:p>
      <w:pPr>
        <w:pStyle w:val="Style39"/>
        <w:keepNext/>
        <w:keepLines/>
        <w:widowControl w:val="0"/>
        <w:shd w:val="clear" w:color="auto" w:fill="auto"/>
        <w:bidi w:val="0"/>
        <w:spacing w:before="0" w:after="200" w:line="240" w:lineRule="auto"/>
        <w:ind w:left="0" w:right="0" w:firstLine="0"/>
        <w:jc w:val="both"/>
      </w:pPr>
      <w:bookmarkStart w:id="479" w:name="bookmark479"/>
      <w:bookmarkStart w:id="480" w:name="bookmark480"/>
      <w:bookmarkStart w:id="481" w:name="bookmark481"/>
      <w:r>
        <w:rPr>
          <w:color w:val="000000"/>
          <w:spacing w:val="0"/>
          <w:w w:val="100"/>
          <w:position w:val="0"/>
          <w:sz w:val="24"/>
          <w:szCs w:val="24"/>
        </w:rPr>
        <w:t>十四、公司股权激励计划、员工持股计划或其他员工激励措施的实施情况</w:t>
      </w:r>
      <w:bookmarkEnd w:id="479"/>
      <w:bookmarkEnd w:id="480"/>
      <w:bookmarkEnd w:id="481"/>
    </w:p>
    <w:p>
      <w:pPr>
        <w:pStyle w:val="Style41"/>
        <w:keepNext w:val="0"/>
        <w:keepLines w:val="0"/>
        <w:widowControl w:val="0"/>
        <w:shd w:val="clear" w:color="auto" w:fill="auto"/>
        <w:bidi w:val="0"/>
        <w:spacing w:before="0" w:after="0" w:line="470" w:lineRule="exact"/>
        <w:ind w:left="0" w:right="0" w:firstLine="0"/>
        <w:jc w:val="both"/>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b/>
          <w:bCs/>
          <w:color w:val="000000"/>
          <w:spacing w:val="0"/>
          <w:w w:val="100"/>
          <w:position w:val="0"/>
          <w:sz w:val="18"/>
          <w:szCs w:val="18"/>
        </w:rPr>
        <w:t>V</w:t>
      </w:r>
      <w:r>
        <w:rPr>
          <w:b/>
          <w:bCs/>
          <w:color w:val="000000"/>
          <w:spacing w:val="0"/>
          <w:w w:val="100"/>
          <w:position w:val="0"/>
        </w:rPr>
        <w:t>不适用</w:t>
      </w:r>
    </w:p>
    <w:p>
      <w:pPr>
        <w:pStyle w:val="Style41"/>
        <w:keepNext w:val="0"/>
        <w:keepLines w:val="0"/>
        <w:widowControl w:val="0"/>
        <w:shd w:val="clear" w:color="auto" w:fill="auto"/>
        <w:bidi w:val="0"/>
        <w:spacing w:before="0" w:after="420" w:line="470" w:lineRule="exact"/>
        <w:ind w:left="0" w:right="0" w:firstLine="0"/>
        <w:jc w:val="both"/>
      </w:pPr>
      <w:r>
        <w:rPr>
          <w:color w:val="000000"/>
          <w:spacing w:val="0"/>
          <w:w w:val="100"/>
          <w:position w:val="0"/>
        </w:rPr>
        <w:t>公司报告期无股权激励计划、员工持股计划或其他员工激励措施及其实施情况。</w:t>
      </w:r>
    </w:p>
    <w:p>
      <w:pPr>
        <w:pStyle w:val="Style39"/>
        <w:keepNext/>
        <w:keepLines/>
        <w:widowControl w:val="0"/>
        <w:shd w:val="clear" w:color="auto" w:fill="auto"/>
        <w:bidi w:val="0"/>
        <w:spacing w:before="0" w:after="360" w:line="240" w:lineRule="auto"/>
        <w:ind w:left="0" w:right="0" w:firstLine="0"/>
        <w:jc w:val="both"/>
      </w:pPr>
      <w:bookmarkStart w:id="482" w:name="bookmark482"/>
      <w:bookmarkStart w:id="483" w:name="bookmark483"/>
      <w:bookmarkStart w:id="484" w:name="bookmark484"/>
      <w:r>
        <w:rPr>
          <w:color w:val="000000"/>
          <w:spacing w:val="0"/>
          <w:w w:val="100"/>
          <w:position w:val="0"/>
          <w:sz w:val="24"/>
          <w:szCs w:val="24"/>
        </w:rPr>
        <w:t>十五、重大关联交易</w:t>
      </w:r>
      <w:bookmarkEnd w:id="482"/>
      <w:bookmarkEnd w:id="483"/>
      <w:bookmarkEnd w:id="484"/>
    </w:p>
    <w:p>
      <w:pPr>
        <w:pStyle w:val="Style47"/>
        <w:keepNext/>
        <w:keepLines/>
        <w:widowControl w:val="0"/>
        <w:shd w:val="clear" w:color="auto" w:fill="auto"/>
        <w:bidi w:val="0"/>
        <w:spacing w:before="0" w:after="140" w:line="240" w:lineRule="auto"/>
        <w:ind w:left="0" w:right="0" w:firstLine="0"/>
        <w:jc w:val="both"/>
      </w:pPr>
      <w:bookmarkStart w:id="485" w:name="bookmark485"/>
      <w:bookmarkStart w:id="486" w:name="bookmark486"/>
      <w:bookmarkStart w:id="487" w:name="bookmark487"/>
      <w:bookmarkStart w:id="488" w:name="bookmark488"/>
      <w:r>
        <w:rPr>
          <w:color w:val="000000"/>
          <w:spacing w:val="0"/>
          <w:w w:val="100"/>
          <w:position w:val="0"/>
        </w:rPr>
        <w:t>1</w:t>
      </w:r>
      <w:bookmarkEnd w:id="487"/>
      <w:r>
        <w:rPr>
          <w:color w:val="000000"/>
          <w:spacing w:val="0"/>
          <w:w w:val="100"/>
          <w:position w:val="0"/>
        </w:rPr>
        <w:t>、与日常经营相关的关联交易</w:t>
      </w:r>
      <w:bookmarkEnd w:id="485"/>
      <w:bookmarkEnd w:id="486"/>
      <w:bookmarkEnd w:id="488"/>
    </w:p>
    <w:p>
      <w:pPr>
        <w:pStyle w:val="Style41"/>
        <w:keepNext w:val="0"/>
        <w:keepLines w:val="0"/>
        <w:widowControl w:val="0"/>
        <w:shd w:val="clear" w:color="auto" w:fill="auto"/>
        <w:bidi w:val="0"/>
        <w:spacing w:before="0" w:after="280" w:line="470" w:lineRule="exact"/>
        <w:ind w:left="0" w:right="0" w:firstLine="0"/>
        <w:jc w:val="both"/>
        <w:sectPr>
          <w:headerReference w:type="default" r:id="rId191"/>
          <w:footerReference w:type="default" r:id="rId192"/>
          <w:headerReference w:type="even" r:id="rId193"/>
          <w:footerReference w:type="even" r:id="rId194"/>
          <w:footnotePr>
            <w:pos w:val="pageBottom"/>
            <w:numFmt w:val="decimal"/>
            <w:numRestart w:val="continuous"/>
          </w:footnotePr>
          <w:pgSz w:w="11904" w:h="17375"/>
          <w:pgMar w:top="1070" w:right="1027" w:bottom="1425" w:left="1104" w:header="0" w:footer="3" w:gutter="0"/>
          <w:cols w:space="720"/>
          <w:noEndnote/>
          <w:rtlGutter w:val="0"/>
          <w:docGrid w:linePitch="360"/>
        </w:sectPr>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b/>
          <w:bCs/>
          <w:color w:val="000000"/>
          <w:spacing w:val="0"/>
          <w:w w:val="100"/>
          <w:position w:val="0"/>
          <w:sz w:val="18"/>
          <w:szCs w:val="18"/>
        </w:rPr>
        <w:t>V</w:t>
      </w:r>
      <w:r>
        <w:rPr>
          <w:b/>
          <w:bCs/>
          <w:color w:val="000000"/>
          <w:spacing w:val="0"/>
          <w:w w:val="100"/>
          <w:position w:val="0"/>
        </w:rPr>
        <w:t>不适用</w:t>
      </w:r>
    </w:p>
    <w:p>
      <w:pPr>
        <w:pStyle w:val="Style47"/>
        <w:keepNext/>
        <w:keepLines/>
        <w:widowControl w:val="0"/>
        <w:shd w:val="clear" w:color="auto" w:fill="auto"/>
        <w:tabs>
          <w:tab w:pos="350" w:val="left"/>
        </w:tabs>
        <w:bidi w:val="0"/>
        <w:spacing w:before="0" w:after="380" w:line="240" w:lineRule="auto"/>
        <w:ind w:left="0" w:right="0" w:firstLine="0"/>
        <w:jc w:val="left"/>
      </w:pPr>
      <w:bookmarkStart w:id="489" w:name="bookmark489"/>
      <w:bookmarkStart w:id="490" w:name="bookmark490"/>
      <w:bookmarkStart w:id="491" w:name="bookmark491"/>
      <w:bookmarkStart w:id="492" w:name="bookmark492"/>
      <w:r>
        <w:rPr>
          <w:color w:val="000000"/>
          <w:spacing w:val="0"/>
          <w:w w:val="100"/>
          <w:position w:val="0"/>
        </w:rPr>
        <w:t>2</w:t>
      </w:r>
      <w:bookmarkEnd w:id="491"/>
      <w:r>
        <w:rPr>
          <w:color w:val="000000"/>
          <w:spacing w:val="0"/>
          <w:w w:val="100"/>
          <w:position w:val="0"/>
        </w:rPr>
        <w:t>、</w:t>
        <w:tab/>
        <w:t>资产或股权收购、出售发生的关联交易</w:t>
      </w:r>
      <w:bookmarkEnd w:id="489"/>
      <w:bookmarkEnd w:id="490"/>
      <w:bookmarkEnd w:id="492"/>
    </w:p>
    <w:p>
      <w:pPr>
        <w:pStyle w:val="Style41"/>
        <w:keepNext w:val="0"/>
        <w:keepLines w:val="0"/>
        <w:widowControl w:val="0"/>
        <w:shd w:val="clear" w:color="auto" w:fill="auto"/>
        <w:bidi w:val="0"/>
        <w:spacing w:before="0" w:after="38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b/>
          <w:bCs/>
          <w:i/>
          <w:iCs/>
          <w:color w:val="000000"/>
          <w:spacing w:val="0"/>
          <w:w w:val="100"/>
          <w:position w:val="0"/>
        </w:rPr>
        <w:t>*</w:t>
      </w:r>
      <w:r>
        <w:rPr>
          <w:b/>
          <w:bCs/>
          <w:color w:val="000000"/>
          <w:spacing w:val="0"/>
          <w:w w:val="100"/>
          <w:position w:val="0"/>
        </w:rPr>
        <w:t>不适用</w:t>
      </w:r>
    </w:p>
    <w:p>
      <w:pPr>
        <w:pStyle w:val="Style47"/>
        <w:keepNext/>
        <w:keepLines/>
        <w:widowControl w:val="0"/>
        <w:shd w:val="clear" w:color="auto" w:fill="auto"/>
        <w:tabs>
          <w:tab w:pos="350" w:val="left"/>
        </w:tabs>
        <w:bidi w:val="0"/>
        <w:spacing w:before="0" w:after="380" w:line="240" w:lineRule="auto"/>
        <w:ind w:left="0" w:right="0" w:firstLine="0"/>
        <w:jc w:val="left"/>
      </w:pPr>
      <w:bookmarkStart w:id="493" w:name="bookmark493"/>
      <w:bookmarkStart w:id="494" w:name="bookmark494"/>
      <w:bookmarkStart w:id="495" w:name="bookmark495"/>
      <w:bookmarkStart w:id="496" w:name="bookmark496"/>
      <w:r>
        <w:rPr>
          <w:color w:val="000000"/>
          <w:spacing w:val="0"/>
          <w:w w:val="100"/>
          <w:position w:val="0"/>
        </w:rPr>
        <w:t>3</w:t>
      </w:r>
      <w:bookmarkEnd w:id="495"/>
      <w:r>
        <w:rPr>
          <w:color w:val="000000"/>
          <w:spacing w:val="0"/>
          <w:w w:val="100"/>
          <w:position w:val="0"/>
        </w:rPr>
        <w:t>、</w:t>
        <w:tab/>
        <w:t>共同对外投资的关联交易</w:t>
      </w:r>
      <w:bookmarkEnd w:id="493"/>
      <w:bookmarkEnd w:id="494"/>
      <w:bookmarkEnd w:id="496"/>
    </w:p>
    <w:p>
      <w:pPr>
        <w:pStyle w:val="Style41"/>
        <w:keepNext w:val="0"/>
        <w:keepLines w:val="0"/>
        <w:widowControl w:val="0"/>
        <w:shd w:val="clear" w:color="auto" w:fill="auto"/>
        <w:bidi w:val="0"/>
        <w:spacing w:before="0" w:after="38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b/>
          <w:bCs/>
          <w:color w:val="000000"/>
          <w:spacing w:val="0"/>
          <w:w w:val="100"/>
          <w:position w:val="0"/>
          <w:sz w:val="18"/>
          <w:szCs w:val="18"/>
        </w:rPr>
        <w:t>*</w:t>
      </w:r>
      <w:r>
        <w:rPr>
          <w:b/>
          <w:bCs/>
          <w:color w:val="000000"/>
          <w:spacing w:val="0"/>
          <w:w w:val="100"/>
          <w:position w:val="0"/>
        </w:rPr>
        <w:t>不适用</w:t>
      </w:r>
    </w:p>
    <w:p>
      <w:pPr>
        <w:pStyle w:val="Style47"/>
        <w:keepNext/>
        <w:keepLines/>
        <w:widowControl w:val="0"/>
        <w:shd w:val="clear" w:color="auto" w:fill="auto"/>
        <w:tabs>
          <w:tab w:pos="350" w:val="left"/>
        </w:tabs>
        <w:bidi w:val="0"/>
        <w:spacing w:before="0" w:after="380" w:line="240" w:lineRule="auto"/>
        <w:ind w:left="0" w:right="0" w:firstLine="0"/>
        <w:jc w:val="left"/>
      </w:pPr>
      <w:bookmarkStart w:id="497" w:name="bookmark497"/>
      <w:bookmarkStart w:id="498" w:name="bookmark498"/>
      <w:bookmarkStart w:id="499" w:name="bookmark499"/>
      <w:bookmarkStart w:id="500" w:name="bookmark500"/>
      <w:r>
        <w:rPr>
          <w:color w:val="000000"/>
          <w:spacing w:val="0"/>
          <w:w w:val="100"/>
          <w:position w:val="0"/>
        </w:rPr>
        <w:t>4</w:t>
      </w:r>
      <w:bookmarkEnd w:id="499"/>
      <w:r>
        <w:rPr>
          <w:color w:val="000000"/>
          <w:spacing w:val="0"/>
          <w:w w:val="100"/>
          <w:position w:val="0"/>
        </w:rPr>
        <w:t>、</w:t>
        <w:tab/>
        <w:t>关联债权债务往来</w:t>
      </w:r>
      <w:bookmarkEnd w:id="497"/>
      <w:bookmarkEnd w:id="498"/>
      <w:bookmarkEnd w:id="500"/>
    </w:p>
    <w:p>
      <w:pPr>
        <w:pStyle w:val="Style41"/>
        <w:keepNext w:val="0"/>
        <w:keepLines w:val="0"/>
        <w:widowControl w:val="0"/>
        <w:shd w:val="clear" w:color="auto" w:fill="auto"/>
        <w:bidi w:val="0"/>
        <w:spacing w:before="0" w:after="38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b/>
          <w:bCs/>
          <w:color w:val="000000"/>
          <w:spacing w:val="0"/>
          <w:w w:val="100"/>
          <w:position w:val="0"/>
          <w:sz w:val="18"/>
          <w:szCs w:val="18"/>
        </w:rPr>
        <w:t>*</w:t>
      </w:r>
      <w:r>
        <w:rPr>
          <w:b/>
          <w:bCs/>
          <w:color w:val="000000"/>
          <w:spacing w:val="0"/>
          <w:w w:val="100"/>
          <w:position w:val="0"/>
        </w:rPr>
        <w:t>不适用</w:t>
      </w:r>
    </w:p>
    <w:p>
      <w:pPr>
        <w:pStyle w:val="Style47"/>
        <w:keepNext/>
        <w:keepLines/>
        <w:widowControl w:val="0"/>
        <w:shd w:val="clear" w:color="auto" w:fill="auto"/>
        <w:tabs>
          <w:tab w:pos="350" w:val="left"/>
        </w:tabs>
        <w:bidi w:val="0"/>
        <w:spacing w:before="0" w:after="380" w:line="240" w:lineRule="auto"/>
        <w:ind w:left="0" w:right="0" w:firstLine="0"/>
        <w:jc w:val="left"/>
      </w:pPr>
      <w:bookmarkStart w:id="501" w:name="bookmark501"/>
      <w:bookmarkStart w:id="502" w:name="bookmark502"/>
      <w:bookmarkStart w:id="503" w:name="bookmark503"/>
      <w:bookmarkStart w:id="504" w:name="bookmark504"/>
      <w:r>
        <w:rPr>
          <w:color w:val="000000"/>
          <w:spacing w:val="0"/>
          <w:w w:val="100"/>
          <w:position w:val="0"/>
        </w:rPr>
        <w:t>5</w:t>
      </w:r>
      <w:bookmarkEnd w:id="503"/>
      <w:r>
        <w:rPr>
          <w:color w:val="000000"/>
          <w:spacing w:val="0"/>
          <w:w w:val="100"/>
          <w:position w:val="0"/>
        </w:rPr>
        <w:t>、</w:t>
        <w:tab/>
        <w:t>其他重大关联交易</w:t>
      </w:r>
      <w:bookmarkEnd w:id="501"/>
      <w:bookmarkEnd w:id="502"/>
      <w:bookmarkEnd w:id="504"/>
    </w:p>
    <w:p>
      <w:pPr>
        <w:pStyle w:val="Style41"/>
        <w:keepNext w:val="0"/>
        <w:keepLines w:val="0"/>
        <w:widowControl w:val="0"/>
        <w:shd w:val="clear" w:color="auto" w:fill="auto"/>
        <w:bidi w:val="0"/>
        <w:spacing w:before="0" w:after="60" w:line="240" w:lineRule="auto"/>
        <w:ind w:left="0" w:right="0" w:firstLine="0"/>
        <w:jc w:val="left"/>
      </w:pPr>
      <w:r>
        <w:rPr>
          <w:rFonts w:ascii="Times New Roman" w:eastAsia="Times New Roman" w:hAnsi="Times New Roman" w:cs="Times New Roman"/>
          <w:b/>
          <w:bCs/>
          <w:color w:val="000000"/>
          <w:spacing w:val="0"/>
          <w:w w:val="100"/>
          <w:position w:val="0"/>
          <w:sz w:val="18"/>
          <w:szCs w:val="18"/>
        </w:rPr>
        <w:t>*</w:t>
      </w:r>
      <w:r>
        <w:rPr>
          <w:b/>
          <w:bCs/>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tbl>
      <w:tblPr>
        <w:tblOverlap w:val="never"/>
        <w:jc w:val="center"/>
        <w:tblLayout w:type="fixed"/>
      </w:tblPr>
      <w:tblGrid>
        <w:gridCol w:w="4176"/>
        <w:gridCol w:w="1440"/>
        <w:gridCol w:w="2126"/>
        <w:gridCol w:w="2126"/>
      </w:tblGrid>
      <w:tr>
        <w:trPr>
          <w:trHeight w:val="63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承租方名称</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租赁资产种类</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120" w:line="240" w:lineRule="auto"/>
              <w:ind w:left="0" w:right="0" w:firstLine="0"/>
              <w:jc w:val="center"/>
            </w:pPr>
            <w:r>
              <w:rPr>
                <w:color w:val="000000"/>
                <w:spacing w:val="0"/>
                <w:w w:val="100"/>
                <w:position w:val="0"/>
              </w:rPr>
              <w:t>本期确认的租赁收入</w:t>
            </w:r>
          </w:p>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（元）</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120" w:line="240" w:lineRule="auto"/>
              <w:ind w:left="0" w:right="0" w:firstLine="0"/>
              <w:jc w:val="center"/>
            </w:pPr>
            <w:r>
              <w:rPr>
                <w:color w:val="000000"/>
                <w:spacing w:val="0"/>
                <w:w w:val="100"/>
                <w:position w:val="0"/>
              </w:rPr>
              <w:t>上期确认的租赁收入</w:t>
            </w:r>
          </w:p>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（元）</w:t>
            </w:r>
          </w:p>
        </w:tc>
      </w:tr>
      <w:tr>
        <w:trPr>
          <w:trHeight w:val="389"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北京神州良品电子商务科技股份有限公司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pPr>
            <w:r>
              <w:rPr>
                <w:color w:val="000000"/>
                <w:spacing w:val="0"/>
                <w:w w:val="100"/>
                <w:position w:val="0"/>
              </w:rPr>
              <w:t>房屋建筑物</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532,344.62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1,262,900.00</w:t>
            </w:r>
          </w:p>
        </w:tc>
      </w:tr>
      <w:tr>
        <w:trPr>
          <w:trHeight w:val="389"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北京云中融信网络科技有限公司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pPr>
            <w:r>
              <w:rPr>
                <w:color w:val="000000"/>
                <w:spacing w:val="0"/>
                <w:w w:val="100"/>
                <w:position w:val="0"/>
              </w:rPr>
              <w:t>房屋建筑物</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1,420,000.00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3,341,650.21</w:t>
            </w:r>
          </w:p>
        </w:tc>
      </w:tr>
      <w:tr>
        <w:trPr>
          <w:trHeight w:val="40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北京神州泰岳智能数据技术有限公司</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pPr>
            <w:r>
              <w:rPr>
                <w:color w:val="000000"/>
                <w:spacing w:val="0"/>
                <w:w w:val="100"/>
                <w:position w:val="0"/>
              </w:rPr>
              <w:t>房屋建筑物</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374,822.97</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pStyle w:val="Style20"/>
        <w:keepNext w:val="0"/>
        <w:keepLines w:val="0"/>
        <w:widowControl w:val="0"/>
        <w:shd w:val="clear" w:color="auto" w:fill="auto"/>
        <w:bidi w:val="0"/>
        <w:spacing w:before="0" w:after="0" w:line="240" w:lineRule="auto"/>
        <w:ind w:left="451" w:right="0" w:firstLine="0"/>
        <w:jc w:val="left"/>
        <w:rPr>
          <w:sz w:val="17"/>
          <w:szCs w:val="17"/>
        </w:rPr>
      </w:pPr>
      <w:r>
        <w:rPr>
          <w:rFonts w:ascii="SimSun" w:eastAsia="SimSun" w:hAnsi="SimSun" w:cs="SimSun"/>
          <w:b/>
          <w:bCs/>
          <w:color w:val="000000"/>
          <w:spacing w:val="0"/>
          <w:w w:val="100"/>
          <w:position w:val="0"/>
          <w:sz w:val="17"/>
          <w:szCs w:val="17"/>
        </w:rPr>
        <w:t>其他事项说明:</w:t>
      </w:r>
    </w:p>
    <w:p>
      <w:pPr>
        <w:pStyle w:val="Style41"/>
        <w:keepNext w:val="0"/>
        <w:keepLines w:val="0"/>
        <w:widowControl w:val="0"/>
        <w:shd w:val="clear" w:color="auto" w:fill="auto"/>
        <w:tabs>
          <w:tab w:pos="878" w:val="left"/>
        </w:tabs>
        <w:bidi w:val="0"/>
        <w:spacing w:before="0" w:after="0" w:line="468" w:lineRule="exact"/>
        <w:ind w:left="0" w:right="0" w:firstLine="460"/>
        <w:jc w:val="both"/>
      </w:pPr>
      <w:bookmarkStart w:id="505" w:name="bookmark505"/>
      <w:r>
        <w:rPr>
          <w:color w:val="000000"/>
          <w:spacing w:val="0"/>
          <w:w w:val="100"/>
          <w:position w:val="0"/>
        </w:rPr>
        <w:t>（</w:t>
      </w:r>
      <w:bookmarkEnd w:id="505"/>
      <w:r>
        <w:rPr>
          <w:rFonts w:ascii="Times New Roman" w:eastAsia="Times New Roman" w:hAnsi="Times New Roman" w:cs="Times New Roman"/>
          <w:color w:val="000000"/>
          <w:spacing w:val="0"/>
          <w:w w:val="100"/>
          <w:position w:val="0"/>
          <w:sz w:val="18"/>
          <w:szCs w:val="18"/>
        </w:rPr>
        <w:t>1</w:t>
      </w:r>
      <w:r>
        <w:rPr>
          <w:color w:val="000000"/>
          <w:spacing w:val="0"/>
          <w:w w:val="100"/>
          <w:position w:val="0"/>
        </w:rPr>
        <w:t>）</w:t>
        <w:tab/>
        <w:t>公司第七届董事会第二十二次会议、</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年第一次临时股东大会审议通过了《关于同意子公司增资并放弃优先认 购权的议案》，同意北京神州泰岳智能数据技术有限公司（简称</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智能数据</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）与各投资方签署增资协议，同意上述增资并放 弃优先认购权。上述增资事项完成后，公司持有智能数据公司股权比例由</w:t>
      </w:r>
      <w:r>
        <w:rPr>
          <w:rFonts w:ascii="Times New Roman" w:eastAsia="Times New Roman" w:hAnsi="Times New Roman" w:cs="Times New Roman"/>
          <w:color w:val="000000"/>
          <w:spacing w:val="0"/>
          <w:w w:val="100"/>
          <w:position w:val="0"/>
          <w:sz w:val="18"/>
          <w:szCs w:val="18"/>
        </w:rPr>
        <w:t>55.55%</w:t>
      </w:r>
      <w:r>
        <w:rPr>
          <w:color w:val="000000"/>
          <w:spacing w:val="0"/>
          <w:w w:val="100"/>
          <w:position w:val="0"/>
        </w:rPr>
        <w:t>降为</w:t>
      </w:r>
      <w:r>
        <w:rPr>
          <w:rFonts w:ascii="Times New Roman" w:eastAsia="Times New Roman" w:hAnsi="Times New Roman" w:cs="Times New Roman"/>
          <w:color w:val="000000"/>
          <w:spacing w:val="0"/>
          <w:w w:val="100"/>
          <w:position w:val="0"/>
          <w:sz w:val="18"/>
          <w:szCs w:val="18"/>
        </w:rPr>
        <w:t>49.8188%</w:t>
      </w:r>
      <w:r>
        <w:rPr>
          <w:color w:val="000000"/>
          <w:spacing w:val="0"/>
          <w:w w:val="100"/>
          <w:position w:val="0"/>
        </w:rPr>
        <w:t>，且委派董事</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席，对其不 拥有控制权，智能数据公司将不再纳入上市公司合并报表范围。由于公司董事兼总裁冒大卫先生担任智能数据公司董事，根 据《深圳证券交易所创业板股票上市规则》的相关规定，智能数据成为公司的关联法人，因此，本次合并范围发生变动后， 公司在合并范围期间内与智能数据公司发生的借款</w:t>
      </w:r>
      <w:r>
        <w:rPr>
          <w:rFonts w:ascii="Times New Roman" w:eastAsia="Times New Roman" w:hAnsi="Times New Roman" w:cs="Times New Roman"/>
          <w:color w:val="000000"/>
          <w:spacing w:val="0"/>
          <w:w w:val="100"/>
          <w:position w:val="0"/>
          <w:sz w:val="18"/>
          <w:szCs w:val="18"/>
        </w:rPr>
        <w:t>1,500</w:t>
      </w:r>
      <w:r>
        <w:rPr>
          <w:color w:val="000000"/>
          <w:spacing w:val="0"/>
          <w:w w:val="100"/>
          <w:position w:val="0"/>
        </w:rPr>
        <w:t>万元，变成了对关联方的财务资助。具体内容详见</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9</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 xml:space="preserve">28 </w:t>
      </w:r>
      <w:r>
        <w:rPr>
          <w:color w:val="000000"/>
          <w:spacing w:val="0"/>
          <w:w w:val="100"/>
          <w:position w:val="0"/>
        </w:rPr>
        <w:t>日，公司在巨潮资讯网披露的《关于公司被动形成向关联方提供财务资助暨关联交易的公告》</w:t>
      </w:r>
      <w:r>
        <w:rPr>
          <w:color w:val="000000"/>
          <w:spacing w:val="0"/>
          <w:w w:val="100"/>
          <w:position w:val="0"/>
          <w:sz w:val="18"/>
          <w:szCs w:val="18"/>
        </w:rPr>
        <w:t>，</w:t>
      </w:r>
      <w:r>
        <w:rPr>
          <w:color w:val="000000"/>
          <w:spacing w:val="0"/>
          <w:w w:val="100"/>
          <w:position w:val="0"/>
        </w:rPr>
        <w:t>公告编号</w:t>
      </w:r>
      <w:r>
        <w:rPr>
          <w:rFonts w:ascii="Times New Roman" w:eastAsia="Times New Roman" w:hAnsi="Times New Roman" w:cs="Times New Roman"/>
          <w:color w:val="000000"/>
          <w:spacing w:val="0"/>
          <w:w w:val="100"/>
          <w:position w:val="0"/>
          <w:sz w:val="18"/>
          <w:szCs w:val="18"/>
        </w:rPr>
        <w:t>2020-095</w:t>
      </w:r>
      <w:r>
        <w:rPr>
          <w:color w:val="000000"/>
          <w:spacing w:val="0"/>
          <w:w w:val="100"/>
          <w:position w:val="0"/>
        </w:rPr>
        <w:t>。</w:t>
      </w:r>
    </w:p>
    <w:p>
      <w:pPr>
        <w:pStyle w:val="Style41"/>
        <w:keepNext w:val="0"/>
        <w:keepLines w:val="0"/>
        <w:widowControl w:val="0"/>
        <w:shd w:val="clear" w:color="auto" w:fill="auto"/>
        <w:tabs>
          <w:tab w:pos="874" w:val="left"/>
        </w:tabs>
        <w:bidi w:val="0"/>
        <w:spacing w:before="0" w:after="380" w:line="468" w:lineRule="exact"/>
        <w:ind w:left="0" w:right="0" w:firstLine="460"/>
        <w:jc w:val="both"/>
        <w:sectPr>
          <w:footnotePr>
            <w:pos w:val="pageBottom"/>
            <w:numFmt w:val="decimal"/>
            <w:numRestart w:val="continuous"/>
          </w:footnotePr>
          <w:pgSz w:w="11904" w:h="17375"/>
          <w:pgMar w:top="1761" w:right="1018" w:bottom="1761" w:left="1018" w:header="0" w:footer="3" w:gutter="0"/>
          <w:cols w:space="720"/>
          <w:noEndnote/>
          <w:rtlGutter w:val="0"/>
          <w:docGrid w:linePitch="360"/>
        </w:sectPr>
      </w:pPr>
      <w:bookmarkStart w:id="506" w:name="bookmark506"/>
      <w:r>
        <w:rPr>
          <w:color w:val="000000"/>
          <w:spacing w:val="0"/>
          <w:w w:val="100"/>
          <w:position w:val="0"/>
        </w:rPr>
        <w:t>（</w:t>
      </w:r>
      <w:bookmarkEnd w:id="506"/>
      <w:r>
        <w:rPr>
          <w:rFonts w:ascii="Times New Roman" w:eastAsia="Times New Roman" w:hAnsi="Times New Roman" w:cs="Times New Roman"/>
          <w:color w:val="000000"/>
          <w:spacing w:val="0"/>
          <w:w w:val="100"/>
          <w:position w:val="0"/>
          <w:sz w:val="18"/>
          <w:szCs w:val="18"/>
        </w:rPr>
        <w:t>2</w:t>
      </w:r>
      <w:r>
        <w:rPr>
          <w:color w:val="000000"/>
          <w:spacing w:val="0"/>
          <w:w w:val="100"/>
          <w:position w:val="0"/>
        </w:rPr>
        <w:t>）</w:t>
        <w:tab/>
        <w:t>公司于</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6</w:t>
      </w:r>
      <w:r>
        <w:rPr>
          <w:color w:val="000000"/>
          <w:spacing w:val="0"/>
          <w:w w:val="100"/>
          <w:position w:val="0"/>
        </w:rPr>
        <w:t>日召开第七届董事会第十七次会议，审议通过了《关于公司与中建智能公司发生日常关联交 易的议案》，公司控股子公司奇点新源国际技术开发（北京）有限公司（以下简称</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奇点新源</w:t>
      </w:r>
      <w:r>
        <w:rPr>
          <w:color w:val="000000"/>
          <w:spacing w:val="0"/>
          <w:w w:val="100"/>
          <w:position w:val="0"/>
        </w:rPr>
        <w:t>''）</w:t>
      </w:r>
      <w:r>
        <w:rPr>
          <w:color w:val="000000"/>
          <w:spacing w:val="0"/>
          <w:w w:val="100"/>
          <w:position w:val="0"/>
        </w:rPr>
        <w:t>与公司参股公司中建智能技 术有限公司（以下简称</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中建智能</w:t>
      </w:r>
      <w:r>
        <w:rPr>
          <w:color w:val="000000"/>
          <w:spacing w:val="0"/>
          <w:w w:val="100"/>
          <w:position w:val="0"/>
        </w:rPr>
        <w:t>''）</w:t>
      </w:r>
      <w:r>
        <w:rPr>
          <w:color w:val="000000"/>
          <w:spacing w:val="0"/>
          <w:w w:val="100"/>
          <w:position w:val="0"/>
        </w:rPr>
        <w:t>签署采购合同，自</w:t>
      </w:r>
      <w:r>
        <w:rPr>
          <w:rFonts w:ascii="Times New Roman" w:eastAsia="Times New Roman" w:hAnsi="Times New Roman" w:cs="Times New Roman"/>
          <w:color w:val="000000"/>
          <w:spacing w:val="0"/>
          <w:w w:val="100"/>
          <w:position w:val="0"/>
          <w:sz w:val="18"/>
          <w:szCs w:val="18"/>
        </w:rPr>
        <w:t>2019</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月至</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月（即连续</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月内）奇点新源与中建智能 已发生及拟发生关联交易累计合同金额约</w:t>
      </w:r>
      <w:r>
        <w:rPr>
          <w:rFonts w:ascii="Times New Roman" w:eastAsia="Times New Roman" w:hAnsi="Times New Roman" w:cs="Times New Roman"/>
          <w:color w:val="000000"/>
          <w:spacing w:val="0"/>
          <w:w w:val="100"/>
          <w:position w:val="0"/>
          <w:sz w:val="18"/>
          <w:szCs w:val="18"/>
        </w:rPr>
        <w:t>2,633.55</w:t>
      </w:r>
      <w:r>
        <w:rPr>
          <w:color w:val="000000"/>
          <w:spacing w:val="0"/>
          <w:w w:val="100"/>
          <w:position w:val="0"/>
        </w:rPr>
        <w:t>万元，占公司</w:t>
      </w:r>
      <w:r>
        <w:rPr>
          <w:rFonts w:ascii="Times New Roman" w:eastAsia="Times New Roman" w:hAnsi="Times New Roman" w:cs="Times New Roman"/>
          <w:color w:val="000000"/>
          <w:spacing w:val="0"/>
          <w:w w:val="100"/>
          <w:position w:val="0"/>
          <w:sz w:val="18"/>
          <w:szCs w:val="18"/>
        </w:rPr>
        <w:t>2018</w:t>
      </w:r>
      <w:r>
        <w:rPr>
          <w:color w:val="000000"/>
          <w:spacing w:val="0"/>
          <w:w w:val="100"/>
          <w:position w:val="0"/>
        </w:rPr>
        <w:t>年度经审计归属于上市公司股东的净资产</w:t>
      </w:r>
      <w:r>
        <w:rPr>
          <w:rFonts w:ascii="Times New Roman" w:eastAsia="Times New Roman" w:hAnsi="Times New Roman" w:cs="Times New Roman"/>
          <w:color w:val="000000"/>
          <w:spacing w:val="0"/>
          <w:w w:val="100"/>
          <w:position w:val="0"/>
          <w:sz w:val="18"/>
          <w:szCs w:val="18"/>
        </w:rPr>
        <w:t>0.50%</w:t>
      </w:r>
      <w:r>
        <w:rPr>
          <w:color w:val="000000"/>
          <w:spacing w:val="0"/>
          <w:w w:val="100"/>
          <w:position w:val="0"/>
        </w:rPr>
        <w:t>。具 体内容详见公司于</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7</w:t>
      </w:r>
      <w:r>
        <w:rPr>
          <w:color w:val="000000"/>
          <w:spacing w:val="0"/>
          <w:w w:val="100"/>
          <w:position w:val="0"/>
        </w:rPr>
        <w:t>日在巨潮资讯网披露的《关于与中建智能技术有限公司发生日常关联交易的公告》（公告 编号：</w:t>
      </w:r>
      <w:r>
        <w:rPr>
          <w:rFonts w:ascii="Times New Roman" w:eastAsia="Times New Roman" w:hAnsi="Times New Roman" w:cs="Times New Roman"/>
          <w:color w:val="000000"/>
          <w:spacing w:val="0"/>
          <w:w w:val="100"/>
          <w:position w:val="0"/>
          <w:sz w:val="18"/>
          <w:szCs w:val="18"/>
        </w:rPr>
        <w:t>2020-002</w:t>
      </w:r>
      <w:r>
        <w:rPr>
          <w:color w:val="000000"/>
          <w:spacing w:val="0"/>
          <w:w w:val="100"/>
          <w:position w:val="0"/>
        </w:rPr>
        <w:t>）</w:t>
      </w:r>
      <w:r>
        <w:rPr>
          <w:color w:val="000000"/>
          <w:spacing w:val="0"/>
          <w:w w:val="100"/>
          <w:position w:val="0"/>
        </w:rPr>
        <w:t>。截至目前，双方合作正常履行中。</w:t>
      </w:r>
    </w:p>
    <w:p>
      <w:pPr>
        <w:pStyle w:val="Style212"/>
        <w:keepNext w:val="0"/>
        <w:keepLines w:val="0"/>
        <w:widowControl w:val="0"/>
        <w:shd w:val="clear" w:color="auto" w:fill="auto"/>
        <w:bidi w:val="0"/>
        <w:spacing w:before="0" w:after="0" w:line="240" w:lineRule="auto"/>
        <w:ind w:left="0" w:right="0" w:firstLine="0"/>
        <w:jc w:val="left"/>
      </w:pPr>
      <w:r>
        <w:rPr>
          <w:spacing w:val="0"/>
          <w:w w:val="100"/>
          <w:position w:val="0"/>
        </w:rPr>
        <w:t>Ultrapoiuer</w:t>
      </w:r>
    </w:p>
    <w:p>
      <w:pPr>
        <w:pStyle w:val="Style41"/>
        <w:keepNext w:val="0"/>
        <w:keepLines w:val="0"/>
        <w:widowControl w:val="0"/>
        <w:pBdr>
          <w:bottom w:val="single" w:sz="4" w:space="0" w:color="auto"/>
        </w:pBdr>
        <w:shd w:val="clear" w:color="auto" w:fill="auto"/>
        <w:bidi w:val="0"/>
        <w:spacing w:before="0" w:after="0" w:line="398" w:lineRule="exact"/>
        <w:ind w:left="0" w:right="0" w:firstLine="820"/>
        <w:jc w:val="left"/>
      </w:pPr>
      <w:r>
        <w:rPr>
          <w:color w:val="1F84C4"/>
          <w:spacing w:val="0"/>
          <w:w w:val="100"/>
          <w:position w:val="0"/>
          <w:shd w:val="clear" w:color="auto" w:fill="FFFFFF"/>
        </w:rPr>
        <w:t>斗卜</w:t>
      </w:r>
      <w:r>
        <w:rPr>
          <w:rFonts w:ascii="Times New Roman" w:eastAsia="Times New Roman" w:hAnsi="Times New Roman" w:cs="Times New Roman"/>
          <w:color w:val="1F84C4"/>
          <w:spacing w:val="0"/>
          <w:w w:val="100"/>
          <w:position w:val="0"/>
          <w:sz w:val="18"/>
          <w:szCs w:val="18"/>
          <w:shd w:val="clear" w:color="auto" w:fill="FFFFFF"/>
        </w:rPr>
        <w:t>I</w:t>
      </w:r>
      <w:r>
        <w:rPr>
          <w:color w:val="1F84C4"/>
          <w:spacing w:val="0"/>
          <w:w w:val="100"/>
          <w:position w:val="0"/>
          <w:shd w:val="clear" w:color="auto" w:fill="FFFFFF"/>
        </w:rPr>
        <w:t>..泰</w:t>
      </w:r>
      <w:r>
        <w:rPr>
          <w:color w:val="000000"/>
          <w:spacing w:val="0"/>
          <w:w w:val="100"/>
          <w:position w:val="0"/>
          <w:u w:val="single"/>
          <w:shd w:val="clear" w:color="auto" w:fill="FFFFFF"/>
        </w:rPr>
        <w:t>北京神州泰岳软件股份有限公司</w:t>
      </w:r>
      <w:r>
        <w:rPr>
          <w:rFonts w:ascii="Times New Roman" w:eastAsia="Times New Roman" w:hAnsi="Times New Roman" w:cs="Times New Roman"/>
          <w:color w:val="000000"/>
          <w:spacing w:val="0"/>
          <w:w w:val="100"/>
          <w:position w:val="0"/>
          <w:sz w:val="18"/>
          <w:szCs w:val="18"/>
          <w:u w:val="single"/>
          <w:shd w:val="clear" w:color="auto" w:fill="FFFFFF"/>
        </w:rPr>
        <w:t>2020</w:t>
      </w:r>
      <w:r>
        <w:rPr>
          <w:color w:val="000000"/>
          <w:spacing w:val="0"/>
          <w:w w:val="100"/>
          <w:position w:val="0"/>
          <w:u w:val="single"/>
          <w:shd w:val="clear" w:color="auto" w:fill="FFFFFF"/>
        </w:rPr>
        <w:t>年年度报告全文</w:t>
      </w:r>
    </w:p>
    <w:p>
      <w:pPr>
        <w:pStyle w:val="Style236"/>
        <w:keepNext w:val="0"/>
        <w:keepLines w:val="0"/>
        <w:widowControl w:val="0"/>
        <w:shd w:val="clear" w:color="auto" w:fill="auto"/>
        <w:bidi w:val="0"/>
        <w:spacing w:before="0"/>
        <w:ind w:left="0" w:right="0" w:firstLine="0"/>
        <w:jc w:val="left"/>
      </w:pPr>
      <w:r>
        <w:rPr>
          <w:color w:val="000000"/>
          <w:spacing w:val="0"/>
          <w:w w:val="100"/>
          <w:position w:val="0"/>
          <w:sz w:val="24"/>
          <w:szCs w:val="24"/>
        </w:rPr>
        <w:t>十六、重大合同及其履行情况</w:t>
      </w:r>
    </w:p>
    <w:p>
      <w:pPr>
        <w:pStyle w:val="Style16"/>
        <w:keepNext w:val="0"/>
        <w:keepLines w:val="0"/>
        <w:widowControl w:val="0"/>
        <w:shd w:val="clear" w:color="auto" w:fill="auto"/>
        <w:tabs>
          <w:tab w:pos="373" w:val="left"/>
        </w:tabs>
        <w:bidi w:val="0"/>
        <w:spacing w:before="0" w:after="360" w:line="240" w:lineRule="auto"/>
        <w:ind w:left="0" w:right="0" w:firstLine="0"/>
        <w:jc w:val="left"/>
      </w:pPr>
      <w:bookmarkStart w:id="507" w:name="bookmark507"/>
      <w:bookmarkStart w:id="508" w:name="bookmark508"/>
      <w:bookmarkStart w:id="509" w:name="bookmark509"/>
      <w:r>
        <w:rPr>
          <w:b/>
          <w:bCs/>
          <w:color w:val="000000"/>
          <w:spacing w:val="0"/>
          <w:w w:val="100"/>
          <w:position w:val="0"/>
        </w:rPr>
        <w:t>1</w:t>
      </w:r>
      <w:bookmarkEnd w:id="507"/>
      <w:r>
        <w:rPr>
          <w:b/>
          <w:bCs/>
          <w:color w:val="000000"/>
          <w:spacing w:val="0"/>
          <w:w w:val="100"/>
          <w:position w:val="0"/>
        </w:rPr>
        <w:t>、</w:t>
        <w:tab/>
        <w:t>托管、承包、租赁事项情况</w:t>
      </w:r>
      <w:bookmarkEnd w:id="508"/>
      <w:bookmarkEnd w:id="509"/>
    </w:p>
    <w:p>
      <w:pPr>
        <w:pStyle w:val="Style58"/>
        <w:keepNext/>
        <w:keepLines/>
        <w:widowControl w:val="0"/>
        <w:shd w:val="clear" w:color="auto" w:fill="auto"/>
        <w:tabs>
          <w:tab w:pos="493" w:val="left"/>
        </w:tabs>
        <w:bidi w:val="0"/>
        <w:spacing w:before="0" w:after="460" w:line="240" w:lineRule="auto"/>
        <w:ind w:left="0" w:right="0" w:firstLine="0"/>
        <w:jc w:val="left"/>
        <w:rPr>
          <w:sz w:val="20"/>
          <w:szCs w:val="20"/>
        </w:rPr>
      </w:pPr>
      <w:bookmarkStart w:id="510" w:name="bookmark510"/>
      <w:bookmarkStart w:id="511" w:name="bookmark511"/>
      <w:bookmarkStart w:id="512" w:name="bookmark512"/>
      <w:bookmarkStart w:id="513" w:name="bookmark513"/>
      <w:r>
        <w:rPr>
          <w:b/>
          <w:bCs/>
          <w:color w:val="000000"/>
          <w:spacing w:val="0"/>
          <w:w w:val="100"/>
          <w:position w:val="0"/>
          <w:sz w:val="20"/>
          <w:szCs w:val="20"/>
        </w:rPr>
        <w:t>（</w:t>
      </w:r>
      <w:bookmarkEnd w:id="512"/>
      <w:r>
        <w:rPr>
          <w:b/>
          <w:bCs/>
          <w:color w:val="000000"/>
          <w:spacing w:val="0"/>
          <w:w w:val="100"/>
          <w:position w:val="0"/>
          <w:sz w:val="20"/>
          <w:szCs w:val="20"/>
        </w:rPr>
        <w:t>1）</w:t>
        <w:tab/>
        <w:t>托管情况</w:t>
      </w:r>
      <w:bookmarkEnd w:id="510"/>
      <w:bookmarkEnd w:id="511"/>
      <w:bookmarkEnd w:id="513"/>
    </w:p>
    <w:p>
      <w:pPr>
        <w:pStyle w:val="Style41"/>
        <w:keepNext w:val="0"/>
        <w:keepLines w:val="0"/>
        <w:widowControl w:val="0"/>
        <w:shd w:val="clear" w:color="auto" w:fill="auto"/>
        <w:bidi w:val="0"/>
        <w:spacing w:before="0" w:after="0" w:line="463"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b/>
          <w:bCs/>
          <w:i/>
          <w:iCs/>
          <w:color w:val="000000"/>
          <w:spacing w:val="0"/>
          <w:w w:val="100"/>
          <w:position w:val="0"/>
        </w:rPr>
        <w:t>*</w:t>
      </w:r>
      <w:r>
        <w:rPr>
          <w:b/>
          <w:bCs/>
          <w:color w:val="000000"/>
          <w:spacing w:val="0"/>
          <w:w w:val="100"/>
          <w:position w:val="0"/>
        </w:rPr>
        <w:t>不适用</w:t>
      </w:r>
    </w:p>
    <w:p>
      <w:pPr>
        <w:pStyle w:val="Style41"/>
        <w:keepNext w:val="0"/>
        <w:keepLines w:val="0"/>
        <w:widowControl w:val="0"/>
        <w:shd w:val="clear" w:color="auto" w:fill="auto"/>
        <w:bidi w:val="0"/>
        <w:spacing w:before="0" w:after="460" w:line="398" w:lineRule="exact"/>
        <w:ind w:left="0" w:right="0" w:firstLine="0"/>
        <w:jc w:val="left"/>
      </w:pPr>
      <w:r>
        <w:rPr>
          <w:color w:val="000000"/>
          <w:spacing w:val="0"/>
          <w:w w:val="100"/>
          <w:position w:val="0"/>
        </w:rPr>
        <w:t>公司报告期不存在托管情况。</w:t>
      </w:r>
    </w:p>
    <w:p>
      <w:pPr>
        <w:pStyle w:val="Style58"/>
        <w:keepNext/>
        <w:keepLines/>
        <w:widowControl w:val="0"/>
        <w:shd w:val="clear" w:color="auto" w:fill="auto"/>
        <w:tabs>
          <w:tab w:pos="493" w:val="left"/>
        </w:tabs>
        <w:bidi w:val="0"/>
        <w:spacing w:before="0" w:after="460" w:line="240" w:lineRule="auto"/>
        <w:ind w:left="0" w:right="0" w:firstLine="0"/>
        <w:jc w:val="left"/>
        <w:rPr>
          <w:sz w:val="20"/>
          <w:szCs w:val="20"/>
        </w:rPr>
      </w:pPr>
      <w:bookmarkStart w:id="514" w:name="bookmark514"/>
      <w:bookmarkStart w:id="515" w:name="bookmark515"/>
      <w:bookmarkStart w:id="516" w:name="bookmark516"/>
      <w:bookmarkStart w:id="517" w:name="bookmark517"/>
      <w:r>
        <w:rPr>
          <w:b/>
          <w:bCs/>
          <w:color w:val="000000"/>
          <w:spacing w:val="0"/>
          <w:w w:val="100"/>
          <w:position w:val="0"/>
          <w:sz w:val="20"/>
          <w:szCs w:val="20"/>
        </w:rPr>
        <w:t>（</w:t>
      </w:r>
      <w:bookmarkEnd w:id="516"/>
      <w:r>
        <w:rPr>
          <w:b/>
          <w:bCs/>
          <w:color w:val="000000"/>
          <w:spacing w:val="0"/>
          <w:w w:val="100"/>
          <w:position w:val="0"/>
          <w:sz w:val="20"/>
          <w:szCs w:val="20"/>
        </w:rPr>
        <w:t>2）</w:t>
        <w:tab/>
        <w:t>承包情况</w:t>
      </w:r>
      <w:bookmarkEnd w:id="514"/>
      <w:bookmarkEnd w:id="515"/>
      <w:bookmarkEnd w:id="517"/>
    </w:p>
    <w:p>
      <w:pPr>
        <w:pStyle w:val="Style41"/>
        <w:keepNext w:val="0"/>
        <w:keepLines w:val="0"/>
        <w:widowControl w:val="0"/>
        <w:shd w:val="clear" w:color="auto" w:fill="auto"/>
        <w:bidi w:val="0"/>
        <w:spacing w:before="0" w:after="0" w:line="463"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b/>
          <w:bCs/>
          <w:color w:val="000000"/>
          <w:spacing w:val="0"/>
          <w:w w:val="100"/>
          <w:position w:val="0"/>
          <w:sz w:val="18"/>
          <w:szCs w:val="18"/>
        </w:rPr>
        <w:t>*</w:t>
      </w:r>
      <w:r>
        <w:rPr>
          <w:b/>
          <w:bCs/>
          <w:color w:val="000000"/>
          <w:spacing w:val="0"/>
          <w:w w:val="100"/>
          <w:position w:val="0"/>
        </w:rPr>
        <w:t>不适用</w:t>
      </w:r>
    </w:p>
    <w:p>
      <w:pPr>
        <w:pStyle w:val="Style41"/>
        <w:keepNext w:val="0"/>
        <w:keepLines w:val="0"/>
        <w:widowControl w:val="0"/>
        <w:shd w:val="clear" w:color="auto" w:fill="auto"/>
        <w:bidi w:val="0"/>
        <w:spacing w:before="0" w:after="460" w:line="398" w:lineRule="exact"/>
        <w:ind w:left="0" w:right="0" w:firstLine="0"/>
        <w:jc w:val="left"/>
      </w:pPr>
      <w:r>
        <w:rPr>
          <w:color w:val="000000"/>
          <w:spacing w:val="0"/>
          <w:w w:val="100"/>
          <w:position w:val="0"/>
        </w:rPr>
        <w:t>公司报告期不存在承包情况。</w:t>
      </w:r>
    </w:p>
    <w:p>
      <w:pPr>
        <w:pStyle w:val="Style58"/>
        <w:keepNext/>
        <w:keepLines/>
        <w:widowControl w:val="0"/>
        <w:shd w:val="clear" w:color="auto" w:fill="auto"/>
        <w:tabs>
          <w:tab w:pos="493" w:val="left"/>
        </w:tabs>
        <w:bidi w:val="0"/>
        <w:spacing w:before="0" w:after="460" w:line="240" w:lineRule="auto"/>
        <w:ind w:left="0" w:right="0" w:firstLine="0"/>
        <w:jc w:val="left"/>
        <w:rPr>
          <w:sz w:val="20"/>
          <w:szCs w:val="20"/>
        </w:rPr>
      </w:pPr>
      <w:bookmarkStart w:id="518" w:name="bookmark518"/>
      <w:bookmarkStart w:id="519" w:name="bookmark519"/>
      <w:bookmarkStart w:id="520" w:name="bookmark520"/>
      <w:bookmarkStart w:id="521" w:name="bookmark521"/>
      <w:r>
        <w:rPr>
          <w:b/>
          <w:bCs/>
          <w:color w:val="000000"/>
          <w:spacing w:val="0"/>
          <w:w w:val="100"/>
          <w:position w:val="0"/>
          <w:sz w:val="20"/>
          <w:szCs w:val="20"/>
        </w:rPr>
        <w:t>（</w:t>
      </w:r>
      <w:bookmarkEnd w:id="520"/>
      <w:r>
        <w:rPr>
          <w:b/>
          <w:bCs/>
          <w:color w:val="000000"/>
          <w:spacing w:val="0"/>
          <w:w w:val="100"/>
          <w:position w:val="0"/>
          <w:sz w:val="20"/>
          <w:szCs w:val="20"/>
        </w:rPr>
        <w:t>3）</w:t>
        <w:tab/>
        <w:t>租赁情况</w:t>
      </w:r>
      <w:bookmarkEnd w:id="518"/>
      <w:bookmarkEnd w:id="519"/>
      <w:bookmarkEnd w:id="521"/>
    </w:p>
    <w:p>
      <w:pPr>
        <w:pStyle w:val="Style41"/>
        <w:keepNext w:val="0"/>
        <w:keepLines w:val="0"/>
        <w:widowControl w:val="0"/>
        <w:shd w:val="clear" w:color="auto" w:fill="auto"/>
        <w:bidi w:val="0"/>
        <w:spacing w:before="0" w:after="0" w:line="463" w:lineRule="auto"/>
        <w:ind w:left="0" w:right="0" w:firstLine="0"/>
        <w:jc w:val="left"/>
      </w:pPr>
      <w:r>
        <w:rPr>
          <w:rFonts w:ascii="Times New Roman" w:eastAsia="Times New Roman" w:hAnsi="Times New Roman" w:cs="Times New Roman"/>
          <w:b/>
          <w:bCs/>
          <w:color w:val="000000"/>
          <w:spacing w:val="0"/>
          <w:w w:val="100"/>
          <w:position w:val="0"/>
          <w:sz w:val="18"/>
          <w:szCs w:val="18"/>
        </w:rPr>
        <w:t>*</w:t>
      </w:r>
      <w:r>
        <w:rPr>
          <w:b/>
          <w:bCs/>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41"/>
        <w:keepNext w:val="0"/>
        <w:keepLines w:val="0"/>
        <w:widowControl w:val="0"/>
        <w:shd w:val="clear" w:color="auto" w:fill="auto"/>
        <w:bidi w:val="0"/>
        <w:spacing w:before="0" w:after="60" w:line="398" w:lineRule="exact"/>
        <w:ind w:left="0" w:right="0" w:firstLine="0"/>
        <w:jc w:val="left"/>
      </w:pPr>
      <w:r>
        <w:rPr>
          <w:b/>
          <w:bCs/>
          <w:color w:val="000000"/>
          <w:spacing w:val="0"/>
          <w:w w:val="100"/>
          <w:position w:val="0"/>
        </w:rPr>
        <w:t>租赁情况说明</w:t>
      </w:r>
    </w:p>
    <w:p>
      <w:pPr>
        <w:pStyle w:val="Style41"/>
        <w:keepNext w:val="0"/>
        <w:keepLines w:val="0"/>
        <w:widowControl w:val="0"/>
        <w:shd w:val="clear" w:color="auto" w:fill="auto"/>
        <w:bidi w:val="0"/>
        <w:spacing w:before="0" w:after="60" w:line="398" w:lineRule="exact"/>
        <w:ind w:left="0" w:right="0" w:firstLine="0"/>
        <w:jc w:val="left"/>
      </w:pPr>
      <w:r>
        <w:rPr>
          <w:color w:val="000000"/>
          <w:spacing w:val="0"/>
          <w:w w:val="100"/>
          <w:position w:val="0"/>
        </w:rPr>
        <w:t>公司将北辰泰岳大厦部分楼层及停车位等处用于经营租赁租出，本年共取得租赁收入</w:t>
      </w:r>
      <w:r>
        <w:rPr>
          <w:rFonts w:ascii="Times New Roman" w:eastAsia="Times New Roman" w:hAnsi="Times New Roman" w:cs="Times New Roman"/>
          <w:color w:val="000000"/>
          <w:spacing w:val="0"/>
          <w:w w:val="100"/>
          <w:position w:val="0"/>
          <w:sz w:val="18"/>
          <w:szCs w:val="18"/>
        </w:rPr>
        <w:t>3,880.19</w:t>
      </w:r>
      <w:r>
        <w:rPr>
          <w:color w:val="000000"/>
          <w:spacing w:val="0"/>
          <w:w w:val="100"/>
          <w:position w:val="0"/>
        </w:rPr>
        <w:t>万元。</w:t>
      </w:r>
    </w:p>
    <w:p>
      <w:pPr>
        <w:pStyle w:val="Style41"/>
        <w:keepNext w:val="0"/>
        <w:keepLines w:val="0"/>
        <w:widowControl w:val="0"/>
        <w:shd w:val="clear" w:color="auto" w:fill="auto"/>
        <w:bidi w:val="0"/>
        <w:spacing w:before="0" w:after="260" w:line="398" w:lineRule="exact"/>
        <w:ind w:left="0" w:right="0" w:firstLine="0"/>
        <w:jc w:val="left"/>
      </w:pPr>
      <w:r>
        <w:rPr>
          <w:b/>
          <w:bCs/>
          <w:color w:val="000000"/>
          <w:spacing w:val="0"/>
          <w:w w:val="100"/>
          <w:position w:val="0"/>
        </w:rPr>
        <w:t>为公司带来的损益达到公司报告期利润总额</w:t>
      </w:r>
      <w:r>
        <w:rPr>
          <w:rFonts w:ascii="Times New Roman" w:eastAsia="Times New Roman" w:hAnsi="Times New Roman" w:cs="Times New Roman"/>
          <w:b/>
          <w:bCs/>
          <w:color w:val="000000"/>
          <w:spacing w:val="0"/>
          <w:w w:val="100"/>
          <w:position w:val="0"/>
          <w:sz w:val="18"/>
          <w:szCs w:val="18"/>
        </w:rPr>
        <w:t>10%</w:t>
      </w:r>
      <w:r>
        <w:rPr>
          <w:b/>
          <w:bCs/>
          <w:color w:val="000000"/>
          <w:spacing w:val="0"/>
          <w:w w:val="100"/>
          <w:position w:val="0"/>
        </w:rPr>
        <w:t>以上的项目</w:t>
      </w:r>
    </w:p>
    <w:p>
      <w:pPr>
        <w:pStyle w:val="Style41"/>
        <w:keepNext w:val="0"/>
        <w:keepLines w:val="0"/>
        <w:widowControl w:val="0"/>
        <w:shd w:val="clear" w:color="auto" w:fill="auto"/>
        <w:bidi w:val="0"/>
        <w:spacing w:before="0" w:after="0" w:line="463"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b/>
          <w:bCs/>
          <w:color w:val="000000"/>
          <w:spacing w:val="0"/>
          <w:w w:val="100"/>
          <w:position w:val="0"/>
          <w:sz w:val="18"/>
          <w:szCs w:val="18"/>
        </w:rPr>
        <w:t>*</w:t>
      </w:r>
      <w:r>
        <w:rPr>
          <w:b/>
          <w:bCs/>
          <w:color w:val="000000"/>
          <w:spacing w:val="0"/>
          <w:w w:val="100"/>
          <w:position w:val="0"/>
        </w:rPr>
        <w:t>不适用</w:t>
      </w:r>
    </w:p>
    <w:p>
      <w:pPr>
        <w:pStyle w:val="Style41"/>
        <w:keepNext w:val="0"/>
        <w:keepLines w:val="0"/>
        <w:widowControl w:val="0"/>
        <w:shd w:val="clear" w:color="auto" w:fill="auto"/>
        <w:bidi w:val="0"/>
        <w:spacing w:before="0" w:after="460" w:line="398" w:lineRule="exact"/>
        <w:ind w:left="0" w:right="0" w:firstLine="0"/>
        <w:jc w:val="left"/>
      </w:pPr>
      <w:r>
        <w:rPr>
          <w:color w:val="000000"/>
          <w:spacing w:val="0"/>
          <w:w w:val="100"/>
          <w:position w:val="0"/>
        </w:rPr>
        <w:t>公司报告期不存在为公司带来的损益达到公司报告期利润总额</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以上的租赁项目。</w:t>
      </w:r>
    </w:p>
    <w:p>
      <w:pPr>
        <w:pStyle w:val="Style47"/>
        <w:keepNext/>
        <w:keepLines/>
        <w:widowControl w:val="0"/>
        <w:shd w:val="clear" w:color="auto" w:fill="auto"/>
        <w:tabs>
          <w:tab w:pos="378" w:val="left"/>
        </w:tabs>
        <w:bidi w:val="0"/>
        <w:spacing w:before="0" w:after="460" w:line="240" w:lineRule="auto"/>
        <w:ind w:left="0" w:right="0" w:firstLine="0"/>
        <w:jc w:val="left"/>
      </w:pPr>
      <w:bookmarkStart w:id="522" w:name="bookmark522"/>
      <w:bookmarkStart w:id="523" w:name="bookmark523"/>
      <w:bookmarkStart w:id="524" w:name="bookmark524"/>
      <w:bookmarkStart w:id="525" w:name="bookmark525"/>
      <w:r>
        <w:rPr>
          <w:color w:val="000000"/>
          <w:spacing w:val="0"/>
          <w:w w:val="100"/>
          <w:position w:val="0"/>
        </w:rPr>
        <w:t>2</w:t>
      </w:r>
      <w:bookmarkEnd w:id="524"/>
      <w:r>
        <w:rPr>
          <w:color w:val="000000"/>
          <w:spacing w:val="0"/>
          <w:w w:val="100"/>
          <w:position w:val="0"/>
        </w:rPr>
        <w:t>、</w:t>
        <w:tab/>
        <w:t>重大担保</w:t>
      </w:r>
      <w:bookmarkEnd w:id="522"/>
      <w:bookmarkEnd w:id="523"/>
      <w:bookmarkEnd w:id="525"/>
    </w:p>
    <w:p>
      <w:pPr>
        <w:pStyle w:val="Style41"/>
        <w:keepNext w:val="0"/>
        <w:keepLines w:val="0"/>
        <w:widowControl w:val="0"/>
        <w:shd w:val="clear" w:color="auto" w:fill="auto"/>
        <w:bidi w:val="0"/>
        <w:spacing w:before="0" w:after="260" w:line="463" w:lineRule="auto"/>
        <w:ind w:left="0" w:right="0" w:firstLine="0"/>
        <w:jc w:val="left"/>
      </w:pPr>
      <w:r>
        <w:rPr>
          <w:rFonts w:ascii="Times New Roman" w:eastAsia="Times New Roman" w:hAnsi="Times New Roman" w:cs="Times New Roman"/>
          <w:b/>
          <w:bCs/>
          <w:color w:val="000000"/>
          <w:spacing w:val="0"/>
          <w:w w:val="100"/>
          <w:position w:val="0"/>
          <w:sz w:val="18"/>
          <w:szCs w:val="18"/>
        </w:rPr>
        <w:t>*</w:t>
      </w:r>
      <w:r>
        <w:rPr>
          <w:b/>
          <w:bCs/>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58"/>
        <w:keepNext/>
        <w:keepLines/>
        <w:widowControl w:val="0"/>
        <w:shd w:val="clear" w:color="auto" w:fill="auto"/>
        <w:bidi w:val="0"/>
        <w:spacing w:before="0" w:after="360" w:line="240" w:lineRule="auto"/>
        <w:ind w:left="0" w:right="0" w:firstLine="0"/>
        <w:jc w:val="left"/>
        <w:rPr>
          <w:sz w:val="20"/>
          <w:szCs w:val="20"/>
        </w:rPr>
      </w:pPr>
      <w:bookmarkStart w:id="526" w:name="bookmark526"/>
      <w:bookmarkStart w:id="527" w:name="bookmark527"/>
      <w:bookmarkStart w:id="528" w:name="bookmark528"/>
      <w:bookmarkStart w:id="529" w:name="bookmark529"/>
      <w:r>
        <w:rPr>
          <w:b/>
          <w:bCs/>
          <w:color w:val="000000"/>
          <w:spacing w:val="0"/>
          <w:w w:val="100"/>
          <w:position w:val="0"/>
          <w:sz w:val="20"/>
          <w:szCs w:val="20"/>
        </w:rPr>
        <w:t>（</w:t>
      </w:r>
      <w:bookmarkEnd w:id="528"/>
      <w:r>
        <w:rPr>
          <w:b/>
          <w:bCs/>
          <w:color w:val="000000"/>
          <w:spacing w:val="0"/>
          <w:w w:val="100"/>
          <w:position w:val="0"/>
          <w:sz w:val="20"/>
          <w:szCs w:val="20"/>
        </w:rPr>
        <w:t>1）担保情况</w:t>
      </w:r>
      <w:bookmarkEnd w:id="526"/>
      <w:bookmarkEnd w:id="527"/>
      <w:bookmarkEnd w:id="529"/>
    </w:p>
    <w:p>
      <w:pPr>
        <w:pStyle w:val="Style20"/>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单位：万元</w:t>
      </w:r>
    </w:p>
    <w:tbl>
      <w:tblPr>
        <w:tblOverlap w:val="never"/>
        <w:jc w:val="center"/>
        <w:tblLayout w:type="fixed"/>
      </w:tblPr>
      <w:tblGrid>
        <w:gridCol w:w="1738"/>
        <w:gridCol w:w="941"/>
        <w:gridCol w:w="931"/>
        <w:gridCol w:w="1315"/>
        <w:gridCol w:w="1075"/>
        <w:gridCol w:w="1051"/>
        <w:gridCol w:w="1061"/>
        <w:gridCol w:w="806"/>
        <w:gridCol w:w="792"/>
      </w:tblGrid>
      <w:tr>
        <w:trPr>
          <w:trHeight w:val="408" w:hRule="exact"/>
        </w:trPr>
        <w:tc>
          <w:tcPr>
            <w:gridSpan w:val="9"/>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公司及其子公司对外担保情况（不包括对子公司的担保）</w:t>
            </w:r>
          </w:p>
        </w:tc>
      </w:tr>
      <w:tr>
        <w:trPr>
          <w:trHeight w:val="1027"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担保对象名称</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4" w:lineRule="exact"/>
              <w:ind w:left="0" w:right="0" w:firstLine="0"/>
              <w:jc w:val="left"/>
            </w:pPr>
            <w:r>
              <w:rPr>
                <w:color w:val="000000"/>
                <w:spacing w:val="0"/>
                <w:w w:val="100"/>
                <w:position w:val="0"/>
              </w:rPr>
              <w:t>担保额度 相关公告 披露日期</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担保额度</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实际发生日期</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实际担保金 额</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担保类型</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担保期</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是否履行 完毕</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是否为关</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联方担保</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无</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gridSpan w:val="2"/>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98" w:lineRule="exact"/>
              <w:ind w:left="0" w:right="0" w:firstLine="0"/>
              <w:jc w:val="left"/>
            </w:pPr>
            <w:r>
              <w:rPr>
                <w:color w:val="000000"/>
                <w:spacing w:val="0"/>
                <w:w w:val="100"/>
                <w:position w:val="0"/>
              </w:rPr>
              <w:t>报告期内审批的对外担保额度合 计</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A1</w:t>
            </w:r>
            <w:r>
              <w:rPr>
                <w:color w:val="000000"/>
                <w:spacing w:val="0"/>
                <w:w w:val="100"/>
                <w:position w:val="0"/>
              </w:rPr>
              <w:t>）</w:t>
            </w:r>
          </w:p>
        </w:tc>
        <w:tc>
          <w:tcPr>
            <w:gridSpan w:val="2"/>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gridSpan w:val="2"/>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02" w:lineRule="exact"/>
              <w:ind w:left="0" w:right="0" w:firstLine="0"/>
              <w:jc w:val="left"/>
            </w:pPr>
            <w:r>
              <w:rPr>
                <w:color w:val="000000"/>
                <w:spacing w:val="0"/>
                <w:w w:val="100"/>
                <w:position w:val="0"/>
              </w:rPr>
              <w:t>报告期内对外担保实际发 生额合计</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A2</w:t>
            </w:r>
            <w:r>
              <w:rPr>
                <w:color w:val="000000"/>
                <w:spacing w:val="0"/>
                <w:w w:val="100"/>
                <w:position w:val="0"/>
              </w:rPr>
              <w:t>）</w:t>
            </w:r>
          </w:p>
        </w:tc>
        <w:tc>
          <w:tcPr>
            <w:gridSpan w:val="3"/>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413" w:hRule="exact"/>
        </w:trPr>
        <w:tc>
          <w:tcPr>
            <w:gridSpan w:val="2"/>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报告期末已审批的对外担保额度</w:t>
            </w:r>
          </w:p>
        </w:tc>
        <w:tc>
          <w:tcPr>
            <w:gridSpan w:val="2"/>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gridSpan w:val="2"/>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报告期末实际对外担保余</w:t>
            </w:r>
          </w:p>
        </w:tc>
        <w:tc>
          <w:tcPr>
            <w:gridSpan w:val="3"/>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bl>
    <w:p>
      <w:pPr>
        <w:sectPr>
          <w:footnotePr>
            <w:pos w:val="pageBottom"/>
            <w:numFmt w:val="decimal"/>
            <w:numRestart w:val="continuous"/>
          </w:footnotePr>
          <w:pgSz w:w="11904" w:h="17375"/>
          <w:pgMar w:top="1070" w:right="1094" w:bottom="1425" w:left="1099" w:header="0" w:footer="3" w:gutter="0"/>
          <w:cols w:space="720"/>
          <w:noEndnote/>
          <w:rtlGutter w:val="0"/>
          <w:docGrid w:linePitch="360"/>
        </w:sectPr>
      </w:pPr>
    </w:p>
    <w:tbl>
      <w:tblPr>
        <w:tblOverlap w:val="never"/>
        <w:jc w:val="center"/>
        <w:tblLayout w:type="fixed"/>
      </w:tblPr>
      <w:tblGrid>
        <w:gridCol w:w="1738"/>
        <w:gridCol w:w="931"/>
        <w:gridCol w:w="931"/>
        <w:gridCol w:w="1325"/>
        <w:gridCol w:w="1066"/>
        <w:gridCol w:w="1061"/>
        <w:gridCol w:w="1061"/>
        <w:gridCol w:w="802"/>
        <w:gridCol w:w="797"/>
      </w:tblGrid>
      <w:tr>
        <w:trPr>
          <w:trHeight w:val="437" w:hRule="exact"/>
        </w:trPr>
        <w:tc>
          <w:tcPr>
            <w:gridSpan w:val="2"/>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合计</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A3</w:t>
            </w:r>
            <w:r>
              <w:rPr>
                <w:color w:val="000000"/>
                <w:spacing w:val="0"/>
                <w:w w:val="100"/>
                <w:position w:val="0"/>
              </w:rPr>
              <w:t>）</w:t>
            </w:r>
          </w:p>
        </w:tc>
        <w:tc>
          <w:tcPr>
            <w:gridSpan w:val="2"/>
            <w:tcBorders>
              <w:top w:val="single" w:sz="4"/>
              <w:left w:val="single" w:sz="4"/>
            </w:tcBorders>
            <w:shd w:val="clear" w:color="auto" w:fill="FFFFFF"/>
            <w:vAlign w:val="top"/>
          </w:tcPr>
          <w:p>
            <w:pPr>
              <w:widowControl w:val="0"/>
              <w:rPr>
                <w:sz w:val="10"/>
                <w:szCs w:val="10"/>
              </w:rPr>
            </w:pPr>
          </w:p>
        </w:tc>
        <w:tc>
          <w:tcPr>
            <w:gridSpan w:val="2"/>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额合计</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A4</w:t>
            </w:r>
            <w:r>
              <w:rPr>
                <w:color w:val="000000"/>
                <w:spacing w:val="0"/>
                <w:w w:val="100"/>
                <w:position w:val="0"/>
              </w:rPr>
              <w:t>）</w:t>
            </w:r>
          </w:p>
        </w:tc>
        <w:tc>
          <w:tcPr>
            <w:gridSpan w:val="3"/>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gridSpan w:val="9"/>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公司对子公司的担保情况</w:t>
            </w:r>
          </w:p>
        </w:tc>
      </w:tr>
      <w:tr>
        <w:trPr>
          <w:trHeight w:val="1027"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担保对象名称</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担保额度 相关公告 披露日期</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担保额度</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实际发生日期</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实际担保金 额</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担保类型</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260"/>
              <w:jc w:val="left"/>
            </w:pPr>
            <w:r>
              <w:rPr>
                <w:color w:val="000000"/>
                <w:spacing w:val="0"/>
                <w:w w:val="100"/>
                <w:position w:val="0"/>
              </w:rPr>
              <w:t>担保期</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是否履行 完毕</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120" w:line="240" w:lineRule="auto"/>
              <w:ind w:left="0" w:right="0" w:firstLine="0"/>
              <w:jc w:val="left"/>
            </w:pPr>
            <w:r>
              <w:rPr>
                <w:color w:val="000000"/>
                <w:spacing w:val="0"/>
                <w:w w:val="100"/>
                <w:position w:val="0"/>
              </w:rPr>
              <w:t>是否为关</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联方担保</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left"/>
            </w:pPr>
            <w:r>
              <w:rPr>
                <w:color w:val="000000"/>
                <w:spacing w:val="0"/>
                <w:w w:val="100"/>
                <w:position w:val="0"/>
              </w:rPr>
              <w:t>北京神州泰岳软件股</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份有限公司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2020-05-16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11,000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2020-05-21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10,563.71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抵押</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710" w:hRule="exact"/>
        </w:trPr>
        <w:tc>
          <w:tcPr>
            <w:gridSpan w:val="2"/>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98" w:lineRule="exact"/>
              <w:ind w:left="0" w:right="0" w:firstLine="0"/>
              <w:jc w:val="both"/>
            </w:pPr>
            <w:r>
              <w:rPr>
                <w:color w:val="000000"/>
                <w:spacing w:val="0"/>
                <w:w w:val="100"/>
                <w:position w:val="0"/>
              </w:rPr>
              <w:t>报告期内审批对子公司担保额度 合计</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B1</w:t>
            </w:r>
            <w:r>
              <w:rPr>
                <w:color w:val="000000"/>
                <w:spacing w:val="0"/>
                <w:w w:val="100"/>
                <w:position w:val="0"/>
              </w:rPr>
              <w:t>）</w:t>
            </w:r>
          </w:p>
        </w:tc>
        <w:tc>
          <w:tcPr>
            <w:gridSpan w:val="2"/>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740" w:right="0" w:firstLine="0"/>
              <w:jc w:val="left"/>
              <w:rPr>
                <w:sz w:val="18"/>
                <w:szCs w:val="18"/>
              </w:rPr>
            </w:pPr>
            <w:r>
              <w:rPr>
                <w:rFonts w:ascii="Times New Roman" w:eastAsia="Times New Roman" w:hAnsi="Times New Roman" w:cs="Times New Roman"/>
                <w:color w:val="000000"/>
                <w:spacing w:val="0"/>
                <w:w w:val="100"/>
                <w:position w:val="0"/>
                <w:sz w:val="18"/>
                <w:szCs w:val="18"/>
              </w:rPr>
              <w:t>11,000</w:t>
            </w:r>
          </w:p>
        </w:tc>
        <w:tc>
          <w:tcPr>
            <w:gridSpan w:val="2"/>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报告期内对子公司担保实 际发生额合计</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B2</w:t>
            </w:r>
            <w:r>
              <w:rPr>
                <w:color w:val="000000"/>
                <w:spacing w:val="0"/>
                <w:w w:val="100"/>
                <w:position w:val="0"/>
              </w:rPr>
              <w:t>）</w:t>
            </w:r>
          </w:p>
        </w:tc>
        <w:tc>
          <w:tcPr>
            <w:gridSpan w:val="3"/>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00" w:right="0" w:firstLine="0"/>
              <w:jc w:val="both"/>
              <w:rPr>
                <w:sz w:val="18"/>
                <w:szCs w:val="18"/>
              </w:rPr>
            </w:pPr>
            <w:r>
              <w:rPr>
                <w:rFonts w:ascii="Times New Roman" w:eastAsia="Times New Roman" w:hAnsi="Times New Roman" w:cs="Times New Roman"/>
                <w:color w:val="000000"/>
                <w:spacing w:val="0"/>
                <w:w w:val="100"/>
                <w:position w:val="0"/>
                <w:sz w:val="18"/>
                <w:szCs w:val="18"/>
              </w:rPr>
              <w:t>10,563.71</w:t>
            </w:r>
          </w:p>
        </w:tc>
      </w:tr>
      <w:tr>
        <w:trPr>
          <w:trHeight w:val="715" w:hRule="exact"/>
        </w:trPr>
        <w:tc>
          <w:tcPr>
            <w:gridSpan w:val="2"/>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报告期末已审批的对子公司担保 额度合计</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B3</w:t>
            </w:r>
            <w:r>
              <w:rPr>
                <w:color w:val="000000"/>
                <w:spacing w:val="0"/>
                <w:w w:val="100"/>
                <w:position w:val="0"/>
              </w:rPr>
              <w:t>）</w:t>
            </w:r>
          </w:p>
        </w:tc>
        <w:tc>
          <w:tcPr>
            <w:gridSpan w:val="2"/>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740" w:right="0" w:firstLine="0"/>
              <w:jc w:val="left"/>
              <w:rPr>
                <w:sz w:val="18"/>
                <w:szCs w:val="18"/>
              </w:rPr>
            </w:pPr>
            <w:r>
              <w:rPr>
                <w:rFonts w:ascii="Times New Roman" w:eastAsia="Times New Roman" w:hAnsi="Times New Roman" w:cs="Times New Roman"/>
                <w:color w:val="000000"/>
                <w:spacing w:val="0"/>
                <w:w w:val="100"/>
                <w:position w:val="0"/>
                <w:sz w:val="18"/>
                <w:szCs w:val="18"/>
              </w:rPr>
              <w:t>11,000</w:t>
            </w:r>
          </w:p>
        </w:tc>
        <w:tc>
          <w:tcPr>
            <w:gridSpan w:val="2"/>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120" w:line="240" w:lineRule="auto"/>
              <w:ind w:left="0" w:right="0" w:firstLine="0"/>
              <w:jc w:val="left"/>
            </w:pPr>
            <w:r>
              <w:rPr>
                <w:color w:val="000000"/>
                <w:spacing w:val="0"/>
                <w:w w:val="100"/>
                <w:position w:val="0"/>
              </w:rPr>
              <w:t>报告期末对子公司实际担</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保余额合计（</w:t>
            </w:r>
            <w:r>
              <w:rPr>
                <w:rFonts w:ascii="Times New Roman" w:eastAsia="Times New Roman" w:hAnsi="Times New Roman" w:cs="Times New Roman"/>
                <w:color w:val="000000"/>
                <w:spacing w:val="0"/>
                <w:w w:val="100"/>
                <w:position w:val="0"/>
                <w:sz w:val="18"/>
                <w:szCs w:val="18"/>
              </w:rPr>
              <w:t>B4</w:t>
            </w:r>
            <w:r>
              <w:rPr>
                <w:color w:val="000000"/>
                <w:spacing w:val="0"/>
                <w:w w:val="100"/>
                <w:position w:val="0"/>
              </w:rPr>
              <w:t>）</w:t>
            </w:r>
          </w:p>
        </w:tc>
        <w:tc>
          <w:tcPr>
            <w:gridSpan w:val="3"/>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00" w:right="0" w:firstLine="0"/>
              <w:jc w:val="both"/>
              <w:rPr>
                <w:sz w:val="18"/>
                <w:szCs w:val="18"/>
              </w:rPr>
            </w:pPr>
            <w:r>
              <w:rPr>
                <w:rFonts w:ascii="Times New Roman" w:eastAsia="Times New Roman" w:hAnsi="Times New Roman" w:cs="Times New Roman"/>
                <w:color w:val="000000"/>
                <w:spacing w:val="0"/>
                <w:w w:val="100"/>
                <w:position w:val="0"/>
                <w:sz w:val="18"/>
                <w:szCs w:val="18"/>
              </w:rPr>
              <w:t>10,563.71</w:t>
            </w:r>
          </w:p>
        </w:tc>
      </w:tr>
      <w:tr>
        <w:trPr>
          <w:trHeight w:val="403" w:hRule="exact"/>
        </w:trPr>
        <w:tc>
          <w:tcPr>
            <w:gridSpan w:val="9"/>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子公司对子公司的担保情况</w:t>
            </w:r>
          </w:p>
        </w:tc>
      </w:tr>
      <w:tr>
        <w:trPr>
          <w:trHeight w:val="1027"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担保对象名称</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4" w:lineRule="exact"/>
              <w:ind w:left="0" w:right="0" w:firstLine="0"/>
              <w:jc w:val="left"/>
            </w:pPr>
            <w:r>
              <w:rPr>
                <w:color w:val="000000"/>
                <w:spacing w:val="0"/>
                <w:w w:val="100"/>
                <w:position w:val="0"/>
              </w:rPr>
              <w:t>担保额度 相关公告 披露日期</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担保额度</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实际发生日期</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实际担保金 额</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担保类型</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260"/>
              <w:jc w:val="left"/>
            </w:pPr>
            <w:r>
              <w:rPr>
                <w:color w:val="000000"/>
                <w:spacing w:val="0"/>
                <w:w w:val="100"/>
                <w:position w:val="0"/>
              </w:rPr>
              <w:t>担保期</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是否履行 完毕</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120" w:line="240" w:lineRule="auto"/>
              <w:ind w:left="0" w:right="0" w:firstLine="0"/>
              <w:jc w:val="center"/>
            </w:pPr>
            <w:r>
              <w:rPr>
                <w:color w:val="000000"/>
                <w:spacing w:val="0"/>
                <w:w w:val="100"/>
                <w:position w:val="0"/>
              </w:rPr>
              <w:t>是否为关</w:t>
            </w:r>
          </w:p>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联方担保</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无</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gridSpan w:val="2"/>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100" w:line="240" w:lineRule="auto"/>
              <w:ind w:left="0" w:right="0" w:firstLine="0"/>
              <w:jc w:val="both"/>
            </w:pPr>
            <w:r>
              <w:rPr>
                <w:color w:val="000000"/>
                <w:spacing w:val="0"/>
                <w:w w:val="100"/>
                <w:position w:val="0"/>
              </w:rPr>
              <w:t>报告期内审批对子公司担保额度</w:t>
            </w:r>
          </w:p>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合计</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C1</w:t>
            </w:r>
            <w:r>
              <w:rPr>
                <w:color w:val="000000"/>
                <w:spacing w:val="0"/>
                <w:w w:val="100"/>
                <w:position w:val="0"/>
              </w:rPr>
              <w:t>）</w:t>
            </w:r>
          </w:p>
        </w:tc>
        <w:tc>
          <w:tcPr>
            <w:gridSpan w:val="2"/>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gridSpan w:val="2"/>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22" w:lineRule="exact"/>
              <w:ind w:left="0" w:right="0" w:firstLine="0"/>
              <w:jc w:val="left"/>
            </w:pPr>
            <w:r>
              <w:rPr>
                <w:color w:val="000000"/>
                <w:spacing w:val="0"/>
                <w:w w:val="100"/>
                <w:position w:val="0"/>
              </w:rPr>
              <w:t>报告期内对子公司担保实 际发生额合计</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C2</w:t>
            </w:r>
            <w:r>
              <w:rPr>
                <w:color w:val="000000"/>
                <w:spacing w:val="0"/>
                <w:w w:val="100"/>
                <w:position w:val="0"/>
              </w:rPr>
              <w:t>）</w:t>
            </w:r>
          </w:p>
        </w:tc>
        <w:tc>
          <w:tcPr>
            <w:gridSpan w:val="3"/>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715" w:hRule="exact"/>
        </w:trPr>
        <w:tc>
          <w:tcPr>
            <w:gridSpan w:val="2"/>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报告期末已审批的对子公司担保 额度合计</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C3</w:t>
            </w:r>
            <w:r>
              <w:rPr>
                <w:color w:val="000000"/>
                <w:spacing w:val="0"/>
                <w:w w:val="100"/>
                <w:position w:val="0"/>
              </w:rPr>
              <w:t>）</w:t>
            </w:r>
          </w:p>
        </w:tc>
        <w:tc>
          <w:tcPr>
            <w:gridSpan w:val="2"/>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gridSpan w:val="2"/>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120" w:line="240" w:lineRule="auto"/>
              <w:ind w:left="0" w:right="0" w:firstLine="0"/>
              <w:jc w:val="left"/>
            </w:pPr>
            <w:r>
              <w:rPr>
                <w:color w:val="000000"/>
                <w:spacing w:val="0"/>
                <w:w w:val="100"/>
                <w:position w:val="0"/>
              </w:rPr>
              <w:t>报告期末对子公司实际担</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保余额合计（</w:t>
            </w:r>
            <w:r>
              <w:rPr>
                <w:rFonts w:ascii="Times New Roman" w:eastAsia="Times New Roman" w:hAnsi="Times New Roman" w:cs="Times New Roman"/>
                <w:color w:val="000000"/>
                <w:spacing w:val="0"/>
                <w:w w:val="100"/>
                <w:position w:val="0"/>
                <w:sz w:val="18"/>
                <w:szCs w:val="18"/>
              </w:rPr>
              <w:t>C4</w:t>
            </w:r>
            <w:r>
              <w:rPr>
                <w:color w:val="000000"/>
                <w:spacing w:val="0"/>
                <w:w w:val="100"/>
                <w:position w:val="0"/>
              </w:rPr>
              <w:t>）</w:t>
            </w:r>
          </w:p>
        </w:tc>
        <w:tc>
          <w:tcPr>
            <w:gridSpan w:val="3"/>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403" w:hRule="exact"/>
        </w:trPr>
        <w:tc>
          <w:tcPr>
            <w:gridSpan w:val="9"/>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公司担保总额（即前三大项的合计）</w:t>
            </w:r>
          </w:p>
        </w:tc>
      </w:tr>
      <w:tr>
        <w:trPr>
          <w:trHeight w:val="710" w:hRule="exact"/>
        </w:trPr>
        <w:tc>
          <w:tcPr>
            <w:gridSpan w:val="2"/>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100" w:line="240" w:lineRule="auto"/>
              <w:ind w:left="0" w:right="0" w:firstLine="0"/>
              <w:jc w:val="both"/>
            </w:pPr>
            <w:r>
              <w:rPr>
                <w:color w:val="000000"/>
                <w:spacing w:val="0"/>
                <w:w w:val="100"/>
                <w:position w:val="0"/>
              </w:rPr>
              <w:t>报告期内审批担保额度合计</w:t>
            </w:r>
          </w:p>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w:t>
            </w:r>
            <w:r>
              <w:rPr>
                <w:rFonts w:ascii="Times New Roman" w:eastAsia="Times New Roman" w:hAnsi="Times New Roman" w:cs="Times New Roman"/>
                <w:color w:val="000000"/>
                <w:spacing w:val="0"/>
                <w:w w:val="100"/>
                <w:position w:val="0"/>
                <w:sz w:val="18"/>
                <w:szCs w:val="18"/>
              </w:rPr>
              <w:t>A1+B1+C1</w:t>
            </w:r>
            <w:r>
              <w:rPr>
                <w:color w:val="000000"/>
                <w:spacing w:val="0"/>
                <w:w w:val="100"/>
                <w:position w:val="0"/>
              </w:rPr>
              <w:t>）</w:t>
            </w:r>
          </w:p>
        </w:tc>
        <w:tc>
          <w:tcPr>
            <w:gridSpan w:val="2"/>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740" w:right="0" w:firstLine="0"/>
              <w:jc w:val="left"/>
              <w:rPr>
                <w:sz w:val="18"/>
                <w:szCs w:val="18"/>
              </w:rPr>
            </w:pPr>
            <w:r>
              <w:rPr>
                <w:rFonts w:ascii="Times New Roman" w:eastAsia="Times New Roman" w:hAnsi="Times New Roman" w:cs="Times New Roman"/>
                <w:color w:val="000000"/>
                <w:spacing w:val="0"/>
                <w:w w:val="100"/>
                <w:position w:val="0"/>
                <w:sz w:val="18"/>
                <w:szCs w:val="18"/>
              </w:rPr>
              <w:t>11,000</w:t>
            </w:r>
          </w:p>
        </w:tc>
        <w:tc>
          <w:tcPr>
            <w:gridSpan w:val="2"/>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报告期内担保实际发生额</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A2+B2+C2</w:t>
            </w:r>
            <w:r>
              <w:rPr>
                <w:color w:val="000000"/>
                <w:spacing w:val="0"/>
                <w:w w:val="100"/>
                <w:position w:val="0"/>
              </w:rPr>
              <w:t>）</w:t>
            </w:r>
          </w:p>
        </w:tc>
        <w:tc>
          <w:tcPr>
            <w:gridSpan w:val="3"/>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00" w:right="0" w:firstLine="0"/>
              <w:jc w:val="both"/>
              <w:rPr>
                <w:sz w:val="18"/>
                <w:szCs w:val="18"/>
              </w:rPr>
            </w:pPr>
            <w:r>
              <w:rPr>
                <w:rFonts w:ascii="Times New Roman" w:eastAsia="Times New Roman" w:hAnsi="Times New Roman" w:cs="Times New Roman"/>
                <w:color w:val="000000"/>
                <w:spacing w:val="0"/>
                <w:w w:val="100"/>
                <w:position w:val="0"/>
                <w:sz w:val="18"/>
                <w:szCs w:val="18"/>
              </w:rPr>
              <w:t>10,563.71</w:t>
            </w:r>
          </w:p>
        </w:tc>
      </w:tr>
      <w:tr>
        <w:trPr>
          <w:trHeight w:val="715" w:hRule="exact"/>
        </w:trPr>
        <w:tc>
          <w:tcPr>
            <w:gridSpan w:val="2"/>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120" w:line="240" w:lineRule="auto"/>
              <w:ind w:left="0" w:right="0" w:firstLine="0"/>
              <w:jc w:val="both"/>
            </w:pPr>
            <w:r>
              <w:rPr>
                <w:color w:val="000000"/>
                <w:spacing w:val="0"/>
                <w:w w:val="100"/>
                <w:position w:val="0"/>
              </w:rPr>
              <w:t>报告期末已审批的担保额度合计</w:t>
            </w:r>
          </w:p>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w:t>
            </w:r>
            <w:r>
              <w:rPr>
                <w:rFonts w:ascii="Times New Roman" w:eastAsia="Times New Roman" w:hAnsi="Times New Roman" w:cs="Times New Roman"/>
                <w:color w:val="000000"/>
                <w:spacing w:val="0"/>
                <w:w w:val="100"/>
                <w:position w:val="0"/>
                <w:sz w:val="18"/>
                <w:szCs w:val="18"/>
              </w:rPr>
              <w:t>A3+B3+C3</w:t>
            </w:r>
            <w:r>
              <w:rPr>
                <w:color w:val="000000"/>
                <w:spacing w:val="0"/>
                <w:w w:val="100"/>
                <w:position w:val="0"/>
              </w:rPr>
              <w:t>）</w:t>
            </w:r>
          </w:p>
        </w:tc>
        <w:tc>
          <w:tcPr>
            <w:gridSpan w:val="2"/>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740" w:right="0" w:firstLine="0"/>
              <w:jc w:val="left"/>
              <w:rPr>
                <w:sz w:val="18"/>
                <w:szCs w:val="18"/>
              </w:rPr>
            </w:pPr>
            <w:r>
              <w:rPr>
                <w:rFonts w:ascii="Times New Roman" w:eastAsia="Times New Roman" w:hAnsi="Times New Roman" w:cs="Times New Roman"/>
                <w:color w:val="000000"/>
                <w:spacing w:val="0"/>
                <w:w w:val="100"/>
                <w:position w:val="0"/>
                <w:sz w:val="18"/>
                <w:szCs w:val="18"/>
              </w:rPr>
              <w:t>11,000</w:t>
            </w:r>
          </w:p>
        </w:tc>
        <w:tc>
          <w:tcPr>
            <w:gridSpan w:val="2"/>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报告期末实际担保余额合</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计（</w:t>
            </w:r>
            <w:r>
              <w:rPr>
                <w:rFonts w:ascii="Times New Roman" w:eastAsia="Times New Roman" w:hAnsi="Times New Roman" w:cs="Times New Roman"/>
                <w:color w:val="000000"/>
                <w:spacing w:val="0"/>
                <w:w w:val="100"/>
                <w:position w:val="0"/>
                <w:sz w:val="18"/>
                <w:szCs w:val="18"/>
              </w:rPr>
              <w:t>A4+B4+C4</w:t>
            </w:r>
            <w:r>
              <w:rPr>
                <w:color w:val="000000"/>
                <w:spacing w:val="0"/>
                <w:w w:val="100"/>
                <w:position w:val="0"/>
              </w:rPr>
              <w:t>）</w:t>
            </w:r>
          </w:p>
        </w:tc>
        <w:tc>
          <w:tcPr>
            <w:gridSpan w:val="3"/>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00" w:right="0" w:firstLine="0"/>
              <w:jc w:val="both"/>
              <w:rPr>
                <w:sz w:val="18"/>
                <w:szCs w:val="18"/>
              </w:rPr>
            </w:pPr>
            <w:r>
              <w:rPr>
                <w:rFonts w:ascii="Times New Roman" w:eastAsia="Times New Roman" w:hAnsi="Times New Roman" w:cs="Times New Roman"/>
                <w:color w:val="000000"/>
                <w:spacing w:val="0"/>
                <w:w w:val="100"/>
                <w:position w:val="0"/>
                <w:sz w:val="18"/>
                <w:szCs w:val="18"/>
              </w:rPr>
              <w:t>10,563.71</w:t>
            </w:r>
          </w:p>
        </w:tc>
      </w:tr>
      <w:tr>
        <w:trPr>
          <w:trHeight w:val="403" w:hRule="exact"/>
        </w:trPr>
        <w:tc>
          <w:tcPr>
            <w:gridSpan w:val="4"/>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实际担保总额（即</w:t>
            </w:r>
            <w:r>
              <w:rPr>
                <w:rFonts w:ascii="Times New Roman" w:eastAsia="Times New Roman" w:hAnsi="Times New Roman" w:cs="Times New Roman"/>
                <w:color w:val="000000"/>
                <w:spacing w:val="0"/>
                <w:w w:val="100"/>
                <w:position w:val="0"/>
                <w:sz w:val="18"/>
                <w:szCs w:val="18"/>
              </w:rPr>
              <w:t>A4+B4+C4</w:t>
            </w:r>
            <w:r>
              <w:rPr>
                <w:color w:val="000000"/>
                <w:spacing w:val="0"/>
                <w:w w:val="100"/>
                <w:position w:val="0"/>
              </w:rPr>
              <w:t>）</w:t>
            </w:r>
            <w:r>
              <w:rPr>
                <w:color w:val="000000"/>
                <w:spacing w:val="0"/>
                <w:w w:val="100"/>
                <w:position w:val="0"/>
              </w:rPr>
              <w:t>占公司净资产的比例</w:t>
            </w:r>
          </w:p>
        </w:tc>
        <w:tc>
          <w:tcPr>
            <w:gridSpan w:val="5"/>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2.69%</w:t>
            </w:r>
          </w:p>
        </w:tc>
      </w:tr>
      <w:tr>
        <w:trPr>
          <w:trHeight w:val="403" w:hRule="exact"/>
        </w:trPr>
        <w:tc>
          <w:tcPr>
            <w:gridSpan w:val="9"/>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w:t>
            </w:r>
          </w:p>
        </w:tc>
      </w:tr>
      <w:tr>
        <w:trPr>
          <w:trHeight w:val="398" w:hRule="exact"/>
        </w:trPr>
        <w:tc>
          <w:tcPr>
            <w:gridSpan w:val="4"/>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为股东、实际控制人及其关联方提供担保的余额</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D</w:t>
            </w:r>
            <w:r>
              <w:rPr>
                <w:color w:val="000000"/>
                <w:spacing w:val="0"/>
                <w:w w:val="100"/>
                <w:position w:val="0"/>
              </w:rPr>
              <w:t>）</w:t>
            </w:r>
          </w:p>
        </w:tc>
        <w:tc>
          <w:tcPr>
            <w:gridSpan w:val="5"/>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4660" w:right="0" w:firstLine="0"/>
              <w:jc w:val="left"/>
              <w:rPr>
                <w:sz w:val="18"/>
                <w:szCs w:val="18"/>
              </w:rPr>
            </w:pPr>
            <w:r>
              <w:rPr>
                <w:rFonts w:ascii="Times New Roman" w:eastAsia="Times New Roman" w:hAnsi="Times New Roman" w:cs="Times New Roman"/>
                <w:color w:val="000000"/>
                <w:spacing w:val="0"/>
                <w:w w:val="100"/>
                <w:position w:val="0"/>
                <w:sz w:val="18"/>
                <w:szCs w:val="18"/>
              </w:rPr>
              <w:t>0</w:t>
            </w:r>
          </w:p>
        </w:tc>
      </w:tr>
      <w:tr>
        <w:trPr>
          <w:trHeight w:val="715" w:hRule="exact"/>
        </w:trPr>
        <w:tc>
          <w:tcPr>
            <w:gridSpan w:val="4"/>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直接或间接为资产负债率超过</w:t>
            </w:r>
            <w:r>
              <w:rPr>
                <w:rFonts w:ascii="Times New Roman" w:eastAsia="Times New Roman" w:hAnsi="Times New Roman" w:cs="Times New Roman"/>
                <w:color w:val="000000"/>
                <w:spacing w:val="0"/>
                <w:w w:val="100"/>
                <w:position w:val="0"/>
                <w:sz w:val="18"/>
                <w:szCs w:val="18"/>
              </w:rPr>
              <w:t>70%</w:t>
            </w:r>
            <w:r>
              <w:rPr>
                <w:color w:val="000000"/>
                <w:spacing w:val="0"/>
                <w:w w:val="100"/>
                <w:position w:val="0"/>
              </w:rPr>
              <w:t>的被担保对象提供的债务担 保余额</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E</w:t>
            </w:r>
            <w:r>
              <w:rPr>
                <w:color w:val="000000"/>
                <w:spacing w:val="0"/>
                <w:w w:val="100"/>
                <w:position w:val="0"/>
              </w:rPr>
              <w:t>）</w:t>
            </w:r>
          </w:p>
        </w:tc>
        <w:tc>
          <w:tcPr>
            <w:gridSpan w:val="5"/>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4660" w:right="0" w:firstLine="0"/>
              <w:jc w:val="left"/>
              <w:rPr>
                <w:sz w:val="18"/>
                <w:szCs w:val="18"/>
              </w:rPr>
            </w:pPr>
            <w:r>
              <w:rPr>
                <w:rFonts w:ascii="Times New Roman" w:eastAsia="Times New Roman" w:hAnsi="Times New Roman" w:cs="Times New Roman"/>
                <w:color w:val="000000"/>
                <w:spacing w:val="0"/>
                <w:w w:val="100"/>
                <w:position w:val="0"/>
                <w:sz w:val="18"/>
                <w:szCs w:val="18"/>
              </w:rPr>
              <w:t>0</w:t>
            </w:r>
          </w:p>
        </w:tc>
      </w:tr>
      <w:tr>
        <w:trPr>
          <w:trHeight w:val="403" w:hRule="exact"/>
        </w:trPr>
        <w:tc>
          <w:tcPr>
            <w:gridSpan w:val="4"/>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担保总额超过净资产</w:t>
            </w:r>
            <w:r>
              <w:rPr>
                <w:rFonts w:ascii="Times New Roman" w:eastAsia="Times New Roman" w:hAnsi="Times New Roman" w:cs="Times New Roman"/>
                <w:color w:val="000000"/>
                <w:spacing w:val="0"/>
                <w:w w:val="100"/>
                <w:position w:val="0"/>
                <w:sz w:val="18"/>
                <w:szCs w:val="18"/>
              </w:rPr>
              <w:t>50%</w:t>
            </w:r>
            <w:r>
              <w:rPr>
                <w:color w:val="000000"/>
                <w:spacing w:val="0"/>
                <w:w w:val="100"/>
                <w:position w:val="0"/>
              </w:rPr>
              <w:t>部分的金额</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F</w:t>
            </w:r>
            <w:r>
              <w:rPr>
                <w:color w:val="000000"/>
                <w:spacing w:val="0"/>
                <w:w w:val="100"/>
                <w:position w:val="0"/>
              </w:rPr>
              <w:t>）</w:t>
            </w:r>
          </w:p>
        </w:tc>
        <w:tc>
          <w:tcPr>
            <w:gridSpan w:val="5"/>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4660" w:right="0" w:firstLine="0"/>
              <w:jc w:val="left"/>
              <w:rPr>
                <w:sz w:val="18"/>
                <w:szCs w:val="18"/>
              </w:rPr>
            </w:pPr>
            <w:r>
              <w:rPr>
                <w:rFonts w:ascii="Times New Roman" w:eastAsia="Times New Roman" w:hAnsi="Times New Roman" w:cs="Times New Roman"/>
                <w:color w:val="000000"/>
                <w:spacing w:val="0"/>
                <w:w w:val="100"/>
                <w:position w:val="0"/>
                <w:sz w:val="18"/>
                <w:szCs w:val="18"/>
              </w:rPr>
              <w:t>0</w:t>
            </w:r>
          </w:p>
        </w:tc>
      </w:tr>
      <w:tr>
        <w:trPr>
          <w:trHeight w:val="403" w:hRule="exact"/>
        </w:trPr>
        <w:tc>
          <w:tcPr>
            <w:gridSpan w:val="4"/>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上述三项担保金额合计</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D+E+F</w:t>
            </w:r>
            <w:r>
              <w:rPr>
                <w:color w:val="000000"/>
                <w:spacing w:val="0"/>
                <w:w w:val="100"/>
                <w:position w:val="0"/>
              </w:rPr>
              <w:t>）</w:t>
            </w:r>
          </w:p>
        </w:tc>
        <w:tc>
          <w:tcPr>
            <w:gridSpan w:val="5"/>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4660" w:right="0" w:firstLine="0"/>
              <w:jc w:val="left"/>
              <w:rPr>
                <w:sz w:val="18"/>
                <w:szCs w:val="18"/>
              </w:rPr>
            </w:pPr>
            <w:r>
              <w:rPr>
                <w:rFonts w:ascii="Times New Roman" w:eastAsia="Times New Roman" w:hAnsi="Times New Roman" w:cs="Times New Roman"/>
                <w:color w:val="000000"/>
                <w:spacing w:val="0"/>
                <w:w w:val="100"/>
                <w:position w:val="0"/>
                <w:sz w:val="18"/>
                <w:szCs w:val="18"/>
              </w:rPr>
              <w:t>0</w:t>
            </w:r>
          </w:p>
        </w:tc>
      </w:tr>
      <w:tr>
        <w:trPr>
          <w:trHeight w:val="710" w:hRule="exact"/>
        </w:trPr>
        <w:tc>
          <w:tcPr>
            <w:gridSpan w:val="4"/>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对未到期担保，报告期内已发生担保责任或可能承担连带清偿 责任的情况说明</w:t>
            </w:r>
          </w:p>
        </w:tc>
        <w:tc>
          <w:tcPr>
            <w:gridSpan w:val="5"/>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不适用</w:t>
            </w:r>
          </w:p>
        </w:tc>
      </w:tr>
      <w:tr>
        <w:trPr>
          <w:trHeight w:val="413" w:hRule="exact"/>
        </w:trPr>
        <w:tc>
          <w:tcPr>
            <w:gridSpan w:val="4"/>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违反规定程序对外提供担保的说明</w:t>
            </w:r>
          </w:p>
        </w:tc>
        <w:tc>
          <w:tcPr>
            <w:gridSpan w:val="5"/>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不适用</w:t>
            </w:r>
          </w:p>
        </w:tc>
      </w:tr>
    </w:tbl>
    <w:p>
      <w:pPr>
        <w:widowControl w:val="0"/>
        <w:spacing w:after="139" w:line="1" w:lineRule="exact"/>
      </w:pPr>
    </w:p>
    <w:p>
      <w:pPr>
        <w:pStyle w:val="Style41"/>
        <w:keepNext w:val="0"/>
        <w:keepLines w:val="0"/>
        <w:widowControl w:val="0"/>
        <w:shd w:val="clear" w:color="auto" w:fill="auto"/>
        <w:bidi w:val="0"/>
        <w:spacing w:before="0" w:after="260" w:line="240" w:lineRule="auto"/>
        <w:ind w:left="0" w:right="0" w:firstLine="0"/>
        <w:jc w:val="both"/>
      </w:pPr>
      <w:r>
        <w:rPr>
          <w:b/>
          <w:bCs/>
          <w:color w:val="000000"/>
          <w:spacing w:val="0"/>
          <w:w w:val="100"/>
          <w:position w:val="0"/>
        </w:rPr>
        <w:t>采用复合方式担保的具体情况说明</w:t>
      </w:r>
    </w:p>
    <w:p>
      <w:pPr>
        <w:pStyle w:val="Style41"/>
        <w:keepNext w:val="0"/>
        <w:keepLines w:val="0"/>
        <w:widowControl w:val="0"/>
        <w:shd w:val="clear" w:color="auto" w:fill="auto"/>
        <w:bidi w:val="0"/>
        <w:spacing w:before="0" w:after="200" w:line="240" w:lineRule="auto"/>
        <w:ind w:left="0" w:right="0" w:firstLine="0"/>
        <w:jc w:val="both"/>
      </w:pPr>
      <w:r>
        <w:rPr>
          <w:color w:val="000000"/>
          <w:spacing w:val="0"/>
          <w:w w:val="100"/>
          <w:position w:val="0"/>
        </w:rPr>
        <w:t>上述担保事项为公司向银行申请综合授信，全资子公司新媒传信以其房产为本次授信提供抵押担保，最高担保额</w:t>
      </w:r>
      <w:r>
        <w:rPr>
          <w:rFonts w:ascii="Times New Roman" w:eastAsia="Times New Roman" w:hAnsi="Times New Roman" w:cs="Times New Roman"/>
          <w:color w:val="000000"/>
          <w:spacing w:val="0"/>
          <w:w w:val="100"/>
          <w:position w:val="0"/>
          <w:sz w:val="18"/>
          <w:szCs w:val="18"/>
        </w:rPr>
        <w:t>1.1</w:t>
      </w:r>
      <w:r>
        <w:rPr>
          <w:color w:val="000000"/>
          <w:spacing w:val="0"/>
          <w:w w:val="100"/>
          <w:position w:val="0"/>
        </w:rPr>
        <w:t>亿元。</w:t>
      </w:r>
    </w:p>
    <w:p>
      <w:pPr>
        <w:pStyle w:val="Style58"/>
        <w:keepNext/>
        <w:keepLines/>
        <w:widowControl w:val="0"/>
        <w:shd w:val="clear" w:color="auto" w:fill="auto"/>
        <w:bidi w:val="0"/>
        <w:spacing w:before="0" w:after="460" w:line="240" w:lineRule="auto"/>
        <w:ind w:left="0" w:right="0" w:firstLine="0"/>
        <w:jc w:val="left"/>
        <w:rPr>
          <w:sz w:val="20"/>
          <w:szCs w:val="20"/>
        </w:rPr>
      </w:pPr>
      <w:bookmarkStart w:id="530" w:name="bookmark530"/>
      <w:bookmarkStart w:id="531" w:name="bookmark531"/>
      <w:bookmarkStart w:id="532" w:name="bookmark532"/>
      <w:bookmarkStart w:id="533" w:name="bookmark533"/>
      <w:r>
        <w:rPr>
          <w:b/>
          <w:bCs/>
          <w:color w:val="000000"/>
          <w:spacing w:val="0"/>
          <w:w w:val="100"/>
          <w:position w:val="0"/>
          <w:sz w:val="20"/>
          <w:szCs w:val="20"/>
        </w:rPr>
        <w:t>（</w:t>
      </w:r>
      <w:bookmarkEnd w:id="532"/>
      <w:r>
        <w:rPr>
          <w:b/>
          <w:bCs/>
          <w:color w:val="000000"/>
          <w:spacing w:val="0"/>
          <w:w w:val="100"/>
          <w:position w:val="0"/>
          <w:sz w:val="20"/>
          <w:szCs w:val="20"/>
        </w:rPr>
        <w:t>2）违规对外担保情况</w:t>
      </w:r>
      <w:bookmarkEnd w:id="530"/>
      <w:bookmarkEnd w:id="531"/>
      <w:bookmarkEnd w:id="533"/>
    </w:p>
    <w:p>
      <w:pPr>
        <w:pStyle w:val="Style41"/>
        <w:keepNext w:val="0"/>
        <w:keepLines w:val="0"/>
        <w:widowControl w:val="0"/>
        <w:shd w:val="clear" w:color="auto" w:fill="auto"/>
        <w:bidi w:val="0"/>
        <w:spacing w:before="0" w:after="24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b/>
          <w:bCs/>
          <w:i/>
          <w:iCs/>
          <w:color w:val="000000"/>
          <w:spacing w:val="0"/>
          <w:w w:val="100"/>
          <w:position w:val="0"/>
        </w:rPr>
        <w:t>*</w:t>
      </w:r>
      <w:r>
        <w:rPr>
          <w:b/>
          <w:bCs/>
          <w:color w:val="000000"/>
          <w:spacing w:val="0"/>
          <w:w w:val="100"/>
          <w:position w:val="0"/>
        </w:rPr>
        <w:t>不适用</w:t>
      </w:r>
    </w:p>
    <w:p>
      <w:pPr>
        <w:pStyle w:val="Style41"/>
        <w:keepNext w:val="0"/>
        <w:keepLines w:val="0"/>
        <w:widowControl w:val="0"/>
        <w:shd w:val="clear" w:color="auto" w:fill="auto"/>
        <w:bidi w:val="0"/>
        <w:spacing w:before="0" w:after="460" w:line="240" w:lineRule="auto"/>
        <w:ind w:left="0" w:right="0" w:firstLine="0"/>
        <w:jc w:val="left"/>
      </w:pPr>
      <w:r>
        <w:rPr>
          <w:color w:val="000000"/>
          <w:spacing w:val="0"/>
          <w:w w:val="100"/>
          <w:position w:val="0"/>
        </w:rPr>
        <w:t>公司报告期无违规对外担保情况。</w:t>
      </w:r>
    </w:p>
    <w:p>
      <w:pPr>
        <w:pStyle w:val="Style47"/>
        <w:keepNext/>
        <w:keepLines/>
        <w:widowControl w:val="0"/>
        <w:shd w:val="clear" w:color="auto" w:fill="auto"/>
        <w:tabs>
          <w:tab w:pos="378" w:val="left"/>
        </w:tabs>
        <w:bidi w:val="0"/>
        <w:spacing w:before="0" w:after="460" w:line="240" w:lineRule="auto"/>
        <w:ind w:left="0" w:right="0" w:firstLine="0"/>
        <w:jc w:val="left"/>
      </w:pPr>
      <w:bookmarkStart w:id="534" w:name="bookmark534"/>
      <w:bookmarkStart w:id="535" w:name="bookmark535"/>
      <w:bookmarkStart w:id="536" w:name="bookmark536"/>
      <w:bookmarkStart w:id="537" w:name="bookmark537"/>
      <w:r>
        <w:rPr>
          <w:color w:val="000000"/>
          <w:spacing w:val="0"/>
          <w:w w:val="100"/>
          <w:position w:val="0"/>
        </w:rPr>
        <w:t>3</w:t>
      </w:r>
      <w:bookmarkEnd w:id="536"/>
      <w:r>
        <w:rPr>
          <w:color w:val="000000"/>
          <w:spacing w:val="0"/>
          <w:w w:val="100"/>
          <w:position w:val="0"/>
        </w:rPr>
        <w:t>、</w:t>
        <w:tab/>
        <w:t>日常经营重大合同</w:t>
      </w:r>
      <w:bookmarkEnd w:id="534"/>
      <w:bookmarkEnd w:id="535"/>
      <w:bookmarkEnd w:id="537"/>
    </w:p>
    <w:p>
      <w:pPr>
        <w:pStyle w:val="Style41"/>
        <w:keepNext w:val="0"/>
        <w:keepLines w:val="0"/>
        <w:widowControl w:val="0"/>
        <w:shd w:val="clear" w:color="auto" w:fill="auto"/>
        <w:bidi w:val="0"/>
        <w:spacing w:before="0" w:after="46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b/>
          <w:bCs/>
          <w:color w:val="000000"/>
          <w:spacing w:val="0"/>
          <w:w w:val="100"/>
          <w:position w:val="0"/>
          <w:sz w:val="18"/>
          <w:szCs w:val="18"/>
        </w:rPr>
        <w:t>*</w:t>
      </w:r>
      <w:r>
        <w:rPr>
          <w:b/>
          <w:bCs/>
          <w:color w:val="000000"/>
          <w:spacing w:val="0"/>
          <w:w w:val="100"/>
          <w:position w:val="0"/>
        </w:rPr>
        <w:t>不适用</w:t>
      </w:r>
    </w:p>
    <w:p>
      <w:pPr>
        <w:pStyle w:val="Style47"/>
        <w:keepNext/>
        <w:keepLines/>
        <w:widowControl w:val="0"/>
        <w:shd w:val="clear" w:color="auto" w:fill="auto"/>
        <w:tabs>
          <w:tab w:pos="378" w:val="left"/>
        </w:tabs>
        <w:bidi w:val="0"/>
        <w:spacing w:before="0" w:after="380" w:line="240" w:lineRule="auto"/>
        <w:ind w:left="0" w:right="0" w:firstLine="0"/>
        <w:jc w:val="left"/>
      </w:pPr>
      <w:bookmarkStart w:id="538" w:name="bookmark538"/>
      <w:bookmarkStart w:id="539" w:name="bookmark539"/>
      <w:bookmarkStart w:id="540" w:name="bookmark540"/>
      <w:bookmarkStart w:id="541" w:name="bookmark541"/>
      <w:r>
        <w:rPr>
          <w:color w:val="000000"/>
          <w:spacing w:val="0"/>
          <w:w w:val="100"/>
          <w:position w:val="0"/>
        </w:rPr>
        <w:t>4</w:t>
      </w:r>
      <w:bookmarkEnd w:id="540"/>
      <w:r>
        <w:rPr>
          <w:color w:val="000000"/>
          <w:spacing w:val="0"/>
          <w:w w:val="100"/>
          <w:position w:val="0"/>
        </w:rPr>
        <w:t>、</w:t>
        <w:tab/>
        <w:t>委托他人进行现金资产管理情况</w:t>
      </w:r>
      <w:bookmarkEnd w:id="538"/>
      <w:bookmarkEnd w:id="539"/>
      <w:bookmarkEnd w:id="541"/>
    </w:p>
    <w:p>
      <w:pPr>
        <w:pStyle w:val="Style58"/>
        <w:keepNext/>
        <w:keepLines/>
        <w:widowControl w:val="0"/>
        <w:shd w:val="clear" w:color="auto" w:fill="auto"/>
        <w:bidi w:val="0"/>
        <w:spacing w:before="0" w:after="460" w:line="240" w:lineRule="auto"/>
        <w:ind w:left="0" w:right="0" w:firstLine="0"/>
        <w:jc w:val="left"/>
        <w:rPr>
          <w:sz w:val="20"/>
          <w:szCs w:val="20"/>
        </w:rPr>
      </w:pPr>
      <w:bookmarkStart w:id="542" w:name="bookmark542"/>
      <w:bookmarkStart w:id="543" w:name="bookmark543"/>
      <w:bookmarkStart w:id="544" w:name="bookmark544"/>
      <w:bookmarkStart w:id="545" w:name="bookmark545"/>
      <w:r>
        <w:rPr>
          <w:b/>
          <w:bCs/>
          <w:color w:val="000000"/>
          <w:spacing w:val="0"/>
          <w:w w:val="100"/>
          <w:position w:val="0"/>
          <w:sz w:val="20"/>
          <w:szCs w:val="20"/>
        </w:rPr>
        <w:t>（</w:t>
      </w:r>
      <w:bookmarkEnd w:id="544"/>
      <w:r>
        <w:rPr>
          <w:b/>
          <w:bCs/>
          <w:color w:val="000000"/>
          <w:spacing w:val="0"/>
          <w:w w:val="100"/>
          <w:position w:val="0"/>
          <w:sz w:val="20"/>
          <w:szCs w:val="20"/>
        </w:rPr>
        <w:t>1）委托理财情况</w:t>
      </w:r>
      <w:bookmarkEnd w:id="542"/>
      <w:bookmarkEnd w:id="543"/>
      <w:bookmarkEnd w:id="545"/>
    </w:p>
    <w:p>
      <w:pPr>
        <w:pStyle w:val="Style41"/>
        <w:keepNext w:val="0"/>
        <w:keepLines w:val="0"/>
        <w:widowControl w:val="0"/>
        <w:shd w:val="clear" w:color="auto" w:fill="auto"/>
        <w:bidi w:val="0"/>
        <w:spacing w:before="0" w:after="240" w:line="240" w:lineRule="auto"/>
        <w:ind w:left="0" w:right="0" w:firstLine="0"/>
        <w:jc w:val="left"/>
      </w:pPr>
      <w:r>
        <w:rPr>
          <w:rFonts w:ascii="Times New Roman" w:eastAsia="Times New Roman" w:hAnsi="Times New Roman" w:cs="Times New Roman"/>
          <w:b/>
          <w:bCs/>
          <w:color w:val="000000"/>
          <w:spacing w:val="0"/>
          <w:w w:val="100"/>
          <w:position w:val="0"/>
          <w:sz w:val="18"/>
          <w:szCs w:val="18"/>
        </w:rPr>
        <w:t>*</w:t>
      </w:r>
      <w:r>
        <w:rPr>
          <w:b/>
          <w:bCs/>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41"/>
        <w:keepNext w:val="0"/>
        <w:keepLines w:val="0"/>
        <w:widowControl w:val="0"/>
        <w:shd w:val="clear" w:color="auto" w:fill="auto"/>
        <w:bidi w:val="0"/>
        <w:spacing w:before="0" w:after="200" w:line="240" w:lineRule="auto"/>
        <w:ind w:left="0" w:right="0" w:firstLine="0"/>
        <w:jc w:val="left"/>
      </w:pPr>
      <w:r>
        <w:rPr>
          <w:color w:val="000000"/>
          <w:spacing w:val="0"/>
          <w:w w:val="100"/>
          <w:position w:val="0"/>
        </w:rPr>
        <w:t>报告期内委托理财概况</w:t>
      </w:r>
    </w:p>
    <w:p>
      <w:pPr>
        <w:pStyle w:val="Style20"/>
        <w:keepNext w:val="0"/>
        <w:keepLines w:val="0"/>
        <w:widowControl w:val="0"/>
        <w:shd w:val="clear" w:color="auto" w:fill="auto"/>
        <w:bidi w:val="0"/>
        <w:spacing w:before="0" w:after="0" w:line="240" w:lineRule="auto"/>
        <w:ind w:left="8765" w:right="0" w:firstLine="0"/>
        <w:jc w:val="left"/>
        <w:rPr>
          <w:sz w:val="17"/>
          <w:szCs w:val="17"/>
        </w:rPr>
      </w:pPr>
      <w:r>
        <w:rPr>
          <w:rFonts w:ascii="SimSun" w:eastAsia="SimSun" w:hAnsi="SimSun" w:cs="SimSun"/>
          <w:color w:val="000000"/>
          <w:spacing w:val="0"/>
          <w:w w:val="100"/>
          <w:position w:val="0"/>
          <w:sz w:val="17"/>
          <w:szCs w:val="17"/>
        </w:rPr>
        <w:t>单位：万元</w:t>
      </w:r>
    </w:p>
    <w:tbl>
      <w:tblPr>
        <w:tblOverlap w:val="never"/>
        <w:jc w:val="center"/>
        <w:tblLayout w:type="fixed"/>
      </w:tblPr>
      <w:tblGrid>
        <w:gridCol w:w="1896"/>
        <w:gridCol w:w="1992"/>
        <w:gridCol w:w="2006"/>
        <w:gridCol w:w="1934"/>
        <w:gridCol w:w="1882"/>
      </w:tblGrid>
      <w:tr>
        <w:trPr>
          <w:trHeight w:val="40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具体类型</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委托理财的资金来源</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委托理财发生额</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未到期余额</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逾期未收回的金额</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银行理财产品</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自有资金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14,470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14,470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413" w:hRule="exact"/>
        </w:trPr>
        <w:tc>
          <w:tcPr>
            <w:gridSpan w:val="2"/>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14,470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14,470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bl>
    <w:p>
      <w:pPr>
        <w:widowControl w:val="0"/>
        <w:spacing w:after="139" w:line="1" w:lineRule="exact"/>
      </w:pPr>
    </w:p>
    <w:p>
      <w:pPr>
        <w:pStyle w:val="Style41"/>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rPr>
        <w:t>单项金额重大或安全性较低、流动性较差、不保本的高风险委托理财具体情况</w:t>
      </w:r>
    </w:p>
    <w:p>
      <w:pPr>
        <w:pStyle w:val="Style41"/>
        <w:keepNext w:val="0"/>
        <w:keepLines w:val="0"/>
        <w:widowControl w:val="0"/>
        <w:shd w:val="clear" w:color="auto" w:fill="auto"/>
        <w:bidi w:val="0"/>
        <w:spacing w:before="0" w:after="24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b/>
          <w:bCs/>
          <w:color w:val="000000"/>
          <w:spacing w:val="0"/>
          <w:w w:val="100"/>
          <w:position w:val="0"/>
          <w:sz w:val="18"/>
          <w:szCs w:val="18"/>
        </w:rPr>
        <w:t>*</w:t>
      </w:r>
      <w:r>
        <w:rPr>
          <w:b/>
          <w:bCs/>
          <w:color w:val="000000"/>
          <w:spacing w:val="0"/>
          <w:w w:val="100"/>
          <w:position w:val="0"/>
        </w:rPr>
        <w:t>不适用</w:t>
      </w:r>
    </w:p>
    <w:p>
      <w:pPr>
        <w:pStyle w:val="Style41"/>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rPr>
        <w:t>委托理财出现预期无法收回本金或存在其他可能导致减值的情形</w:t>
      </w:r>
    </w:p>
    <w:p>
      <w:pPr>
        <w:pStyle w:val="Style41"/>
        <w:keepNext w:val="0"/>
        <w:keepLines w:val="0"/>
        <w:widowControl w:val="0"/>
        <w:shd w:val="clear" w:color="auto" w:fill="auto"/>
        <w:bidi w:val="0"/>
        <w:spacing w:before="0" w:after="46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b/>
          <w:bCs/>
          <w:color w:val="000000"/>
          <w:spacing w:val="0"/>
          <w:w w:val="100"/>
          <w:position w:val="0"/>
          <w:sz w:val="18"/>
          <w:szCs w:val="18"/>
        </w:rPr>
        <w:t>*</w:t>
      </w:r>
      <w:r>
        <w:rPr>
          <w:b/>
          <w:bCs/>
          <w:color w:val="000000"/>
          <w:spacing w:val="0"/>
          <w:w w:val="100"/>
          <w:position w:val="0"/>
        </w:rPr>
        <w:t>不适用</w:t>
      </w:r>
    </w:p>
    <w:p>
      <w:pPr>
        <w:pStyle w:val="Style58"/>
        <w:keepNext/>
        <w:keepLines/>
        <w:widowControl w:val="0"/>
        <w:shd w:val="clear" w:color="auto" w:fill="auto"/>
        <w:bidi w:val="0"/>
        <w:spacing w:before="0" w:after="460" w:line="240" w:lineRule="auto"/>
        <w:ind w:left="0" w:right="0" w:firstLine="0"/>
        <w:jc w:val="left"/>
        <w:rPr>
          <w:sz w:val="20"/>
          <w:szCs w:val="20"/>
        </w:rPr>
      </w:pPr>
      <w:bookmarkStart w:id="546" w:name="bookmark546"/>
      <w:bookmarkStart w:id="547" w:name="bookmark547"/>
      <w:bookmarkStart w:id="548" w:name="bookmark548"/>
      <w:bookmarkStart w:id="549" w:name="bookmark549"/>
      <w:r>
        <w:rPr>
          <w:b/>
          <w:bCs/>
          <w:color w:val="000000"/>
          <w:spacing w:val="0"/>
          <w:w w:val="100"/>
          <w:position w:val="0"/>
          <w:sz w:val="20"/>
          <w:szCs w:val="20"/>
        </w:rPr>
        <w:t>（</w:t>
      </w:r>
      <w:bookmarkEnd w:id="548"/>
      <w:r>
        <w:rPr>
          <w:b/>
          <w:bCs/>
          <w:color w:val="000000"/>
          <w:spacing w:val="0"/>
          <w:w w:val="100"/>
          <w:position w:val="0"/>
          <w:sz w:val="20"/>
          <w:szCs w:val="20"/>
        </w:rPr>
        <w:t>2）委托贷款情况</w:t>
      </w:r>
      <w:bookmarkEnd w:id="546"/>
      <w:bookmarkEnd w:id="547"/>
      <w:bookmarkEnd w:id="549"/>
    </w:p>
    <w:p>
      <w:pPr>
        <w:pStyle w:val="Style41"/>
        <w:keepNext w:val="0"/>
        <w:keepLines w:val="0"/>
        <w:widowControl w:val="0"/>
        <w:shd w:val="clear" w:color="auto" w:fill="auto"/>
        <w:bidi w:val="0"/>
        <w:spacing w:before="0" w:after="24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b/>
          <w:bCs/>
          <w:color w:val="000000"/>
          <w:spacing w:val="0"/>
          <w:w w:val="100"/>
          <w:position w:val="0"/>
          <w:sz w:val="18"/>
          <w:szCs w:val="18"/>
        </w:rPr>
        <w:t>*</w:t>
      </w:r>
      <w:r>
        <w:rPr>
          <w:b/>
          <w:bCs/>
          <w:color w:val="000000"/>
          <w:spacing w:val="0"/>
          <w:w w:val="100"/>
          <w:position w:val="0"/>
        </w:rPr>
        <w:t>不适用</w:t>
      </w:r>
    </w:p>
    <w:p>
      <w:pPr>
        <w:pStyle w:val="Style41"/>
        <w:keepNext w:val="0"/>
        <w:keepLines w:val="0"/>
        <w:widowControl w:val="0"/>
        <w:shd w:val="clear" w:color="auto" w:fill="auto"/>
        <w:bidi w:val="0"/>
        <w:spacing w:before="0" w:after="460" w:line="240" w:lineRule="auto"/>
        <w:ind w:left="0" w:right="0" w:firstLine="0"/>
        <w:jc w:val="left"/>
      </w:pPr>
      <w:r>
        <w:rPr>
          <w:color w:val="000000"/>
          <w:spacing w:val="0"/>
          <w:w w:val="100"/>
          <w:position w:val="0"/>
        </w:rPr>
        <w:t>公司报告期不存在委托贷款。</w:t>
      </w:r>
    </w:p>
    <w:p>
      <w:pPr>
        <w:pStyle w:val="Style47"/>
        <w:keepNext/>
        <w:keepLines/>
        <w:widowControl w:val="0"/>
        <w:shd w:val="clear" w:color="auto" w:fill="auto"/>
        <w:bidi w:val="0"/>
        <w:spacing w:before="0" w:after="460" w:line="240" w:lineRule="auto"/>
        <w:ind w:left="0" w:right="0" w:firstLine="0"/>
        <w:jc w:val="left"/>
      </w:pPr>
      <w:bookmarkStart w:id="550" w:name="bookmark550"/>
      <w:bookmarkStart w:id="551" w:name="bookmark551"/>
      <w:bookmarkStart w:id="552" w:name="bookmark552"/>
      <w:bookmarkStart w:id="553" w:name="bookmark553"/>
      <w:r>
        <w:rPr>
          <w:color w:val="000000"/>
          <w:spacing w:val="0"/>
          <w:w w:val="100"/>
          <w:position w:val="0"/>
        </w:rPr>
        <w:t>5</w:t>
      </w:r>
      <w:bookmarkEnd w:id="552"/>
      <w:r>
        <w:rPr>
          <w:color w:val="000000"/>
          <w:spacing w:val="0"/>
          <w:w w:val="100"/>
          <w:position w:val="0"/>
        </w:rPr>
        <w:t>、其他重大合同</w:t>
      </w:r>
      <w:bookmarkEnd w:id="550"/>
      <w:bookmarkEnd w:id="551"/>
      <w:bookmarkEnd w:id="553"/>
    </w:p>
    <w:p>
      <w:pPr>
        <w:pStyle w:val="Style41"/>
        <w:keepNext w:val="0"/>
        <w:keepLines w:val="0"/>
        <w:widowControl w:val="0"/>
        <w:shd w:val="clear" w:color="auto" w:fill="auto"/>
        <w:bidi w:val="0"/>
        <w:spacing w:before="0" w:after="24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b/>
          <w:bCs/>
          <w:color w:val="000000"/>
          <w:spacing w:val="0"/>
          <w:w w:val="100"/>
          <w:position w:val="0"/>
          <w:sz w:val="18"/>
          <w:szCs w:val="18"/>
        </w:rPr>
        <w:t>*</w:t>
      </w:r>
      <w:r>
        <w:rPr>
          <w:b/>
          <w:bCs/>
          <w:color w:val="000000"/>
          <w:spacing w:val="0"/>
          <w:w w:val="100"/>
          <w:position w:val="0"/>
        </w:rPr>
        <w:t>不适用</w:t>
      </w:r>
    </w:p>
    <w:p>
      <w:pPr>
        <w:pStyle w:val="Style41"/>
        <w:keepNext w:val="0"/>
        <w:keepLines w:val="0"/>
        <w:widowControl w:val="0"/>
        <w:shd w:val="clear" w:color="auto" w:fill="auto"/>
        <w:bidi w:val="0"/>
        <w:spacing w:before="0" w:after="420" w:line="240" w:lineRule="auto"/>
        <w:ind w:left="0" w:right="0" w:firstLine="0"/>
        <w:jc w:val="left"/>
      </w:pPr>
      <w:r>
        <w:rPr>
          <w:color w:val="000000"/>
          <w:spacing w:val="0"/>
          <w:w w:val="100"/>
          <w:position w:val="0"/>
        </w:rPr>
        <w:t>公司报告期不存在其他重大合同。</w:t>
      </w:r>
    </w:p>
    <w:p>
      <w:pPr>
        <w:pStyle w:val="Style39"/>
        <w:keepNext/>
        <w:keepLines/>
        <w:widowControl w:val="0"/>
        <w:shd w:val="clear" w:color="auto" w:fill="auto"/>
        <w:bidi w:val="0"/>
        <w:spacing w:before="0" w:after="360" w:line="240" w:lineRule="auto"/>
        <w:ind w:left="0" w:right="0" w:firstLine="0"/>
        <w:jc w:val="left"/>
      </w:pPr>
      <w:bookmarkStart w:id="554" w:name="bookmark554"/>
      <w:bookmarkStart w:id="555" w:name="bookmark555"/>
      <w:bookmarkStart w:id="556" w:name="bookmark556"/>
      <w:r>
        <w:rPr>
          <w:color w:val="000000"/>
          <w:spacing w:val="0"/>
          <w:w w:val="100"/>
          <w:position w:val="0"/>
          <w:sz w:val="24"/>
          <w:szCs w:val="24"/>
        </w:rPr>
        <w:t>十七、社会责任情况</w:t>
      </w:r>
      <w:bookmarkEnd w:id="554"/>
      <w:bookmarkEnd w:id="555"/>
      <w:bookmarkEnd w:id="556"/>
    </w:p>
    <w:p>
      <w:pPr>
        <w:pStyle w:val="Style47"/>
        <w:keepNext/>
        <w:keepLines/>
        <w:widowControl w:val="0"/>
        <w:shd w:val="clear" w:color="auto" w:fill="auto"/>
        <w:tabs>
          <w:tab w:pos="367" w:val="left"/>
        </w:tabs>
        <w:bidi w:val="0"/>
        <w:spacing w:before="0" w:after="140" w:line="240" w:lineRule="auto"/>
        <w:ind w:left="0" w:right="0" w:firstLine="0"/>
        <w:jc w:val="left"/>
      </w:pPr>
      <w:bookmarkStart w:id="557" w:name="bookmark557"/>
      <w:bookmarkStart w:id="558" w:name="bookmark558"/>
      <w:bookmarkStart w:id="559" w:name="bookmark559"/>
      <w:bookmarkStart w:id="560" w:name="bookmark560"/>
      <w:r>
        <w:rPr>
          <w:color w:val="000000"/>
          <w:spacing w:val="0"/>
          <w:w w:val="100"/>
          <w:position w:val="0"/>
        </w:rPr>
        <w:t>1</w:t>
      </w:r>
      <w:bookmarkEnd w:id="559"/>
      <w:r>
        <w:rPr>
          <w:color w:val="000000"/>
          <w:spacing w:val="0"/>
          <w:w w:val="100"/>
          <w:position w:val="0"/>
        </w:rPr>
        <w:t>、</w:t>
        <w:tab/>
        <w:t>履行社会责任情况</w:t>
      </w:r>
      <w:bookmarkEnd w:id="557"/>
      <w:bookmarkEnd w:id="558"/>
      <w:bookmarkEnd w:id="560"/>
    </w:p>
    <w:p>
      <w:pPr>
        <w:pStyle w:val="Style41"/>
        <w:keepNext w:val="0"/>
        <w:keepLines w:val="0"/>
        <w:widowControl w:val="0"/>
        <w:shd w:val="clear" w:color="auto" w:fill="auto"/>
        <w:bidi w:val="0"/>
        <w:spacing w:before="0" w:after="360" w:line="469" w:lineRule="exact"/>
        <w:ind w:left="0" w:right="0" w:firstLine="0"/>
        <w:jc w:val="left"/>
      </w:pPr>
      <w:r>
        <w:rPr>
          <w:color w:val="000000"/>
          <w:spacing w:val="0"/>
          <w:w w:val="100"/>
          <w:position w:val="0"/>
        </w:rPr>
        <w:t>具体事项详见披露于中国证监会指定的创业板信息披露网（</w:t>
      </w:r>
      <w:r>
        <w:rPr>
          <w:rFonts w:ascii="Times New Roman" w:eastAsia="Times New Roman" w:hAnsi="Times New Roman" w:cs="Times New Roman"/>
          <w:color w:val="000000"/>
          <w:spacing w:val="0"/>
          <w:w w:val="100"/>
          <w:position w:val="0"/>
          <w:sz w:val="18"/>
          <w:szCs w:val="18"/>
        </w:rPr>
        <w:t>www.cninfo.com.cn</w:t>
      </w:r>
      <w:r>
        <w:rPr>
          <w:color w:val="000000"/>
          <w:spacing w:val="0"/>
          <w:w w:val="100"/>
          <w:position w:val="0"/>
        </w:rPr>
        <w:t>）相关公告。</w:t>
      </w:r>
    </w:p>
    <w:p>
      <w:pPr>
        <w:pStyle w:val="Style47"/>
        <w:keepNext/>
        <w:keepLines/>
        <w:widowControl w:val="0"/>
        <w:shd w:val="clear" w:color="auto" w:fill="auto"/>
        <w:tabs>
          <w:tab w:pos="376" w:val="left"/>
        </w:tabs>
        <w:bidi w:val="0"/>
        <w:spacing w:before="0" w:after="200" w:line="240" w:lineRule="auto"/>
        <w:ind w:left="0" w:right="0" w:firstLine="0"/>
        <w:jc w:val="left"/>
      </w:pPr>
      <w:bookmarkStart w:id="561" w:name="bookmark561"/>
      <w:bookmarkStart w:id="562" w:name="bookmark562"/>
      <w:bookmarkStart w:id="563" w:name="bookmark563"/>
      <w:bookmarkStart w:id="564" w:name="bookmark564"/>
      <w:r>
        <w:rPr>
          <w:color w:val="000000"/>
          <w:spacing w:val="0"/>
          <w:w w:val="100"/>
          <w:position w:val="0"/>
        </w:rPr>
        <w:t>2</w:t>
      </w:r>
      <w:bookmarkEnd w:id="563"/>
      <w:r>
        <w:rPr>
          <w:color w:val="000000"/>
          <w:spacing w:val="0"/>
          <w:w w:val="100"/>
          <w:position w:val="0"/>
        </w:rPr>
        <w:t>、</w:t>
        <w:tab/>
        <w:t>履行精准扶贫社会责任情况</w:t>
      </w:r>
      <w:bookmarkEnd w:id="561"/>
      <w:bookmarkEnd w:id="562"/>
      <w:bookmarkEnd w:id="564"/>
    </w:p>
    <w:p>
      <w:pPr>
        <w:pStyle w:val="Style41"/>
        <w:keepNext w:val="0"/>
        <w:keepLines w:val="0"/>
        <w:widowControl w:val="0"/>
        <w:shd w:val="clear" w:color="auto" w:fill="auto"/>
        <w:bidi w:val="0"/>
        <w:spacing w:before="0" w:after="460" w:line="469" w:lineRule="exact"/>
        <w:ind w:left="0" w:right="0" w:firstLine="0"/>
        <w:jc w:val="left"/>
      </w:pPr>
      <w:r>
        <w:rPr>
          <w:color w:val="000000"/>
          <w:spacing w:val="0"/>
          <w:w w:val="100"/>
          <w:position w:val="0"/>
        </w:rPr>
        <w:t>公司报告年度暂未开展精准扶贫工作，也暂无后续精准扶贫计划。</w:t>
      </w:r>
    </w:p>
    <w:p>
      <w:pPr>
        <w:pStyle w:val="Style47"/>
        <w:keepNext/>
        <w:keepLines/>
        <w:widowControl w:val="0"/>
        <w:shd w:val="clear" w:color="auto" w:fill="auto"/>
        <w:tabs>
          <w:tab w:pos="376" w:val="left"/>
        </w:tabs>
        <w:bidi w:val="0"/>
        <w:spacing w:before="0" w:after="200" w:line="240" w:lineRule="auto"/>
        <w:ind w:left="0" w:right="0" w:firstLine="0"/>
        <w:jc w:val="left"/>
      </w:pPr>
      <w:bookmarkStart w:id="565" w:name="bookmark565"/>
      <w:bookmarkStart w:id="566" w:name="bookmark566"/>
      <w:bookmarkStart w:id="567" w:name="bookmark567"/>
      <w:bookmarkStart w:id="568" w:name="bookmark568"/>
      <w:r>
        <w:rPr>
          <w:color w:val="000000"/>
          <w:spacing w:val="0"/>
          <w:w w:val="100"/>
          <w:position w:val="0"/>
        </w:rPr>
        <w:t>3</w:t>
      </w:r>
      <w:bookmarkEnd w:id="567"/>
      <w:r>
        <w:rPr>
          <w:color w:val="000000"/>
          <w:spacing w:val="0"/>
          <w:w w:val="100"/>
          <w:position w:val="0"/>
        </w:rPr>
        <w:t>、</w:t>
        <w:tab/>
        <w:t>环境保护相关的情况</w:t>
      </w:r>
      <w:bookmarkEnd w:id="565"/>
      <w:bookmarkEnd w:id="566"/>
      <w:bookmarkEnd w:id="568"/>
    </w:p>
    <w:p>
      <w:pPr>
        <w:pStyle w:val="Style41"/>
        <w:keepNext w:val="0"/>
        <w:keepLines w:val="0"/>
        <w:widowControl w:val="0"/>
        <w:shd w:val="clear" w:color="auto" w:fill="auto"/>
        <w:bidi w:val="0"/>
        <w:spacing w:before="0" w:after="260" w:line="469" w:lineRule="exact"/>
        <w:ind w:left="0" w:right="0" w:firstLine="0"/>
        <w:jc w:val="left"/>
      </w:pPr>
      <w:r>
        <w:rPr>
          <w:b/>
          <w:bCs/>
          <w:color w:val="000000"/>
          <w:spacing w:val="0"/>
          <w:w w:val="100"/>
          <w:position w:val="0"/>
        </w:rPr>
        <w:t>上市公司及其子公司是否属于环境保护部门公布的重点排污单位</w:t>
      </w:r>
    </w:p>
    <w:p>
      <w:pPr>
        <w:pStyle w:val="Style41"/>
        <w:keepNext w:val="0"/>
        <w:keepLines w:val="0"/>
        <w:widowControl w:val="0"/>
        <w:shd w:val="clear" w:color="auto" w:fill="auto"/>
        <w:bidi w:val="0"/>
        <w:spacing w:before="0" w:after="140" w:line="545"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是</w:t>
      </w:r>
      <w:r>
        <w:rPr>
          <w:b/>
          <w:bCs/>
          <w:i/>
          <w:iCs/>
          <w:color w:val="000000"/>
          <w:spacing w:val="0"/>
          <w:w w:val="100"/>
          <w:position w:val="0"/>
        </w:rPr>
        <w:t>V</w:t>
      </w:r>
      <w:r>
        <w:rPr>
          <w:b/>
          <w:bCs/>
          <w:color w:val="000000"/>
          <w:spacing w:val="0"/>
          <w:w w:val="100"/>
          <w:position w:val="0"/>
        </w:rPr>
        <w:t>否</w:t>
      </w:r>
    </w:p>
    <w:p>
      <w:pPr>
        <w:pStyle w:val="Style39"/>
        <w:keepNext/>
        <w:keepLines/>
        <w:widowControl w:val="0"/>
        <w:shd w:val="clear" w:color="auto" w:fill="auto"/>
        <w:bidi w:val="0"/>
        <w:spacing w:before="0" w:after="360" w:line="240" w:lineRule="auto"/>
        <w:ind w:left="0" w:right="0" w:firstLine="0"/>
        <w:jc w:val="left"/>
      </w:pPr>
      <w:bookmarkStart w:id="569" w:name="bookmark569"/>
      <w:bookmarkStart w:id="570" w:name="bookmark570"/>
      <w:bookmarkStart w:id="571" w:name="bookmark571"/>
      <w:r>
        <w:rPr>
          <w:color w:val="000000"/>
          <w:spacing w:val="0"/>
          <w:w w:val="100"/>
          <w:position w:val="0"/>
          <w:sz w:val="24"/>
          <w:szCs w:val="24"/>
        </w:rPr>
        <w:t>十八、其他重大事项的说明</w:t>
      </w:r>
      <w:bookmarkEnd w:id="569"/>
      <w:bookmarkEnd w:id="570"/>
      <w:bookmarkEnd w:id="571"/>
    </w:p>
    <w:p>
      <w:pPr>
        <w:pStyle w:val="Style41"/>
        <w:keepNext w:val="0"/>
        <w:keepLines w:val="0"/>
        <w:widowControl w:val="0"/>
        <w:shd w:val="clear" w:color="auto" w:fill="auto"/>
        <w:bidi w:val="0"/>
        <w:spacing w:before="0" w:after="0" w:line="545" w:lineRule="auto"/>
        <w:ind w:left="0" w:right="0" w:firstLine="0"/>
        <w:jc w:val="left"/>
      </w:pPr>
      <w:r>
        <w:rPr>
          <w:rFonts w:ascii="Times New Roman" w:eastAsia="Times New Roman" w:hAnsi="Times New Roman" w:cs="Times New Roman"/>
          <w:b/>
          <w:bCs/>
          <w:color w:val="000000"/>
          <w:spacing w:val="0"/>
          <w:w w:val="100"/>
          <w:position w:val="0"/>
          <w:sz w:val="18"/>
          <w:szCs w:val="18"/>
        </w:rPr>
        <w:t>V</w:t>
      </w:r>
      <w:r>
        <w:rPr>
          <w:b/>
          <w:bCs/>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41"/>
        <w:keepNext w:val="0"/>
        <w:keepLines w:val="0"/>
        <w:widowControl w:val="0"/>
        <w:shd w:val="clear" w:color="auto" w:fill="auto"/>
        <w:tabs>
          <w:tab w:pos="904" w:val="left"/>
        </w:tabs>
        <w:bidi w:val="0"/>
        <w:spacing w:before="0" w:after="0" w:line="469" w:lineRule="exact"/>
        <w:ind w:left="0" w:right="0"/>
        <w:jc w:val="both"/>
      </w:pPr>
      <w:bookmarkStart w:id="572" w:name="bookmark572"/>
      <w:r>
        <w:rPr>
          <w:color w:val="000000"/>
          <w:spacing w:val="0"/>
          <w:w w:val="100"/>
          <w:position w:val="0"/>
        </w:rPr>
        <w:t>（</w:t>
      </w:r>
      <w:bookmarkEnd w:id="572"/>
      <w:r>
        <w:rPr>
          <w:rFonts w:ascii="Times New Roman" w:eastAsia="Times New Roman" w:hAnsi="Times New Roman" w:cs="Times New Roman"/>
          <w:color w:val="000000"/>
          <w:spacing w:val="0"/>
          <w:w w:val="100"/>
          <w:position w:val="0"/>
          <w:sz w:val="18"/>
          <w:szCs w:val="18"/>
        </w:rPr>
        <w:t>1</w:t>
      </w:r>
      <w:r>
        <w:rPr>
          <w:color w:val="000000"/>
          <w:spacing w:val="0"/>
          <w:w w:val="100"/>
          <w:position w:val="0"/>
        </w:rPr>
        <w:t>）</w:t>
        <w:tab/>
      </w:r>
      <w:r>
        <w:rPr>
          <w:rFonts w:ascii="Times New Roman" w:eastAsia="Times New Roman" w:hAnsi="Times New Roman" w:cs="Times New Roman"/>
          <w:color w:val="000000"/>
          <w:spacing w:val="0"/>
          <w:w w:val="100"/>
          <w:position w:val="0"/>
          <w:sz w:val="18"/>
          <w:szCs w:val="18"/>
        </w:rPr>
        <w:t>2017</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4</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17</w:t>
      </w:r>
      <w:r>
        <w:rPr>
          <w:color w:val="000000"/>
          <w:spacing w:val="0"/>
          <w:w w:val="100"/>
          <w:position w:val="0"/>
        </w:rPr>
        <w:t>日，公司第六届董事会第二十次会议审议通过《关于对外投资设立全资子公司的议案》，公司以自有 资金出资在北京市房山区设立全资子公司，注册资本</w:t>
      </w:r>
      <w:r>
        <w:rPr>
          <w:rFonts w:ascii="Times New Roman" w:eastAsia="Times New Roman" w:hAnsi="Times New Roman" w:cs="Times New Roman"/>
          <w:color w:val="000000"/>
          <w:spacing w:val="0"/>
          <w:w w:val="100"/>
          <w:position w:val="0"/>
          <w:sz w:val="18"/>
          <w:szCs w:val="18"/>
        </w:rPr>
        <w:t>1,000</w:t>
      </w:r>
      <w:r>
        <w:rPr>
          <w:color w:val="000000"/>
          <w:spacing w:val="0"/>
          <w:w w:val="100"/>
          <w:position w:val="0"/>
        </w:rPr>
        <w:t>万元。设立完成后，公司向新子公司增资不超过</w:t>
      </w:r>
      <w:r>
        <w:rPr>
          <w:rFonts w:ascii="Times New Roman" w:eastAsia="Times New Roman" w:hAnsi="Times New Roman" w:cs="Times New Roman"/>
          <w:color w:val="000000"/>
          <w:spacing w:val="0"/>
          <w:w w:val="100"/>
          <w:position w:val="0"/>
          <w:sz w:val="18"/>
          <w:szCs w:val="18"/>
        </w:rPr>
        <w:t>40,000</w:t>
      </w:r>
      <w:r>
        <w:rPr>
          <w:color w:val="000000"/>
          <w:spacing w:val="0"/>
          <w:w w:val="100"/>
          <w:position w:val="0"/>
        </w:rPr>
        <w:t xml:space="preserve">万元，用于 与北京市房山新城建设工程有限责任公司等单位共同组建项目公司，通过参与招拍挂方式竞买北京市房山区长阳镇 </w:t>
      </w:r>
      <w:r>
        <w:rPr>
          <w:rFonts w:ascii="Times New Roman" w:eastAsia="Times New Roman" w:hAnsi="Times New Roman" w:cs="Times New Roman"/>
          <w:color w:val="000000"/>
          <w:spacing w:val="0"/>
          <w:w w:val="100"/>
          <w:position w:val="0"/>
          <w:sz w:val="18"/>
          <w:szCs w:val="18"/>
        </w:rPr>
        <w:t>FS00-LX10-0092</w:t>
      </w:r>
      <w:r>
        <w:rPr>
          <w:color w:val="000000"/>
          <w:spacing w:val="0"/>
          <w:w w:val="100"/>
          <w:position w:val="0"/>
        </w:rPr>
        <w:t>等地块。</w:t>
      </w:r>
      <w:r>
        <w:rPr>
          <w:rFonts w:ascii="Times New Roman" w:eastAsia="Times New Roman" w:hAnsi="Times New Roman" w:cs="Times New Roman"/>
          <w:color w:val="000000"/>
          <w:spacing w:val="0"/>
          <w:w w:val="100"/>
          <w:position w:val="0"/>
          <w:sz w:val="18"/>
          <w:szCs w:val="18"/>
        </w:rPr>
        <w:t>FS00-LX10-0092</w:t>
      </w:r>
      <w:r>
        <w:rPr>
          <w:color w:val="000000"/>
          <w:spacing w:val="0"/>
          <w:w w:val="100"/>
          <w:position w:val="0"/>
        </w:rPr>
        <w:t>等地块的土地权证已于</w:t>
      </w:r>
      <w:r>
        <w:rPr>
          <w:rFonts w:ascii="Times New Roman" w:eastAsia="Times New Roman" w:hAnsi="Times New Roman" w:cs="Times New Roman"/>
          <w:color w:val="000000"/>
          <w:spacing w:val="0"/>
          <w:w w:val="100"/>
          <w:position w:val="0"/>
          <w:sz w:val="18"/>
          <w:szCs w:val="18"/>
        </w:rPr>
        <w:t>2019</w:t>
      </w:r>
      <w:r>
        <w:rPr>
          <w:color w:val="000000"/>
          <w:spacing w:val="0"/>
          <w:w w:val="100"/>
          <w:position w:val="0"/>
        </w:rPr>
        <w:t>年度办理完成。</w:t>
      </w:r>
    </w:p>
    <w:p>
      <w:pPr>
        <w:pStyle w:val="Style41"/>
        <w:keepNext w:val="0"/>
        <w:keepLines w:val="0"/>
        <w:widowControl w:val="0"/>
        <w:shd w:val="clear" w:color="auto" w:fill="auto"/>
        <w:bidi w:val="0"/>
        <w:spacing w:before="0" w:after="0" w:line="469" w:lineRule="exact"/>
        <w:ind w:left="0" w:right="0"/>
        <w:jc w:val="both"/>
      </w:pPr>
      <w:r>
        <w:rPr>
          <w:rFonts w:ascii="Times New Roman" w:eastAsia="Times New Roman" w:hAnsi="Times New Roman" w:cs="Times New Roman"/>
          <w:color w:val="000000"/>
          <w:spacing w:val="0"/>
          <w:w w:val="100"/>
          <w:position w:val="0"/>
          <w:sz w:val="18"/>
          <w:szCs w:val="18"/>
        </w:rPr>
        <w:t>2021</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26</w:t>
      </w:r>
      <w:r>
        <w:rPr>
          <w:color w:val="000000"/>
          <w:spacing w:val="0"/>
          <w:w w:val="100"/>
          <w:position w:val="0"/>
        </w:rPr>
        <w:t>日，公司召开第七届董事会第四十一次会议，审议通过《关于转让参股公司北京创董创新实业有限公司股 权的议案》，公司全资子公司北京泰岳阳光科技有限公司将其持有的创董创新</w:t>
      </w:r>
      <w:r>
        <w:rPr>
          <w:rFonts w:ascii="Times New Roman" w:eastAsia="Times New Roman" w:hAnsi="Times New Roman" w:cs="Times New Roman"/>
          <w:color w:val="000000"/>
          <w:spacing w:val="0"/>
          <w:w w:val="100"/>
          <w:position w:val="0"/>
          <w:sz w:val="18"/>
          <w:szCs w:val="18"/>
        </w:rPr>
        <w:t>15.00%</w:t>
      </w:r>
      <w:r>
        <w:rPr>
          <w:color w:val="000000"/>
          <w:spacing w:val="0"/>
          <w:w w:val="100"/>
          <w:position w:val="0"/>
        </w:rPr>
        <w:t>股权转让给北京长阳京源科技有限公 司。</w:t>
      </w:r>
    </w:p>
    <w:p>
      <w:pPr>
        <w:pStyle w:val="Style41"/>
        <w:keepNext w:val="0"/>
        <w:keepLines w:val="0"/>
        <w:widowControl w:val="0"/>
        <w:shd w:val="clear" w:color="auto" w:fill="auto"/>
        <w:tabs>
          <w:tab w:pos="899" w:val="left"/>
        </w:tabs>
        <w:bidi w:val="0"/>
        <w:spacing w:before="0" w:after="0" w:line="469" w:lineRule="exact"/>
        <w:ind w:left="0" w:right="0"/>
        <w:jc w:val="both"/>
      </w:pPr>
      <w:bookmarkStart w:id="573" w:name="bookmark573"/>
      <w:r>
        <w:rPr>
          <w:color w:val="000000"/>
          <w:spacing w:val="0"/>
          <w:w w:val="100"/>
          <w:position w:val="0"/>
        </w:rPr>
        <w:t>（</w:t>
      </w:r>
      <w:bookmarkEnd w:id="573"/>
      <w:r>
        <w:rPr>
          <w:rFonts w:ascii="Times New Roman" w:eastAsia="Times New Roman" w:hAnsi="Times New Roman" w:cs="Times New Roman"/>
          <w:color w:val="000000"/>
          <w:spacing w:val="0"/>
          <w:w w:val="100"/>
          <w:position w:val="0"/>
          <w:sz w:val="18"/>
          <w:szCs w:val="18"/>
        </w:rPr>
        <w:t>2</w:t>
      </w:r>
      <w:r>
        <w:rPr>
          <w:color w:val="000000"/>
          <w:spacing w:val="0"/>
          <w:w w:val="100"/>
          <w:position w:val="0"/>
        </w:rPr>
        <w:t>）</w:t>
        <w:tab/>
        <w:t>公司于</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20</w:t>
      </w:r>
      <w:r>
        <w:rPr>
          <w:color w:val="000000"/>
          <w:spacing w:val="0"/>
          <w:w w:val="100"/>
          <w:position w:val="0"/>
        </w:rPr>
        <w:t>日召开第七届董事会第十九次会议、第七届监事会第四次会议审议通过了《关于公司以集中竞 价交易方式回购公司股份的议案》，使用自有资金以集中竞价方式回购公司股份，回购的公司股份拟用于股权激励或员工持 股计划，回购价格不超过人民币</w:t>
      </w:r>
      <w:r>
        <w:rPr>
          <w:rFonts w:ascii="Times New Roman" w:eastAsia="Times New Roman" w:hAnsi="Times New Roman" w:cs="Times New Roman"/>
          <w:color w:val="000000"/>
          <w:spacing w:val="0"/>
          <w:w w:val="100"/>
          <w:position w:val="0"/>
          <w:sz w:val="18"/>
          <w:szCs w:val="18"/>
        </w:rPr>
        <w:t>5.07</w:t>
      </w:r>
      <w:r>
        <w:rPr>
          <w:color w:val="000000"/>
          <w:spacing w:val="0"/>
          <w:w w:val="100"/>
          <w:position w:val="0"/>
        </w:rPr>
        <w:t>元</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股，回购资金总额不低于人民币</w:t>
      </w:r>
      <w:r>
        <w:rPr>
          <w:rFonts w:ascii="Times New Roman" w:eastAsia="Times New Roman" w:hAnsi="Times New Roman" w:cs="Times New Roman"/>
          <w:color w:val="000000"/>
          <w:spacing w:val="0"/>
          <w:w w:val="100"/>
          <w:position w:val="0"/>
          <w:sz w:val="18"/>
          <w:szCs w:val="18"/>
        </w:rPr>
        <w:t>10,000</w:t>
      </w:r>
      <w:r>
        <w:rPr>
          <w:color w:val="000000"/>
          <w:spacing w:val="0"/>
          <w:w w:val="100"/>
          <w:position w:val="0"/>
        </w:rPr>
        <w:t>万元（含</w:t>
      </w:r>
      <w:r>
        <w:rPr>
          <w:rFonts w:ascii="Times New Roman" w:eastAsia="Times New Roman" w:hAnsi="Times New Roman" w:cs="Times New Roman"/>
          <w:color w:val="000000"/>
          <w:spacing w:val="0"/>
          <w:w w:val="100"/>
          <w:position w:val="0"/>
          <w:sz w:val="18"/>
          <w:szCs w:val="18"/>
        </w:rPr>
        <w:t>10,000</w:t>
      </w:r>
      <w:r>
        <w:rPr>
          <w:color w:val="000000"/>
          <w:spacing w:val="0"/>
          <w:w w:val="100"/>
          <w:position w:val="0"/>
        </w:rPr>
        <w:t>万元）且不超过人民币</w:t>
      </w:r>
      <w:r>
        <w:rPr>
          <w:rFonts w:ascii="Times New Roman" w:eastAsia="Times New Roman" w:hAnsi="Times New Roman" w:cs="Times New Roman"/>
          <w:color w:val="000000"/>
          <w:spacing w:val="0"/>
          <w:w w:val="100"/>
          <w:position w:val="0"/>
          <w:sz w:val="18"/>
          <w:szCs w:val="18"/>
        </w:rPr>
        <w:t xml:space="preserve">20,000 </w:t>
      </w:r>
      <w:r>
        <w:rPr>
          <w:color w:val="000000"/>
          <w:spacing w:val="0"/>
          <w:w w:val="100"/>
          <w:position w:val="0"/>
        </w:rPr>
        <w:t>万元（含</w:t>
      </w:r>
      <w:r>
        <w:rPr>
          <w:rFonts w:ascii="Times New Roman" w:eastAsia="Times New Roman" w:hAnsi="Times New Roman" w:cs="Times New Roman"/>
          <w:color w:val="000000"/>
          <w:spacing w:val="0"/>
          <w:w w:val="100"/>
          <w:position w:val="0"/>
          <w:sz w:val="18"/>
          <w:szCs w:val="18"/>
        </w:rPr>
        <w:t>20,000</w:t>
      </w:r>
      <w:r>
        <w:rPr>
          <w:color w:val="000000"/>
          <w:spacing w:val="0"/>
          <w:w w:val="100"/>
          <w:position w:val="0"/>
        </w:rPr>
        <w:t>万元），回购股份期限为董事会审议通过回购股份方案之日起</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个月。具体回购数量以回购期限届满时实际 回购的股份数量为准。</w:t>
      </w:r>
    </w:p>
    <w:p>
      <w:pPr>
        <w:pStyle w:val="Style41"/>
        <w:keepNext w:val="0"/>
        <w:keepLines w:val="0"/>
        <w:widowControl w:val="0"/>
        <w:shd w:val="clear" w:color="auto" w:fill="auto"/>
        <w:bidi w:val="0"/>
        <w:spacing w:before="0" w:after="0" w:line="469" w:lineRule="exact"/>
        <w:ind w:left="0" w:right="0"/>
        <w:jc w:val="both"/>
      </w:pPr>
      <w:r>
        <w:rPr>
          <w:color w:val="000000"/>
          <w:spacing w:val="0"/>
          <w:w w:val="100"/>
          <w:position w:val="0"/>
        </w:rPr>
        <w:t>公司回购股份事项具体内容详见公司分别于</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21</w:t>
      </w:r>
      <w:r>
        <w:rPr>
          <w:color w:val="000000"/>
          <w:spacing w:val="0"/>
          <w:w w:val="100"/>
          <w:position w:val="0"/>
        </w:rPr>
        <w:t>日、</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日在巨潮资讯网披露的《关于以集中竞价交易 方式回购公司股份的方案》（公告编号：</w:t>
      </w:r>
      <w:r>
        <w:rPr>
          <w:rFonts w:ascii="Times New Roman" w:eastAsia="Times New Roman" w:hAnsi="Times New Roman" w:cs="Times New Roman"/>
          <w:color w:val="000000"/>
          <w:spacing w:val="0"/>
          <w:w w:val="100"/>
          <w:position w:val="0"/>
          <w:sz w:val="18"/>
          <w:szCs w:val="18"/>
        </w:rPr>
        <w:t>2020-006</w:t>
      </w:r>
      <w:r>
        <w:rPr>
          <w:color w:val="000000"/>
          <w:spacing w:val="0"/>
          <w:w w:val="100"/>
          <w:position w:val="0"/>
        </w:rPr>
        <w:t>）</w:t>
      </w:r>
      <w:r>
        <w:rPr>
          <w:color w:val="000000"/>
          <w:spacing w:val="0"/>
          <w:w w:val="100"/>
          <w:position w:val="0"/>
        </w:rPr>
        <w:t xml:space="preserve">、《关于以集中竞价交易方式回购公司股份的回购报告书》（公告编号： </w:t>
      </w:r>
      <w:r>
        <w:rPr>
          <w:rFonts w:ascii="Times New Roman" w:eastAsia="Times New Roman" w:hAnsi="Times New Roman" w:cs="Times New Roman"/>
          <w:color w:val="000000"/>
          <w:spacing w:val="0"/>
          <w:w w:val="100"/>
          <w:position w:val="0"/>
          <w:sz w:val="18"/>
          <w:szCs w:val="18"/>
        </w:rPr>
        <w:t>2020-008</w:t>
      </w:r>
      <w:r>
        <w:rPr>
          <w:color w:val="000000"/>
          <w:spacing w:val="0"/>
          <w:w w:val="100"/>
          <w:position w:val="0"/>
        </w:rPr>
        <w:t>）</w:t>
      </w:r>
      <w:r>
        <w:rPr>
          <w:color w:val="000000"/>
          <w:spacing w:val="0"/>
          <w:w w:val="100"/>
          <w:position w:val="0"/>
        </w:rPr>
        <w:t>。截至</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6</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8</w:t>
      </w:r>
      <w:r>
        <w:rPr>
          <w:color w:val="000000"/>
          <w:spacing w:val="0"/>
          <w:w w:val="100"/>
          <w:position w:val="0"/>
        </w:rPr>
        <w:t>日，公司本次股份回购计划已实施完毕。公司累计回购股份数量为</w:t>
      </w:r>
      <w:r>
        <w:rPr>
          <w:rFonts w:ascii="Times New Roman" w:eastAsia="Times New Roman" w:hAnsi="Times New Roman" w:cs="Times New Roman"/>
          <w:color w:val="000000"/>
          <w:spacing w:val="0"/>
          <w:w w:val="100"/>
          <w:position w:val="0"/>
          <w:sz w:val="18"/>
          <w:szCs w:val="18"/>
        </w:rPr>
        <w:t>25,947,942</w:t>
      </w:r>
      <w:r>
        <w:rPr>
          <w:color w:val="000000"/>
          <w:spacing w:val="0"/>
          <w:w w:val="100"/>
          <w:position w:val="0"/>
        </w:rPr>
        <w:t>股，占公司总股 本的</w:t>
      </w:r>
      <w:r>
        <w:rPr>
          <w:rFonts w:ascii="Times New Roman" w:eastAsia="Times New Roman" w:hAnsi="Times New Roman" w:cs="Times New Roman"/>
          <w:color w:val="000000"/>
          <w:spacing w:val="0"/>
          <w:w w:val="100"/>
          <w:position w:val="0"/>
          <w:sz w:val="18"/>
          <w:szCs w:val="18"/>
        </w:rPr>
        <w:t>1.32%</w:t>
      </w:r>
      <w:r>
        <w:rPr>
          <w:color w:val="000000"/>
          <w:spacing w:val="0"/>
          <w:w w:val="100"/>
          <w:position w:val="0"/>
        </w:rPr>
        <w:t>，最高成交价</w:t>
      </w:r>
      <w:r>
        <w:rPr>
          <w:rFonts w:ascii="Times New Roman" w:eastAsia="Times New Roman" w:hAnsi="Times New Roman" w:cs="Times New Roman"/>
          <w:color w:val="000000"/>
          <w:spacing w:val="0"/>
          <w:w w:val="100"/>
          <w:position w:val="0"/>
          <w:sz w:val="18"/>
          <w:szCs w:val="18"/>
        </w:rPr>
        <w:t>4.3</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元</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股，最低成交价为</w:t>
      </w:r>
      <w:r>
        <w:rPr>
          <w:rFonts w:ascii="Times New Roman" w:eastAsia="Times New Roman" w:hAnsi="Times New Roman" w:cs="Times New Roman"/>
          <w:color w:val="000000"/>
          <w:spacing w:val="0"/>
          <w:w w:val="100"/>
          <w:position w:val="0"/>
          <w:sz w:val="18"/>
          <w:szCs w:val="18"/>
        </w:rPr>
        <w:t>3.45</w:t>
      </w:r>
      <w:r>
        <w:rPr>
          <w:color w:val="000000"/>
          <w:spacing w:val="0"/>
          <w:w w:val="100"/>
          <w:position w:val="0"/>
        </w:rPr>
        <w:t>元</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股，支付的总金额为</w:t>
      </w:r>
      <w:r>
        <w:rPr>
          <w:rFonts w:ascii="Times New Roman" w:eastAsia="Times New Roman" w:hAnsi="Times New Roman" w:cs="Times New Roman"/>
          <w:color w:val="000000"/>
          <w:spacing w:val="0"/>
          <w:w w:val="100"/>
          <w:position w:val="0"/>
          <w:sz w:val="18"/>
          <w:szCs w:val="18"/>
        </w:rPr>
        <w:t>100,973,450.64</w:t>
      </w:r>
      <w:r>
        <w:rPr>
          <w:color w:val="000000"/>
          <w:spacing w:val="0"/>
          <w:w w:val="100"/>
          <w:position w:val="0"/>
        </w:rPr>
        <w:t>元（不含交易费用）。</w:t>
      </w:r>
    </w:p>
    <w:p>
      <w:pPr>
        <w:pStyle w:val="Style41"/>
        <w:keepNext w:val="0"/>
        <w:keepLines w:val="0"/>
        <w:widowControl w:val="0"/>
        <w:shd w:val="clear" w:color="auto" w:fill="auto"/>
        <w:tabs>
          <w:tab w:pos="823" w:val="left"/>
        </w:tabs>
        <w:bidi w:val="0"/>
        <w:spacing w:before="0" w:after="220" w:line="469" w:lineRule="exact"/>
        <w:ind w:left="0" w:right="0"/>
        <w:jc w:val="both"/>
        <w:sectPr>
          <w:headerReference w:type="default" r:id="rId195"/>
          <w:footerReference w:type="default" r:id="rId196"/>
          <w:headerReference w:type="even" r:id="rId197"/>
          <w:footerReference w:type="even" r:id="rId198"/>
          <w:headerReference w:type="first" r:id="rId199"/>
          <w:footerReference w:type="first" r:id="rId200"/>
          <w:footnotePr>
            <w:pos w:val="pageBottom"/>
            <w:numFmt w:val="decimal"/>
            <w:numRestart w:val="continuous"/>
          </w:footnotePr>
          <w:pgSz w:w="11904" w:h="17375"/>
          <w:pgMar w:top="1665" w:right="1045" w:bottom="1752" w:left="1077" w:header="0" w:footer="3" w:gutter="0"/>
          <w:cols w:space="720"/>
          <w:noEndnote/>
          <w:titlePg/>
          <w:rtlGutter w:val="0"/>
          <w:docGrid w:linePitch="360"/>
        </w:sectPr>
      </w:pPr>
      <w:bookmarkStart w:id="574" w:name="bookmark574"/>
      <w:r>
        <w:rPr>
          <w:color w:val="000000"/>
          <w:spacing w:val="0"/>
          <w:w w:val="100"/>
          <w:position w:val="0"/>
        </w:rPr>
        <w:t>（</w:t>
      </w:r>
      <w:bookmarkEnd w:id="574"/>
      <w:r>
        <w:rPr>
          <w:rFonts w:ascii="Times New Roman" w:eastAsia="Times New Roman" w:hAnsi="Times New Roman" w:cs="Times New Roman"/>
          <w:color w:val="000000"/>
          <w:spacing w:val="0"/>
          <w:w w:val="100"/>
          <w:position w:val="0"/>
          <w:sz w:val="18"/>
          <w:szCs w:val="18"/>
        </w:rPr>
        <w:t>3</w:t>
      </w:r>
      <w:r>
        <w:rPr>
          <w:color w:val="000000"/>
          <w:spacing w:val="0"/>
          <w:w w:val="100"/>
          <w:position w:val="0"/>
        </w:rPr>
        <w:t>）</w:t>
        <w:tab/>
        <w:t>公司于</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6</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日召开第七届董事会第二十六次会议、第七届监事会第六次会议，</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6</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17</w:t>
      </w:r>
      <w:r>
        <w:rPr>
          <w:color w:val="000000"/>
          <w:spacing w:val="0"/>
          <w:w w:val="100"/>
          <w:position w:val="0"/>
        </w:rPr>
        <w:t>日召开</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年第</w:t>
      </w:r>
    </w:p>
    <w:p>
      <w:pPr>
        <w:pStyle w:val="Style212"/>
        <w:keepNext w:val="0"/>
        <w:keepLines w:val="0"/>
        <w:widowControl w:val="0"/>
        <w:shd w:val="clear" w:color="auto" w:fill="auto"/>
        <w:bidi w:val="0"/>
        <w:spacing w:before="0" w:after="0" w:line="240" w:lineRule="auto"/>
        <w:ind w:left="0" w:right="0" w:firstLine="0"/>
        <w:jc w:val="left"/>
      </w:pPr>
      <w:r>
        <w:rPr>
          <w:spacing w:val="0"/>
          <w:w w:val="100"/>
          <w:position w:val="0"/>
        </w:rPr>
        <w:t>Ultrapoiuer</w:t>
      </w:r>
    </w:p>
    <w:p>
      <w:pPr>
        <w:pStyle w:val="Style41"/>
        <w:keepNext w:val="0"/>
        <w:keepLines w:val="0"/>
        <w:widowControl w:val="0"/>
        <w:shd w:val="clear" w:color="auto" w:fill="auto"/>
        <w:bidi w:val="0"/>
        <w:spacing w:before="0" w:after="0" w:line="468" w:lineRule="exact"/>
        <w:ind w:left="0" w:right="0" w:firstLine="820"/>
        <w:jc w:val="both"/>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 二次临时股东大会审议通过了《关于公司符合非公开发行人民币普通股</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A</w:t>
      </w:r>
      <w:r>
        <w:rPr>
          <w:color w:val="000000"/>
          <w:spacing w:val="0"/>
          <w:w w:val="100"/>
          <w:position w:val="0"/>
        </w:rPr>
        <w:t>股）股票条件的议案》、《关于公司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年度非 公开发行股票方案的议案》等议案，并于</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6</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日在巨潮资讯网披露了《</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年度非公开发行股票预案》等公告。</w:t>
      </w:r>
    </w:p>
    <w:p>
      <w:pPr>
        <w:pStyle w:val="Style41"/>
        <w:keepNext w:val="0"/>
        <w:keepLines w:val="0"/>
        <w:widowControl w:val="0"/>
        <w:shd w:val="clear" w:color="auto" w:fill="auto"/>
        <w:bidi w:val="0"/>
        <w:spacing w:before="0" w:after="0" w:line="468" w:lineRule="exact"/>
        <w:ind w:left="0" w:right="0"/>
        <w:jc w:val="both"/>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7</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日，公司召开第七届董事会第二十七次会议、第七届监事会第七次会议审议通过了《关于调整公司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 度非公开发行股票方案的议案》、《关于修订</w:t>
      </w:r>
      <w:r>
        <w:rPr>
          <w:color w:val="000000"/>
          <w:spacing w:val="0"/>
          <w:w w:val="100"/>
          <w:position w:val="0"/>
          <w:sz w:val="18"/>
          <w:szCs w:val="18"/>
        </w:rPr>
        <w:t>〈</w:t>
      </w:r>
      <w:r>
        <w:rPr>
          <w:color w:val="000000"/>
          <w:spacing w:val="0"/>
          <w:w w:val="100"/>
          <w:position w:val="0"/>
        </w:rPr>
        <w:t>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年度非公开发行股票预案</w:t>
      </w:r>
      <w:r>
        <w:rPr>
          <w:color w:val="000000"/>
          <w:spacing w:val="0"/>
          <w:w w:val="100"/>
          <w:position w:val="0"/>
          <w:sz w:val="18"/>
          <w:szCs w:val="18"/>
        </w:rPr>
        <w:t>〉</w:t>
      </w:r>
      <w:r>
        <w:rPr>
          <w:color w:val="000000"/>
          <w:spacing w:val="0"/>
          <w:w w:val="100"/>
          <w:position w:val="0"/>
        </w:rPr>
        <w:t>的议案》等议案，并于</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7</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11</w:t>
      </w:r>
      <w:r>
        <w:rPr>
          <w:color w:val="000000"/>
          <w:spacing w:val="0"/>
          <w:w w:val="100"/>
          <w:position w:val="0"/>
        </w:rPr>
        <w:t>日在 巨潮资讯网披露了《</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年度非公开发行股票预案（修订稿）》等公告。</w:t>
      </w:r>
    </w:p>
    <w:p>
      <w:pPr>
        <w:pStyle w:val="Style41"/>
        <w:keepNext w:val="0"/>
        <w:keepLines w:val="0"/>
        <w:widowControl w:val="0"/>
        <w:shd w:val="clear" w:color="auto" w:fill="auto"/>
        <w:bidi w:val="0"/>
        <w:spacing w:before="0" w:after="0" w:line="468" w:lineRule="exact"/>
        <w:ind w:left="0" w:right="0"/>
        <w:jc w:val="both"/>
      </w:pPr>
      <w:r>
        <w:rPr>
          <w:color w:val="000000"/>
          <w:spacing w:val="0"/>
          <w:w w:val="100"/>
          <w:position w:val="0"/>
        </w:rPr>
        <w:t>公司于</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8</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14</w:t>
      </w:r>
      <w:r>
        <w:rPr>
          <w:color w:val="000000"/>
          <w:spacing w:val="0"/>
          <w:w w:val="100"/>
          <w:position w:val="0"/>
        </w:rPr>
        <w:t>日收到深圳证券交易所（以下简称</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深交所</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）出具的《关于受理北京神州泰岳软件股份有限公司向 特定对象发行股票申请文件的通知》（深证上审〔</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 xml:space="preserve">〕 </w:t>
      </w:r>
      <w:r>
        <w:rPr>
          <w:rFonts w:ascii="Times New Roman" w:eastAsia="Times New Roman" w:hAnsi="Times New Roman" w:cs="Times New Roman"/>
          <w:color w:val="000000"/>
          <w:spacing w:val="0"/>
          <w:w w:val="100"/>
          <w:position w:val="0"/>
          <w:sz w:val="18"/>
          <w:szCs w:val="18"/>
        </w:rPr>
        <w:t>523</w:t>
      </w:r>
      <w:r>
        <w:rPr>
          <w:color w:val="000000"/>
          <w:spacing w:val="0"/>
          <w:w w:val="100"/>
          <w:position w:val="0"/>
        </w:rPr>
        <w:t>号），并于</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8</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17</w:t>
      </w:r>
      <w:r>
        <w:rPr>
          <w:color w:val="000000"/>
          <w:spacing w:val="0"/>
          <w:w w:val="100"/>
          <w:position w:val="0"/>
        </w:rPr>
        <w:t>日在巨潮资讯网披露了《关于向特定对 象发行股票申请获得深圳证券交易所受理的公告》（公告编号：</w:t>
      </w:r>
      <w:r>
        <w:rPr>
          <w:rFonts w:ascii="Times New Roman" w:eastAsia="Times New Roman" w:hAnsi="Times New Roman" w:cs="Times New Roman"/>
          <w:color w:val="000000"/>
          <w:spacing w:val="0"/>
          <w:w w:val="100"/>
          <w:position w:val="0"/>
          <w:sz w:val="18"/>
          <w:szCs w:val="18"/>
        </w:rPr>
        <w:t>2020-076</w:t>
      </w:r>
      <w:r>
        <w:rPr>
          <w:color w:val="000000"/>
          <w:spacing w:val="0"/>
          <w:w w:val="100"/>
          <w:position w:val="0"/>
        </w:rPr>
        <w:t>）。</w:t>
      </w:r>
    </w:p>
    <w:p>
      <w:pPr>
        <w:pStyle w:val="Style41"/>
        <w:keepNext w:val="0"/>
        <w:keepLines w:val="0"/>
        <w:widowControl w:val="0"/>
        <w:shd w:val="clear" w:color="auto" w:fill="auto"/>
        <w:bidi w:val="0"/>
        <w:spacing w:before="0" w:after="0" w:line="468" w:lineRule="exact"/>
        <w:ind w:left="0" w:right="0"/>
        <w:jc w:val="both"/>
      </w:pPr>
      <w:r>
        <w:rPr>
          <w:color w:val="000000"/>
          <w:spacing w:val="0"/>
          <w:w w:val="100"/>
          <w:position w:val="0"/>
        </w:rPr>
        <w:t>公司于</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9</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日收到深交所出具的《关于北京神州泰岳软件股份有限公司申请向特定对象发行股票的审核问询函》</w:t>
      </w:r>
    </w:p>
    <w:p>
      <w:pPr>
        <w:pStyle w:val="Style41"/>
        <w:keepNext w:val="0"/>
        <w:keepLines w:val="0"/>
        <w:widowControl w:val="0"/>
        <w:shd w:val="clear" w:color="auto" w:fill="auto"/>
        <w:bidi w:val="0"/>
        <w:spacing w:before="0" w:after="0" w:line="468" w:lineRule="exact"/>
        <w:ind w:left="0" w:right="0" w:firstLine="0"/>
        <w:jc w:val="both"/>
      </w:pPr>
      <w:r>
        <w:rPr>
          <w:color w:val="000000"/>
          <w:spacing w:val="0"/>
          <w:w w:val="100"/>
          <w:position w:val="0"/>
        </w:rPr>
        <w:t>（审核函〔</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020172</w:t>
      </w:r>
      <w:r>
        <w:rPr>
          <w:color w:val="000000"/>
          <w:spacing w:val="0"/>
          <w:w w:val="100"/>
          <w:position w:val="0"/>
        </w:rPr>
        <w:t>号），</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9</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18</w:t>
      </w:r>
      <w:r>
        <w:rPr>
          <w:color w:val="000000"/>
          <w:spacing w:val="0"/>
          <w:w w:val="100"/>
          <w:position w:val="0"/>
        </w:rPr>
        <w:t>日，公司召开第七届董事会第三十三次会议、第七届监事会第九次会议审议通 过了《关于调整公司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年度向特定对象发行股票方案的议案》、《关于</w:t>
      </w:r>
      <w:r>
        <w:rPr>
          <w:color w:val="000000"/>
          <w:spacing w:val="0"/>
          <w:w w:val="100"/>
          <w:position w:val="0"/>
          <w:sz w:val="18"/>
          <w:szCs w:val="18"/>
        </w:rPr>
        <w:t>〈</w:t>
      </w:r>
      <w:r>
        <w:rPr>
          <w:color w:val="000000"/>
          <w:spacing w:val="0"/>
          <w:w w:val="100"/>
          <w:position w:val="0"/>
        </w:rPr>
        <w:t>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年度向特定对象发行股票预案（二次修 订稿）</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的议案》等议案，并于</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9</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19</w:t>
      </w:r>
      <w:r>
        <w:rPr>
          <w:color w:val="000000"/>
          <w:spacing w:val="0"/>
          <w:w w:val="100"/>
          <w:position w:val="0"/>
        </w:rPr>
        <w:t>日在巨潮资讯网披露了《</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年度向特定对象发行股票预案（二次修订稿）》 等公告，公司于</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30</w:t>
      </w:r>
      <w:r>
        <w:rPr>
          <w:color w:val="000000"/>
          <w:spacing w:val="0"/>
          <w:w w:val="100"/>
          <w:position w:val="0"/>
        </w:rPr>
        <w:t>日收到深交所出具的《关于北京神州泰岳软件股份有限公司申请向特定对象发行股票的第二轮 审核问询函》（审核函〔</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020284</w:t>
      </w:r>
      <w:r>
        <w:rPr>
          <w:color w:val="000000"/>
          <w:spacing w:val="0"/>
          <w:w w:val="100"/>
          <w:position w:val="0"/>
        </w:rPr>
        <w:t>号），公司会同相关中介机构对审核问询函所列问题进行了认真研究，并按要求进行 了说明和回复。</w:t>
      </w:r>
    </w:p>
    <w:p>
      <w:pPr>
        <w:pStyle w:val="Style41"/>
        <w:keepNext w:val="0"/>
        <w:keepLines w:val="0"/>
        <w:widowControl w:val="0"/>
        <w:shd w:val="clear" w:color="auto" w:fill="auto"/>
        <w:bidi w:val="0"/>
        <w:spacing w:before="0" w:after="0" w:line="468" w:lineRule="exact"/>
        <w:ind w:left="0" w:right="0"/>
        <w:jc w:val="both"/>
      </w:pPr>
      <w:r>
        <w:rPr>
          <w:rFonts w:ascii="Times New Roman" w:eastAsia="Times New Roman" w:hAnsi="Times New Roman" w:cs="Times New Roman"/>
          <w:color w:val="000000"/>
          <w:spacing w:val="0"/>
          <w:w w:val="100"/>
          <w:position w:val="0"/>
          <w:sz w:val="18"/>
          <w:szCs w:val="18"/>
        </w:rPr>
        <w:t>2021</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日，公司向深交所申请中止审核向特定对象发行股票申请文件，因公司参股公司北京创董创新实业有限公司</w:t>
      </w:r>
    </w:p>
    <w:p>
      <w:pPr>
        <w:pStyle w:val="Style41"/>
        <w:keepNext w:val="0"/>
        <w:keepLines w:val="0"/>
        <w:widowControl w:val="0"/>
        <w:shd w:val="clear" w:color="auto" w:fill="auto"/>
        <w:bidi w:val="0"/>
        <w:spacing w:before="0" w:after="0" w:line="468" w:lineRule="exact"/>
        <w:ind w:left="0" w:right="0" w:firstLine="0"/>
        <w:jc w:val="both"/>
      </w:pPr>
      <w:r>
        <w:rPr>
          <w:color w:val="000000"/>
          <w:spacing w:val="0"/>
          <w:w w:val="100"/>
          <w:position w:val="0"/>
        </w:rPr>
        <w:t>（以下简称</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创董创新</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）具有房地产开发资质，公司间接持有创董创新</w:t>
      </w:r>
      <w:r>
        <w:rPr>
          <w:rFonts w:ascii="Times New Roman" w:eastAsia="Times New Roman" w:hAnsi="Times New Roman" w:cs="Times New Roman"/>
          <w:color w:val="000000"/>
          <w:spacing w:val="0"/>
          <w:w w:val="100"/>
          <w:position w:val="0"/>
          <w:sz w:val="18"/>
          <w:szCs w:val="18"/>
        </w:rPr>
        <w:t>15.00%</w:t>
      </w:r>
      <w:r>
        <w:rPr>
          <w:color w:val="000000"/>
          <w:spacing w:val="0"/>
          <w:w w:val="100"/>
          <w:position w:val="0"/>
        </w:rPr>
        <w:t>的股权，公司拟转让持有的创董创新的全部股 权，公司经与相关中介机构审慎研究，决定申请中止审核本次向特定对象发行股票申请事项，并计划于三个月内完成前述股 权转让事项，拟待完成前述股权转让事项后，继续推进本次向特定对象发行股票的相关工作。</w:t>
      </w:r>
      <w:r>
        <w:rPr>
          <w:rFonts w:ascii="Times New Roman" w:eastAsia="Times New Roman" w:hAnsi="Times New Roman" w:cs="Times New Roman"/>
          <w:color w:val="000000"/>
          <w:spacing w:val="0"/>
          <w:w w:val="100"/>
          <w:position w:val="0"/>
          <w:sz w:val="18"/>
          <w:szCs w:val="18"/>
        </w:rPr>
        <w:t>2021</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4</w:t>
      </w:r>
      <w:r>
        <w:rPr>
          <w:color w:val="000000"/>
          <w:spacing w:val="0"/>
          <w:w w:val="100"/>
          <w:position w:val="0"/>
        </w:rPr>
        <w:t>日，公司收到深交 所同意中止审核的回复。</w:t>
      </w:r>
    </w:p>
    <w:p>
      <w:pPr>
        <w:pStyle w:val="Style41"/>
        <w:keepNext w:val="0"/>
        <w:keepLines w:val="0"/>
        <w:widowControl w:val="0"/>
        <w:shd w:val="clear" w:color="auto" w:fill="auto"/>
        <w:bidi w:val="0"/>
        <w:spacing w:before="0" w:after="0" w:line="468" w:lineRule="exact"/>
        <w:ind w:left="0" w:right="0"/>
        <w:jc w:val="both"/>
      </w:pPr>
      <w:r>
        <w:rPr>
          <w:rFonts w:ascii="Times New Roman" w:eastAsia="Times New Roman" w:hAnsi="Times New Roman" w:cs="Times New Roman"/>
          <w:color w:val="000000"/>
          <w:spacing w:val="0"/>
          <w:w w:val="100"/>
          <w:position w:val="0"/>
          <w:sz w:val="18"/>
          <w:szCs w:val="18"/>
        </w:rPr>
        <w:t>2021</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4</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19</w:t>
      </w:r>
      <w:r>
        <w:rPr>
          <w:color w:val="000000"/>
          <w:spacing w:val="0"/>
          <w:w w:val="100"/>
          <w:position w:val="0"/>
        </w:rPr>
        <w:t>日召开了第七届董事会第四十四次会议、第七届监事会第十三次会议审议通过了《关于终止向特定对象发 行股票事项并撤回申请文件的议案》，综合考虑资本市场环境的变化，并结合公司实际情况、发展规划、自身融资需求等因 素，公司决定终止本次向特定对象发行股票事项，并向深交所申请撤回相关申请文件。具体内容详见公司于</w:t>
      </w:r>
      <w:r>
        <w:rPr>
          <w:rFonts w:ascii="Times New Roman" w:eastAsia="Times New Roman" w:hAnsi="Times New Roman" w:cs="Times New Roman"/>
          <w:color w:val="000000"/>
          <w:spacing w:val="0"/>
          <w:w w:val="100"/>
          <w:position w:val="0"/>
          <w:sz w:val="18"/>
          <w:szCs w:val="18"/>
        </w:rPr>
        <w:t>2021</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4</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19</w:t>
      </w:r>
      <w:r>
        <w:rPr>
          <w:color w:val="000000"/>
          <w:spacing w:val="0"/>
          <w:w w:val="100"/>
          <w:position w:val="0"/>
        </w:rPr>
        <w:t>日 在巨潮资讯网披露的相关公告。</w:t>
      </w:r>
    </w:p>
    <w:p>
      <w:pPr>
        <w:pStyle w:val="Style41"/>
        <w:keepNext w:val="0"/>
        <w:keepLines w:val="0"/>
        <w:widowControl w:val="0"/>
        <w:shd w:val="clear" w:color="auto" w:fill="auto"/>
        <w:bidi w:val="0"/>
        <w:spacing w:before="0" w:after="0" w:line="468" w:lineRule="exact"/>
        <w:ind w:left="0" w:right="0"/>
        <w:jc w:val="both"/>
      </w:pPr>
      <w:r>
        <w:rPr>
          <w:rFonts w:ascii="Times New Roman" w:eastAsia="Times New Roman" w:hAnsi="Times New Roman" w:cs="Times New Roman"/>
          <w:color w:val="000000"/>
          <w:spacing w:val="0"/>
          <w:w w:val="100"/>
          <w:position w:val="0"/>
          <w:sz w:val="18"/>
          <w:szCs w:val="18"/>
        </w:rPr>
        <w:t>2021</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4</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21</w:t>
      </w:r>
      <w:r>
        <w:rPr>
          <w:color w:val="000000"/>
          <w:spacing w:val="0"/>
          <w:w w:val="100"/>
          <w:position w:val="0"/>
        </w:rPr>
        <w:t>日，公司收到深交所出具的《关于终止对北京神州泰岳软件股份有限公司申请向特定对象发行股票审核的 决定》（深证上审〔</w:t>
      </w:r>
      <w:r>
        <w:rPr>
          <w:rFonts w:ascii="Times New Roman" w:eastAsia="Times New Roman" w:hAnsi="Times New Roman" w:cs="Times New Roman"/>
          <w:color w:val="000000"/>
          <w:spacing w:val="0"/>
          <w:w w:val="100"/>
          <w:position w:val="0"/>
          <w:sz w:val="18"/>
          <w:szCs w:val="18"/>
        </w:rPr>
        <w:t>2021</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130</w:t>
      </w:r>
      <w:r>
        <w:rPr>
          <w:color w:val="000000"/>
          <w:spacing w:val="0"/>
          <w:w w:val="100"/>
          <w:position w:val="0"/>
        </w:rPr>
        <w:t>号）。深交所根据《深圳证券交易所创业板上市公司证券发行上市审核规则》第十九条、《深 圳证券交易所创业板股票发行上市审核规则》第六十七条的有关规定，决定终止对公司申请向特定对象发行股票的审核。具 体内容详见公司于</w:t>
      </w:r>
      <w:r>
        <w:rPr>
          <w:rFonts w:ascii="Times New Roman" w:eastAsia="Times New Roman" w:hAnsi="Times New Roman" w:cs="Times New Roman"/>
          <w:color w:val="000000"/>
          <w:spacing w:val="0"/>
          <w:w w:val="100"/>
          <w:position w:val="0"/>
          <w:sz w:val="18"/>
          <w:szCs w:val="18"/>
        </w:rPr>
        <w:t>2021</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4</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21</w:t>
      </w:r>
      <w:r>
        <w:rPr>
          <w:color w:val="000000"/>
          <w:spacing w:val="0"/>
          <w:w w:val="100"/>
          <w:position w:val="0"/>
        </w:rPr>
        <w:t>日在巨潮资讯网披露的相关公告。</w:t>
      </w:r>
    </w:p>
    <w:p>
      <w:pPr>
        <w:pStyle w:val="Style41"/>
        <w:keepNext w:val="0"/>
        <w:keepLines w:val="0"/>
        <w:widowControl w:val="0"/>
        <w:shd w:val="clear" w:color="auto" w:fill="auto"/>
        <w:bidi w:val="0"/>
        <w:spacing w:before="0" w:after="0" w:line="468" w:lineRule="exact"/>
        <w:ind w:left="0" w:right="0"/>
        <w:jc w:val="both"/>
      </w:pPr>
      <w:bookmarkStart w:id="575" w:name="bookmark575"/>
      <w:r>
        <w:rPr>
          <w:color w:val="000000"/>
          <w:spacing w:val="0"/>
          <w:w w:val="100"/>
          <w:position w:val="0"/>
        </w:rPr>
        <w:t>（</w:t>
      </w:r>
      <w:bookmarkEnd w:id="575"/>
      <w:r>
        <w:rPr>
          <w:rFonts w:ascii="Times New Roman" w:eastAsia="Times New Roman" w:hAnsi="Times New Roman" w:cs="Times New Roman"/>
          <w:color w:val="000000"/>
          <w:spacing w:val="0"/>
          <w:w w:val="100"/>
          <w:position w:val="0"/>
          <w:sz w:val="18"/>
          <w:szCs w:val="18"/>
        </w:rPr>
        <w:t>4</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6</w:t>
      </w:r>
      <w:r>
        <w:rPr>
          <w:color w:val="000000"/>
          <w:spacing w:val="0"/>
          <w:w w:val="100"/>
          <w:position w:val="0"/>
        </w:rPr>
        <w:t>月，公司北京蓝色光标数据科技股份有限公司签署了《战略合作协议》，双方在</w:t>
      </w:r>
      <w:r>
        <w:rPr>
          <w:rFonts w:ascii="Times New Roman" w:eastAsia="Times New Roman" w:hAnsi="Times New Roman" w:cs="Times New Roman"/>
          <w:color w:val="000000"/>
          <w:spacing w:val="0"/>
          <w:w w:val="100"/>
          <w:position w:val="0"/>
          <w:sz w:val="18"/>
          <w:szCs w:val="18"/>
        </w:rPr>
        <w:t>5G</w:t>
      </w:r>
      <w:r>
        <w:rPr>
          <w:color w:val="000000"/>
          <w:spacing w:val="0"/>
          <w:w w:val="100"/>
          <w:position w:val="0"/>
        </w:rPr>
        <w:t>消息业务方面达成战 略合作。具体内容详见公司于</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9</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30</w:t>
      </w:r>
      <w:r>
        <w:rPr>
          <w:color w:val="000000"/>
          <w:spacing w:val="0"/>
          <w:w w:val="100"/>
          <w:position w:val="0"/>
        </w:rPr>
        <w:t>日在巨潮资讯网披露的《关于与蓝色光标签署战略合作协议的公告》（公告编号：</w:t>
      </w:r>
    </w:p>
    <w:p>
      <w:pPr>
        <w:pStyle w:val="Style212"/>
        <w:keepNext w:val="0"/>
        <w:keepLines w:val="0"/>
        <w:widowControl w:val="0"/>
        <w:shd w:val="clear" w:color="auto" w:fill="auto"/>
        <w:bidi w:val="0"/>
        <w:spacing w:before="0" w:after="0" w:line="240" w:lineRule="auto"/>
        <w:ind w:left="0" w:right="0" w:firstLine="0"/>
        <w:jc w:val="left"/>
      </w:pPr>
      <w:r>
        <w:rPr>
          <w:spacing w:val="0"/>
          <w:w w:val="100"/>
          <w:position w:val="0"/>
        </w:rPr>
        <w:t>Ultrapoiuer</w:t>
      </w:r>
    </w:p>
    <w:p>
      <w:pPr>
        <w:pStyle w:val="Style41"/>
        <w:keepNext w:val="0"/>
        <w:keepLines w:val="0"/>
        <w:widowControl w:val="0"/>
        <w:pBdr>
          <w:top w:val="single" w:sz="4" w:space="0" w:color="auto"/>
        </w:pBdr>
        <w:shd w:val="clear" w:color="auto" w:fill="auto"/>
        <w:bidi w:val="0"/>
        <w:spacing w:before="0" w:after="0" w:line="442" w:lineRule="exact"/>
        <w:ind w:left="0" w:right="0" w:firstLine="820"/>
        <w:jc w:val="both"/>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 xml:space="preserve">年年度报告全文 </w:t>
      </w:r>
      <w:r>
        <w:rPr>
          <w:rFonts w:ascii="Times New Roman" w:eastAsia="Times New Roman" w:hAnsi="Times New Roman" w:cs="Times New Roman"/>
          <w:color w:val="000000"/>
          <w:spacing w:val="0"/>
          <w:w w:val="100"/>
          <w:position w:val="0"/>
          <w:sz w:val="18"/>
          <w:szCs w:val="18"/>
        </w:rPr>
        <w:t xml:space="preserve">2020-062 </w:t>
      </w:r>
      <w:r>
        <w:rPr>
          <w:color w:val="000000"/>
          <w:spacing w:val="0"/>
          <w:w w:val="100"/>
          <w:position w:val="0"/>
        </w:rPr>
        <w:t>）。截至目前，双方合作正常履行中。</w:t>
      </w:r>
    </w:p>
    <w:p>
      <w:pPr>
        <w:pStyle w:val="Style41"/>
        <w:keepNext w:val="0"/>
        <w:keepLines w:val="0"/>
        <w:widowControl w:val="0"/>
        <w:shd w:val="clear" w:color="auto" w:fill="auto"/>
        <w:bidi w:val="0"/>
        <w:spacing w:before="0" w:after="440" w:line="480" w:lineRule="exact"/>
        <w:ind w:left="0" w:right="0"/>
        <w:jc w:val="both"/>
      </w:pPr>
      <w:bookmarkStart w:id="576" w:name="bookmark576"/>
      <w:r>
        <w:rPr>
          <w:color w:val="000000"/>
          <w:spacing w:val="0"/>
          <w:w w:val="100"/>
          <w:position w:val="0"/>
        </w:rPr>
        <w:t>（</w:t>
      </w:r>
      <w:bookmarkEnd w:id="576"/>
      <w:r>
        <w:rPr>
          <w:rFonts w:ascii="Times New Roman" w:eastAsia="Times New Roman" w:hAnsi="Times New Roman" w:cs="Times New Roman"/>
          <w:color w:val="000000"/>
          <w:spacing w:val="0"/>
          <w:w w:val="100"/>
          <w:position w:val="0"/>
          <w:sz w:val="18"/>
          <w:szCs w:val="18"/>
        </w:rPr>
        <w:t>5</w:t>
      </w:r>
      <w:r>
        <w:rPr>
          <w:color w:val="000000"/>
          <w:spacing w:val="0"/>
          <w:w w:val="100"/>
          <w:position w:val="0"/>
        </w:rPr>
        <w:t>）报告期内，公司注册地址工商变更手续已办理完成，并取得了换发的《营业执照》。</w:t>
      </w:r>
      <w:r>
        <w:rPr>
          <w:rFonts w:ascii="Times New Roman" w:eastAsia="Times New Roman" w:hAnsi="Times New Roman" w:cs="Times New Roman"/>
          <w:color w:val="000000"/>
          <w:spacing w:val="0"/>
          <w:w w:val="100"/>
          <w:position w:val="0"/>
          <w:sz w:val="18"/>
          <w:szCs w:val="18"/>
        </w:rPr>
        <w:t>2021</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日，公司完成了 法定代表人的工商变更登记手续，公司的法定代表人已变更登记为冒大卫先生并取得了换发的《营业执照》。</w:t>
      </w:r>
    </w:p>
    <w:p>
      <w:pPr>
        <w:pStyle w:val="Style39"/>
        <w:keepNext/>
        <w:keepLines/>
        <w:widowControl w:val="0"/>
        <w:shd w:val="clear" w:color="auto" w:fill="auto"/>
        <w:bidi w:val="0"/>
        <w:spacing w:before="0" w:after="440" w:line="240" w:lineRule="auto"/>
        <w:ind w:left="0" w:right="0" w:firstLine="0"/>
        <w:jc w:val="left"/>
      </w:pPr>
      <w:bookmarkStart w:id="577" w:name="bookmark577"/>
      <w:bookmarkStart w:id="578" w:name="bookmark578"/>
      <w:bookmarkStart w:id="579" w:name="bookmark579"/>
      <w:r>
        <w:rPr>
          <w:color w:val="000000"/>
          <w:spacing w:val="0"/>
          <w:w w:val="100"/>
          <w:position w:val="0"/>
          <w:sz w:val="24"/>
          <w:szCs w:val="24"/>
        </w:rPr>
        <w:t>十九、公司子公司重大事项</w:t>
      </w:r>
      <w:bookmarkEnd w:id="577"/>
      <w:bookmarkEnd w:id="578"/>
      <w:bookmarkEnd w:id="579"/>
    </w:p>
    <w:p>
      <w:pPr>
        <w:pStyle w:val="Style41"/>
        <w:keepNext w:val="0"/>
        <w:keepLines w:val="0"/>
        <w:widowControl w:val="0"/>
        <w:shd w:val="clear" w:color="auto" w:fill="auto"/>
        <w:bidi w:val="0"/>
        <w:spacing w:before="0" w:after="0" w:line="545" w:lineRule="auto"/>
        <w:ind w:left="0" w:right="0" w:firstLine="0"/>
        <w:jc w:val="left"/>
      </w:pPr>
      <w:r>
        <w:rPr>
          <w:rFonts w:ascii="Times New Roman" w:eastAsia="Times New Roman" w:hAnsi="Times New Roman" w:cs="Times New Roman"/>
          <w:b/>
          <w:bCs/>
          <w:color w:val="000000"/>
          <w:spacing w:val="0"/>
          <w:w w:val="100"/>
          <w:position w:val="0"/>
          <w:sz w:val="18"/>
          <w:szCs w:val="18"/>
        </w:rPr>
        <w:t>V</w:t>
      </w:r>
      <w:r>
        <w:rPr>
          <w:b/>
          <w:bCs/>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41"/>
        <w:keepNext w:val="0"/>
        <w:keepLines w:val="0"/>
        <w:widowControl w:val="0"/>
        <w:shd w:val="clear" w:color="auto" w:fill="auto"/>
        <w:tabs>
          <w:tab w:pos="841" w:val="left"/>
        </w:tabs>
        <w:bidi w:val="0"/>
        <w:spacing w:before="0" w:after="0" w:line="470" w:lineRule="exact"/>
        <w:ind w:left="0" w:right="0"/>
        <w:jc w:val="both"/>
      </w:pPr>
      <w:bookmarkStart w:id="580" w:name="bookmark580"/>
      <w:r>
        <w:rPr>
          <w:color w:val="000000"/>
          <w:spacing w:val="0"/>
          <w:w w:val="100"/>
          <w:position w:val="0"/>
        </w:rPr>
        <w:t>（</w:t>
      </w:r>
      <w:bookmarkEnd w:id="580"/>
      <w:r>
        <w:rPr>
          <w:rFonts w:ascii="Times New Roman" w:eastAsia="Times New Roman" w:hAnsi="Times New Roman" w:cs="Times New Roman"/>
          <w:color w:val="000000"/>
          <w:spacing w:val="0"/>
          <w:w w:val="100"/>
          <w:position w:val="0"/>
          <w:sz w:val="18"/>
          <w:szCs w:val="18"/>
        </w:rPr>
        <w:t>1</w:t>
      </w:r>
      <w:r>
        <w:rPr>
          <w:color w:val="000000"/>
          <w:spacing w:val="0"/>
          <w:w w:val="100"/>
          <w:position w:val="0"/>
        </w:rPr>
        <w:t>）</w:t>
        <w:tab/>
        <w:t>报告期内，据公司整体统筹安排，部分子公司及其控股子公司的注册地进行了相应调整，并已完成相关工商变更 手续。</w:t>
      </w:r>
    </w:p>
    <w:p>
      <w:pPr>
        <w:pStyle w:val="Style41"/>
        <w:keepNext w:val="0"/>
        <w:keepLines w:val="0"/>
        <w:widowControl w:val="0"/>
        <w:shd w:val="clear" w:color="auto" w:fill="auto"/>
        <w:tabs>
          <w:tab w:pos="841" w:val="left"/>
        </w:tabs>
        <w:bidi w:val="0"/>
        <w:spacing w:before="0" w:after="0" w:line="470" w:lineRule="exact"/>
        <w:ind w:left="0" w:right="0"/>
        <w:jc w:val="both"/>
      </w:pPr>
      <w:bookmarkStart w:id="581" w:name="bookmark581"/>
      <w:r>
        <w:rPr>
          <w:color w:val="000000"/>
          <w:spacing w:val="0"/>
          <w:w w:val="100"/>
          <w:position w:val="0"/>
        </w:rPr>
        <w:t>（</w:t>
      </w:r>
      <w:bookmarkEnd w:id="581"/>
      <w:r>
        <w:rPr>
          <w:rFonts w:ascii="Times New Roman" w:eastAsia="Times New Roman" w:hAnsi="Times New Roman" w:cs="Times New Roman"/>
          <w:color w:val="000000"/>
          <w:spacing w:val="0"/>
          <w:w w:val="100"/>
          <w:position w:val="0"/>
          <w:sz w:val="18"/>
          <w:szCs w:val="18"/>
        </w:rPr>
        <w:t>2</w:t>
      </w:r>
      <w:r>
        <w:rPr>
          <w:color w:val="000000"/>
          <w:spacing w:val="0"/>
          <w:w w:val="100"/>
          <w:position w:val="0"/>
        </w:rPr>
        <w:t>）</w:t>
        <w:tab/>
        <w:t>为加强业务转型力度，进一步聚焦核心业务，公司以鼎富智能科技有限公司（原名为：中科鼎富（北京）科技发 展有限公司）为载体，对人工智能相关的技术、产品、业务、团队等进行整合，完善产业布局，并在此基础上努力促进公司 战略投资的引入，以便于更深入、更有效地推进人工智能</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大数据业务的发展。截至目前，已引入安徽省智能语音及人工智 能创业投资合伙企业（有限合伙）、南京中金启泓投资基金合伙企业（有限合伙）两家战略投资者，合计认缴出资金额</w:t>
      </w:r>
      <w:r>
        <w:rPr>
          <w:rFonts w:ascii="Times New Roman" w:eastAsia="Times New Roman" w:hAnsi="Times New Roman" w:cs="Times New Roman"/>
          <w:color w:val="000000"/>
          <w:spacing w:val="0"/>
          <w:w w:val="100"/>
          <w:position w:val="0"/>
          <w:sz w:val="18"/>
          <w:szCs w:val="18"/>
        </w:rPr>
        <w:t xml:space="preserve">1.5 </w:t>
      </w:r>
      <w:r>
        <w:rPr>
          <w:color w:val="000000"/>
          <w:spacing w:val="0"/>
          <w:w w:val="100"/>
          <w:position w:val="0"/>
        </w:rPr>
        <w:t>亿元，股东登记的工商变更工作已完成，并已完成迁址到合肥高新技术产业开发区的工作。</w:t>
      </w:r>
    </w:p>
    <w:p>
      <w:pPr>
        <w:pStyle w:val="Style41"/>
        <w:keepNext w:val="0"/>
        <w:keepLines w:val="0"/>
        <w:widowControl w:val="0"/>
        <w:shd w:val="clear" w:color="auto" w:fill="auto"/>
        <w:tabs>
          <w:tab w:pos="836" w:val="left"/>
        </w:tabs>
        <w:bidi w:val="0"/>
        <w:spacing w:before="0" w:after="0" w:line="470" w:lineRule="exact"/>
        <w:ind w:left="0" w:right="0"/>
        <w:jc w:val="both"/>
      </w:pPr>
      <w:bookmarkStart w:id="582" w:name="bookmark582"/>
      <w:r>
        <w:rPr>
          <w:color w:val="000000"/>
          <w:spacing w:val="0"/>
          <w:w w:val="100"/>
          <w:position w:val="0"/>
        </w:rPr>
        <w:t>（</w:t>
      </w:r>
      <w:bookmarkEnd w:id="582"/>
      <w:r>
        <w:rPr>
          <w:rFonts w:ascii="Times New Roman" w:eastAsia="Times New Roman" w:hAnsi="Times New Roman" w:cs="Times New Roman"/>
          <w:color w:val="000000"/>
          <w:spacing w:val="0"/>
          <w:w w:val="100"/>
          <w:position w:val="0"/>
          <w:sz w:val="18"/>
          <w:szCs w:val="18"/>
        </w:rPr>
        <w:t>3</w:t>
      </w:r>
      <w:r>
        <w:rPr>
          <w:color w:val="000000"/>
          <w:spacing w:val="0"/>
          <w:w w:val="100"/>
          <w:position w:val="0"/>
        </w:rPr>
        <w:t>）</w:t>
        <w:tab/>
        <w:t>因业务发展需要，公司向上海浦东发展银行股份有限公司北京分行申请综合授信，额度为人民币</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亿元，授信期限 为</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年。其中，全资子公司北京新媒传信科技有限公司以其持有的位于北京市朝阳区北苑路甲</w:t>
      </w:r>
      <w:r>
        <w:rPr>
          <w:rFonts w:ascii="Times New Roman" w:eastAsia="Times New Roman" w:hAnsi="Times New Roman" w:cs="Times New Roman"/>
          <w:color w:val="000000"/>
          <w:spacing w:val="0"/>
          <w:w w:val="100"/>
          <w:position w:val="0"/>
          <w:sz w:val="18"/>
          <w:szCs w:val="18"/>
        </w:rPr>
        <w:t>13</w:t>
      </w:r>
      <w:r>
        <w:rPr>
          <w:color w:val="000000"/>
          <w:spacing w:val="0"/>
          <w:w w:val="100"/>
          <w:position w:val="0"/>
        </w:rPr>
        <w:t>号院</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号楼</w:t>
      </w:r>
      <w:r>
        <w:rPr>
          <w:rFonts w:ascii="Times New Roman" w:eastAsia="Times New Roman" w:hAnsi="Times New Roman" w:cs="Times New Roman"/>
          <w:color w:val="000000"/>
          <w:spacing w:val="0"/>
          <w:w w:val="100"/>
          <w:position w:val="0"/>
          <w:sz w:val="18"/>
          <w:szCs w:val="18"/>
        </w:rPr>
        <w:t>15</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16</w:t>
      </w:r>
      <w:r>
        <w:rPr>
          <w:color w:val="000000"/>
          <w:spacing w:val="0"/>
          <w:w w:val="100"/>
          <w:position w:val="0"/>
        </w:rPr>
        <w:t>层房产为本 次授信提供抵押担保，该抵押担保额度为</w:t>
      </w:r>
      <w:r>
        <w:rPr>
          <w:rFonts w:ascii="Times New Roman" w:eastAsia="Times New Roman" w:hAnsi="Times New Roman" w:cs="Times New Roman"/>
          <w:color w:val="000000"/>
          <w:spacing w:val="0"/>
          <w:w w:val="100"/>
          <w:position w:val="0"/>
          <w:sz w:val="18"/>
          <w:szCs w:val="18"/>
        </w:rPr>
        <w:t>1.1</w:t>
      </w:r>
      <w:r>
        <w:rPr>
          <w:color w:val="000000"/>
          <w:spacing w:val="0"/>
          <w:w w:val="100"/>
          <w:position w:val="0"/>
        </w:rPr>
        <w:t>亿元。</w:t>
      </w:r>
    </w:p>
    <w:p>
      <w:pPr>
        <w:pStyle w:val="Style41"/>
        <w:keepNext w:val="0"/>
        <w:keepLines w:val="0"/>
        <w:widowControl w:val="0"/>
        <w:shd w:val="clear" w:color="auto" w:fill="auto"/>
        <w:tabs>
          <w:tab w:pos="850" w:val="left"/>
        </w:tabs>
        <w:bidi w:val="0"/>
        <w:spacing w:before="0" w:after="0" w:line="470" w:lineRule="exact"/>
        <w:ind w:left="0" w:right="0"/>
        <w:jc w:val="both"/>
      </w:pPr>
      <w:bookmarkStart w:id="583" w:name="bookmark583"/>
      <w:r>
        <w:rPr>
          <w:color w:val="000000"/>
          <w:spacing w:val="0"/>
          <w:w w:val="100"/>
          <w:position w:val="0"/>
        </w:rPr>
        <w:t>（</w:t>
      </w:r>
      <w:bookmarkEnd w:id="583"/>
      <w:r>
        <w:rPr>
          <w:rFonts w:ascii="Times New Roman" w:eastAsia="Times New Roman" w:hAnsi="Times New Roman" w:cs="Times New Roman"/>
          <w:color w:val="000000"/>
          <w:spacing w:val="0"/>
          <w:w w:val="100"/>
          <w:position w:val="0"/>
          <w:sz w:val="18"/>
          <w:szCs w:val="18"/>
        </w:rPr>
        <w:t>4</w:t>
      </w:r>
      <w:r>
        <w:rPr>
          <w:color w:val="000000"/>
          <w:spacing w:val="0"/>
          <w:w w:val="100"/>
          <w:position w:val="0"/>
        </w:rPr>
        <w:t>）</w:t>
        <w:tab/>
        <w:t>因北京润佳华商创新投资管理中心（有限合伙）（以下简称</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润佳华商投资中心</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 xml:space="preserve">）经营期限届满，合伙人未达成 延期的有效决议，触发了合伙企业解散的条件，根据《中华人民共和国合伙企业法》、《北京润佳华商创新投资管理中心（有 限合伙）合伙协议》的有关规定，润佳华商投资中心拟依法履行清算程序，清算完毕后润佳华商投资中心予以注销。公司于 </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8</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日收到润佳华商投资中心及其清算人天润资本管理（北京）有限公司出具的《关于北京润佳华商创新投资管理中 心（有限合伙）开始清算事宜的通知》。截至</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年年末公司账面核算时对润佳华商投资中心的投资调整为</w:t>
      </w:r>
      <w:r>
        <w:rPr>
          <w:rFonts w:ascii="Times New Roman" w:eastAsia="Times New Roman" w:hAnsi="Times New Roman" w:cs="Times New Roman"/>
          <w:color w:val="000000"/>
          <w:spacing w:val="0"/>
          <w:w w:val="100"/>
          <w:position w:val="0"/>
          <w:sz w:val="18"/>
          <w:szCs w:val="18"/>
        </w:rPr>
        <w:t>0</w:t>
      </w:r>
      <w:r>
        <w:rPr>
          <w:color w:val="000000"/>
          <w:spacing w:val="0"/>
          <w:w w:val="100"/>
          <w:position w:val="0"/>
        </w:rPr>
        <w:t>。目前该事项 尚处于清算进程中。</w:t>
      </w:r>
    </w:p>
    <w:p>
      <w:pPr>
        <w:pStyle w:val="Style41"/>
        <w:keepNext w:val="0"/>
        <w:keepLines w:val="0"/>
        <w:widowControl w:val="0"/>
        <w:shd w:val="clear" w:color="auto" w:fill="auto"/>
        <w:tabs>
          <w:tab w:pos="841" w:val="left"/>
        </w:tabs>
        <w:bidi w:val="0"/>
        <w:spacing w:before="0" w:after="0" w:line="470" w:lineRule="exact"/>
        <w:ind w:left="0" w:right="0"/>
        <w:jc w:val="both"/>
      </w:pPr>
      <w:bookmarkStart w:id="584" w:name="bookmark584"/>
      <w:r>
        <w:rPr>
          <w:color w:val="000000"/>
          <w:spacing w:val="0"/>
          <w:w w:val="100"/>
          <w:position w:val="0"/>
        </w:rPr>
        <w:t>（</w:t>
      </w:r>
      <w:bookmarkEnd w:id="584"/>
      <w:r>
        <w:rPr>
          <w:rFonts w:ascii="Times New Roman" w:eastAsia="Times New Roman" w:hAnsi="Times New Roman" w:cs="Times New Roman"/>
          <w:color w:val="000000"/>
          <w:spacing w:val="0"/>
          <w:w w:val="100"/>
          <w:position w:val="0"/>
          <w:sz w:val="18"/>
          <w:szCs w:val="18"/>
        </w:rPr>
        <w:t>5</w:t>
      </w:r>
      <w:r>
        <w:rPr>
          <w:color w:val="000000"/>
          <w:spacing w:val="0"/>
          <w:w w:val="100"/>
          <w:position w:val="0"/>
        </w:rPr>
        <w:t>）</w:t>
        <w:tab/>
        <w:t>为更好的利用和整合各方资源，扩大业务规模，提升市场竞争力，公司第七届董事会第二十二次会议、</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年第 一次临时股东大会分别审议通过《关于同意子公司增资并放弃优先认购权的议案》，同意智能数据与投资方签署</w:t>
      </w:r>
      <w:r>
        <w:rPr>
          <w:rFonts w:ascii="Times New Roman" w:eastAsia="Times New Roman" w:hAnsi="Times New Roman" w:cs="Times New Roman"/>
          <w:color w:val="000000"/>
          <w:spacing w:val="0"/>
          <w:w w:val="100"/>
          <w:position w:val="0"/>
          <w:sz w:val="18"/>
          <w:szCs w:val="18"/>
        </w:rPr>
        <w:t>B</w:t>
      </w:r>
      <w:r>
        <w:rPr>
          <w:color w:val="000000"/>
          <w:spacing w:val="0"/>
          <w:w w:val="100"/>
          <w:position w:val="0"/>
        </w:rPr>
        <w:t>轮融资协 议，公司放弃优先认购权。报告期内，智能数据已完成工商变更登记手续并已取得由北京市海淀区市场监督管理局换发的《营 业执照》。公司在合并财务报表中对智能数据股权按照丧失控制权日的公允价值进行重新计量，并采用权益法进行后续核算。 经审计，本次交易对合并报表产生的影响为增加归属于上市公司股东的净利润</w:t>
      </w:r>
      <w:r>
        <w:rPr>
          <w:rFonts w:ascii="Times New Roman" w:eastAsia="Times New Roman" w:hAnsi="Times New Roman" w:cs="Times New Roman"/>
          <w:color w:val="000000"/>
          <w:spacing w:val="0"/>
          <w:w w:val="100"/>
          <w:position w:val="0"/>
          <w:sz w:val="18"/>
          <w:szCs w:val="18"/>
        </w:rPr>
        <w:t>4196.77</w:t>
      </w:r>
      <w:r>
        <w:rPr>
          <w:color w:val="000000"/>
          <w:spacing w:val="0"/>
          <w:w w:val="100"/>
          <w:position w:val="0"/>
        </w:rPr>
        <w:t>万元。具体内容详见公司于</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9</w:t>
      </w:r>
      <w:r>
        <w:rPr>
          <w:color w:val="000000"/>
          <w:spacing w:val="0"/>
          <w:w w:val="100"/>
          <w:position w:val="0"/>
        </w:rPr>
        <w:t xml:space="preserve">月 </w:t>
      </w:r>
      <w:r>
        <w:rPr>
          <w:rFonts w:ascii="Times New Roman" w:eastAsia="Times New Roman" w:hAnsi="Times New Roman" w:cs="Times New Roman"/>
          <w:color w:val="000000"/>
          <w:spacing w:val="0"/>
          <w:w w:val="100"/>
          <w:position w:val="0"/>
          <w:sz w:val="18"/>
          <w:szCs w:val="18"/>
        </w:rPr>
        <w:t>30</w:t>
      </w:r>
      <w:r>
        <w:rPr>
          <w:color w:val="000000"/>
          <w:spacing w:val="0"/>
          <w:w w:val="100"/>
          <w:position w:val="0"/>
        </w:rPr>
        <w:t>日在巨潮资讯网披露的《关于子公司增资扩股事项进展暨完成工商变更的公告》（公告编号：</w:t>
      </w:r>
      <w:r>
        <w:rPr>
          <w:rFonts w:ascii="Times New Roman" w:eastAsia="Times New Roman" w:hAnsi="Times New Roman" w:cs="Times New Roman"/>
          <w:color w:val="000000"/>
          <w:spacing w:val="0"/>
          <w:w w:val="100"/>
          <w:position w:val="0"/>
          <w:sz w:val="18"/>
          <w:szCs w:val="18"/>
        </w:rPr>
        <w:t>2020-096</w:t>
      </w:r>
      <w:r>
        <w:rPr>
          <w:color w:val="000000"/>
          <w:spacing w:val="0"/>
          <w:w w:val="100"/>
          <w:position w:val="0"/>
        </w:rPr>
        <w:t>）。</w:t>
      </w:r>
    </w:p>
    <w:p>
      <w:pPr>
        <w:pStyle w:val="Style41"/>
        <w:keepNext w:val="0"/>
        <w:keepLines w:val="0"/>
        <w:widowControl w:val="0"/>
        <w:shd w:val="clear" w:color="auto" w:fill="auto"/>
        <w:tabs>
          <w:tab w:pos="836" w:val="left"/>
        </w:tabs>
        <w:bidi w:val="0"/>
        <w:spacing w:before="0" w:after="440" w:line="470" w:lineRule="exact"/>
        <w:ind w:left="0" w:right="0"/>
        <w:jc w:val="both"/>
      </w:pPr>
      <w:bookmarkStart w:id="585" w:name="bookmark585"/>
      <w:r>
        <w:rPr>
          <w:color w:val="000000"/>
          <w:spacing w:val="0"/>
          <w:w w:val="100"/>
          <w:position w:val="0"/>
        </w:rPr>
        <w:t>（</w:t>
      </w:r>
      <w:bookmarkEnd w:id="585"/>
      <w:r>
        <w:rPr>
          <w:rFonts w:ascii="Times New Roman" w:eastAsia="Times New Roman" w:hAnsi="Times New Roman" w:cs="Times New Roman"/>
          <w:color w:val="000000"/>
          <w:spacing w:val="0"/>
          <w:w w:val="100"/>
          <w:position w:val="0"/>
          <w:sz w:val="18"/>
          <w:szCs w:val="18"/>
        </w:rPr>
        <w:t>6</w:t>
      </w:r>
      <w:r>
        <w:rPr>
          <w:color w:val="000000"/>
          <w:spacing w:val="0"/>
          <w:w w:val="100"/>
          <w:position w:val="0"/>
        </w:rPr>
        <w:t>）</w:t>
        <w:tab/>
        <w:t>公司全资子公司北京神州泰岳系统集成有限公司（以下简称</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系统集成公司</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）就与大唐电信科技股份有限公司旗 下子公司大唐半导体设计有限公司（以下简称</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大唐半导体</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）、大唐微电子技术有限公司（以下简称</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大唐微电子</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）之间的</w:t>
      </w:r>
    </w:p>
    <w:p>
      <w:pPr>
        <w:pStyle w:val="Style212"/>
        <w:keepNext w:val="0"/>
        <w:keepLines w:val="0"/>
        <w:widowControl w:val="0"/>
        <w:shd w:val="clear" w:color="auto" w:fill="auto"/>
        <w:bidi w:val="0"/>
        <w:spacing w:before="0" w:after="0" w:line="240" w:lineRule="auto"/>
        <w:ind w:left="0" w:right="0" w:firstLine="0"/>
        <w:jc w:val="both"/>
      </w:pPr>
      <w:r>
        <w:rPr>
          <w:spacing w:val="0"/>
          <w:w w:val="100"/>
          <w:position w:val="0"/>
        </w:rPr>
        <w:t>Ultrapoiuer</w:t>
      </w:r>
    </w:p>
    <w:p>
      <w:pPr>
        <w:pStyle w:val="Style41"/>
        <w:keepNext w:val="0"/>
        <w:keepLines w:val="0"/>
        <w:widowControl w:val="0"/>
        <w:shd w:val="clear" w:color="auto" w:fill="auto"/>
        <w:bidi w:val="0"/>
        <w:spacing w:before="0" w:after="0" w:line="459" w:lineRule="exact"/>
        <w:ind w:left="0" w:right="0" w:firstLine="820"/>
        <w:jc w:val="both"/>
        <w:sectPr>
          <w:headerReference w:type="default" r:id="rId201"/>
          <w:footerReference w:type="default" r:id="rId202"/>
          <w:headerReference w:type="even" r:id="rId203"/>
          <w:footerReference w:type="even" r:id="rId204"/>
          <w:footnotePr>
            <w:pos w:val="pageBottom"/>
            <w:numFmt w:val="decimal"/>
            <w:numRestart w:val="continuous"/>
          </w:footnotePr>
          <w:pgSz w:w="11904" w:h="17375"/>
          <w:pgMar w:top="1070" w:right="1020" w:bottom="1533" w:left="1102" w:header="642" w:footer="3" w:gutter="0"/>
          <w:cols w:space="720"/>
          <w:noEndnote/>
          <w:rtlGutter w:val="0"/>
          <w:docGrid w:linePitch="360"/>
        </w:sectPr>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 合同纠纷，再次提请诉讼申请，要求大唐半导体、大唐微电子支付合同款项及相应违约金，合计涉案金额约</w:t>
      </w:r>
      <w:r>
        <w:rPr>
          <w:rFonts w:ascii="Times New Roman" w:eastAsia="Times New Roman" w:hAnsi="Times New Roman" w:cs="Times New Roman"/>
          <w:color w:val="000000"/>
          <w:spacing w:val="0"/>
          <w:w w:val="100"/>
          <w:position w:val="0"/>
          <w:sz w:val="18"/>
          <w:szCs w:val="18"/>
        </w:rPr>
        <w:t>48,277.4</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 xml:space="preserve">万元。 </w:t>
      </w:r>
      <w:r>
        <w:rPr>
          <w:rFonts w:ascii="Times New Roman" w:eastAsia="Times New Roman" w:hAnsi="Times New Roman" w:cs="Times New Roman"/>
          <w:color w:val="000000"/>
          <w:spacing w:val="0"/>
          <w:w w:val="100"/>
          <w:position w:val="0"/>
          <w:sz w:val="18"/>
          <w:szCs w:val="18"/>
        </w:rPr>
        <w:t>2021</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4</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日，公司收到北京市海淀区人民法院（</w:t>
      </w:r>
      <w:r>
        <w:rPr>
          <w:rFonts w:ascii="Times New Roman" w:eastAsia="Times New Roman" w:hAnsi="Times New Roman" w:cs="Times New Roman"/>
          <w:color w:val="000000"/>
          <w:spacing w:val="0"/>
          <w:w w:val="100"/>
          <w:position w:val="0"/>
          <w:sz w:val="18"/>
          <w:szCs w:val="18"/>
        </w:rPr>
        <w:t>2021</w:t>
      </w:r>
      <w:r>
        <w:rPr>
          <w:color w:val="000000"/>
          <w:spacing w:val="0"/>
          <w:w w:val="100"/>
          <w:position w:val="0"/>
        </w:rPr>
        <w:t>）京</w:t>
      </w:r>
      <w:r>
        <w:rPr>
          <w:rFonts w:ascii="Times New Roman" w:eastAsia="Times New Roman" w:hAnsi="Times New Roman" w:cs="Times New Roman"/>
          <w:color w:val="000000"/>
          <w:spacing w:val="0"/>
          <w:w w:val="100"/>
          <w:position w:val="0"/>
          <w:sz w:val="18"/>
          <w:szCs w:val="18"/>
        </w:rPr>
        <w:t>0108</w:t>
      </w:r>
      <w:r>
        <w:rPr>
          <w:color w:val="000000"/>
          <w:spacing w:val="0"/>
          <w:w w:val="100"/>
          <w:position w:val="0"/>
        </w:rPr>
        <w:t>民初</w:t>
      </w:r>
      <w:r>
        <w:rPr>
          <w:rFonts w:ascii="Times New Roman" w:eastAsia="Times New Roman" w:hAnsi="Times New Roman" w:cs="Times New Roman"/>
          <w:color w:val="000000"/>
          <w:spacing w:val="0"/>
          <w:w w:val="100"/>
          <w:position w:val="0"/>
          <w:sz w:val="18"/>
          <w:szCs w:val="18"/>
        </w:rPr>
        <w:t>18303</w:t>
      </w:r>
      <w:r>
        <w:rPr>
          <w:color w:val="000000"/>
          <w:spacing w:val="0"/>
          <w:w w:val="100"/>
          <w:position w:val="0"/>
        </w:rPr>
        <w:t>号、（</w:t>
      </w:r>
      <w:r>
        <w:rPr>
          <w:rFonts w:ascii="Times New Roman" w:eastAsia="Times New Roman" w:hAnsi="Times New Roman" w:cs="Times New Roman"/>
          <w:color w:val="000000"/>
          <w:spacing w:val="0"/>
          <w:w w:val="100"/>
          <w:position w:val="0"/>
          <w:sz w:val="18"/>
          <w:szCs w:val="18"/>
        </w:rPr>
        <w:t>2021</w:t>
      </w:r>
      <w:r>
        <w:rPr>
          <w:color w:val="000000"/>
          <w:spacing w:val="0"/>
          <w:w w:val="100"/>
          <w:position w:val="0"/>
        </w:rPr>
        <w:t>）京</w:t>
      </w:r>
      <w:r>
        <w:rPr>
          <w:rFonts w:ascii="Times New Roman" w:eastAsia="Times New Roman" w:hAnsi="Times New Roman" w:cs="Times New Roman"/>
          <w:color w:val="000000"/>
          <w:spacing w:val="0"/>
          <w:w w:val="100"/>
          <w:position w:val="0"/>
          <w:sz w:val="18"/>
          <w:szCs w:val="18"/>
        </w:rPr>
        <w:t>0108</w:t>
      </w:r>
      <w:r>
        <w:rPr>
          <w:color w:val="000000"/>
          <w:spacing w:val="0"/>
          <w:w w:val="100"/>
          <w:position w:val="0"/>
        </w:rPr>
        <w:t>民初</w:t>
      </w:r>
      <w:r>
        <w:rPr>
          <w:rFonts w:ascii="Times New Roman" w:eastAsia="Times New Roman" w:hAnsi="Times New Roman" w:cs="Times New Roman"/>
          <w:color w:val="000000"/>
          <w:spacing w:val="0"/>
          <w:w w:val="100"/>
          <w:position w:val="0"/>
          <w:sz w:val="18"/>
          <w:szCs w:val="18"/>
        </w:rPr>
        <w:t>18332</w:t>
      </w:r>
      <w:r>
        <w:rPr>
          <w:color w:val="000000"/>
          <w:spacing w:val="0"/>
          <w:w w:val="100"/>
          <w:position w:val="0"/>
        </w:rPr>
        <w:t xml:space="preserve">号等民事裁定书， 裁定驳回系统集成公司的起诉，截至本报告披露日，公司已依法向北京市第一中级人民法院提起上诉。具体内容详见公司于 </w:t>
      </w:r>
      <w:r>
        <w:rPr>
          <w:rFonts w:ascii="Times New Roman" w:eastAsia="Times New Roman" w:hAnsi="Times New Roman" w:cs="Times New Roman"/>
          <w:color w:val="000000"/>
          <w:spacing w:val="0"/>
          <w:w w:val="100"/>
          <w:position w:val="0"/>
          <w:sz w:val="18"/>
          <w:szCs w:val="18"/>
        </w:rPr>
        <w:t>2021</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4</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日在巨潮资讯网披露的《关于全资子公司有关诉讼事项进展的公告》（公告编号：</w:t>
      </w:r>
      <w:r>
        <w:rPr>
          <w:rFonts w:ascii="Times New Roman" w:eastAsia="Times New Roman" w:hAnsi="Times New Roman" w:cs="Times New Roman"/>
          <w:color w:val="000000"/>
          <w:spacing w:val="0"/>
          <w:w w:val="100"/>
          <w:position w:val="0"/>
          <w:sz w:val="18"/>
          <w:szCs w:val="18"/>
        </w:rPr>
        <w:t>2021-021</w:t>
      </w:r>
      <w:r>
        <w:rPr>
          <w:color w:val="000000"/>
          <w:spacing w:val="0"/>
          <w:w w:val="100"/>
          <w:position w:val="0"/>
        </w:rPr>
        <w:t>）</w:t>
      </w:r>
      <w:r>
        <w:rPr>
          <w:color w:val="000000"/>
          <w:spacing w:val="0"/>
          <w:w w:val="100"/>
          <w:position w:val="0"/>
        </w:rPr>
        <w:t>。目前该案件尚 未开庭审理。</w:t>
      </w:r>
    </w:p>
    <w:p>
      <w:pPr>
        <w:pStyle w:val="Style7"/>
        <w:keepNext/>
        <w:keepLines/>
        <w:widowControl w:val="0"/>
        <w:shd w:val="clear" w:color="auto" w:fill="auto"/>
        <w:bidi w:val="0"/>
        <w:spacing w:before="0" w:after="520" w:line="240" w:lineRule="auto"/>
        <w:ind w:left="0" w:right="0" w:firstLine="0"/>
        <w:jc w:val="center"/>
      </w:pPr>
      <w:bookmarkStart w:id="586" w:name="bookmark586"/>
      <w:bookmarkStart w:id="587" w:name="bookmark587"/>
      <w:bookmarkStart w:id="588" w:name="bookmark588"/>
      <w:r>
        <w:rPr>
          <w:color w:val="000000"/>
          <w:spacing w:val="0"/>
          <w:w w:val="100"/>
          <w:position w:val="0"/>
        </w:rPr>
        <w:t>第六节股份变动及股东情况</w:t>
      </w:r>
      <w:bookmarkEnd w:id="586"/>
      <w:bookmarkEnd w:id="587"/>
      <w:bookmarkEnd w:id="588"/>
    </w:p>
    <w:p>
      <w:pPr>
        <w:pStyle w:val="Style39"/>
        <w:keepNext/>
        <w:keepLines/>
        <w:widowControl w:val="0"/>
        <w:shd w:val="clear" w:color="auto" w:fill="auto"/>
        <w:bidi w:val="0"/>
        <w:spacing w:before="0" w:after="360" w:line="240" w:lineRule="auto"/>
        <w:ind w:left="0" w:right="0" w:firstLine="0"/>
        <w:jc w:val="left"/>
      </w:pPr>
      <w:bookmarkStart w:id="589" w:name="bookmark589"/>
      <w:bookmarkStart w:id="590" w:name="bookmark590"/>
      <w:bookmarkStart w:id="591" w:name="bookmark591"/>
      <w:bookmarkStart w:id="592" w:name="bookmark592"/>
      <w:r>
        <w:rPr>
          <w:color w:val="000000"/>
          <w:spacing w:val="0"/>
          <w:w w:val="100"/>
          <w:position w:val="0"/>
          <w:sz w:val="24"/>
          <w:szCs w:val="24"/>
        </w:rPr>
        <w:t>一</w:t>
      </w:r>
      <w:bookmarkEnd w:id="591"/>
      <w:r>
        <w:rPr>
          <w:color w:val="000000"/>
          <w:spacing w:val="0"/>
          <w:w w:val="100"/>
          <w:position w:val="0"/>
          <w:sz w:val="24"/>
          <w:szCs w:val="24"/>
        </w:rPr>
        <w:t>、股份变动情况</w:t>
      </w:r>
      <w:bookmarkEnd w:id="589"/>
      <w:bookmarkEnd w:id="590"/>
      <w:bookmarkEnd w:id="592"/>
    </w:p>
    <w:p>
      <w:pPr>
        <w:pStyle w:val="Style47"/>
        <w:keepNext/>
        <w:keepLines/>
        <w:widowControl w:val="0"/>
        <w:shd w:val="clear" w:color="auto" w:fill="auto"/>
        <w:bidi w:val="0"/>
        <w:spacing w:before="0" w:after="360" w:line="240" w:lineRule="auto"/>
        <w:ind w:left="0" w:right="0" w:firstLine="0"/>
        <w:jc w:val="left"/>
      </w:pPr>
      <w:bookmarkStart w:id="593" w:name="bookmark593"/>
      <w:bookmarkStart w:id="594" w:name="bookmark594"/>
      <w:bookmarkStart w:id="595" w:name="bookmark595"/>
      <w:bookmarkStart w:id="596" w:name="bookmark596"/>
      <w:r>
        <w:rPr>
          <w:color w:val="000000"/>
          <w:spacing w:val="0"/>
          <w:w w:val="100"/>
          <w:position w:val="0"/>
        </w:rPr>
        <w:t>1</w:t>
      </w:r>
      <w:bookmarkEnd w:id="595"/>
      <w:r>
        <w:rPr>
          <w:color w:val="000000"/>
          <w:spacing w:val="0"/>
          <w:w w:val="100"/>
          <w:position w:val="0"/>
        </w:rPr>
        <w:t>、股份变动情况</w:t>
      </w:r>
      <w:bookmarkEnd w:id="593"/>
      <w:bookmarkEnd w:id="594"/>
      <w:bookmarkEnd w:id="596"/>
    </w:p>
    <w:p>
      <w:pPr>
        <w:pStyle w:val="Style20"/>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单位：股</w:t>
      </w:r>
    </w:p>
    <w:tbl>
      <w:tblPr>
        <w:tblOverlap w:val="never"/>
        <w:jc w:val="center"/>
        <w:tblLayout w:type="fixed"/>
      </w:tblPr>
      <w:tblGrid>
        <w:gridCol w:w="2136"/>
        <w:gridCol w:w="1090"/>
        <w:gridCol w:w="778"/>
        <w:gridCol w:w="566"/>
        <w:gridCol w:w="566"/>
        <w:gridCol w:w="658"/>
        <w:gridCol w:w="926"/>
        <w:gridCol w:w="989"/>
        <w:gridCol w:w="1123"/>
        <w:gridCol w:w="878"/>
      </w:tblGrid>
      <w:tr>
        <w:trPr>
          <w:trHeight w:val="408" w:hRule="exact"/>
        </w:trPr>
        <w:tc>
          <w:tcPr>
            <w:vMerge w:val="restart"/>
            <w:tcBorders>
              <w:top w:val="single" w:sz="4"/>
              <w:left w:val="single" w:sz="4"/>
            </w:tcBorders>
            <w:shd w:val="clear" w:color="auto" w:fill="D7D7D7"/>
            <w:vAlign w:val="top"/>
          </w:tcPr>
          <w:p>
            <w:pPr>
              <w:widowControl w:val="0"/>
              <w:rPr>
                <w:sz w:val="10"/>
                <w:szCs w:val="10"/>
              </w:rPr>
            </w:pPr>
          </w:p>
        </w:tc>
        <w:tc>
          <w:tcPr>
            <w:gridSpan w:val="2"/>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本次变动前</w:t>
            </w:r>
          </w:p>
        </w:tc>
        <w:tc>
          <w:tcPr>
            <w:gridSpan w:val="5"/>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本次变动增减</w:t>
            </w:r>
            <w:r>
              <w:rPr>
                <w:color w:val="000000"/>
                <w:spacing w:val="0"/>
                <w:w w:val="100"/>
                <w:position w:val="0"/>
              </w:rPr>
              <w:t>（+,一）</w:t>
            </w:r>
          </w:p>
        </w:tc>
        <w:tc>
          <w:tcPr>
            <w:gridSpan w:val="2"/>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本次变动后</w:t>
            </w:r>
          </w:p>
        </w:tc>
      </w:tr>
      <w:tr>
        <w:trPr>
          <w:trHeight w:val="710" w:hRule="exact"/>
        </w:trPr>
        <w:tc>
          <w:tcPr>
            <w:vMerge/>
            <w:tcBorders>
              <w:left w:val="single" w:sz="4"/>
            </w:tcBorders>
            <w:shd w:val="clear" w:color="auto" w:fill="D7D7D7"/>
            <w:vAlign w:val="top"/>
          </w:tcPr>
          <w:p>
            <w:pP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360"/>
              <w:jc w:val="left"/>
            </w:pPr>
            <w:r>
              <w:rPr>
                <w:color w:val="000000"/>
                <w:spacing w:val="0"/>
                <w:w w:val="100"/>
                <w:position w:val="0"/>
              </w:rPr>
              <w:t>数量</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180"/>
              <w:jc w:val="left"/>
            </w:pPr>
            <w:r>
              <w:rPr>
                <w:color w:val="000000"/>
                <w:spacing w:val="0"/>
                <w:w w:val="100"/>
                <w:position w:val="0"/>
              </w:rPr>
              <w:t>比例</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120" w:line="240" w:lineRule="auto"/>
              <w:ind w:left="0" w:right="0" w:firstLine="0"/>
              <w:jc w:val="right"/>
            </w:pPr>
            <w:r>
              <w:rPr>
                <w:color w:val="000000"/>
                <w:spacing w:val="0"/>
                <w:w w:val="100"/>
                <w:position w:val="0"/>
              </w:rPr>
              <w:t>发行</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新股</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送股</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公积金 转股</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260" w:firstLine="0"/>
              <w:jc w:val="right"/>
            </w:pPr>
            <w:r>
              <w:rPr>
                <w:color w:val="000000"/>
                <w:spacing w:val="0"/>
                <w:w w:val="100"/>
                <w:position w:val="0"/>
              </w:rPr>
              <w:t>其他</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300" w:firstLine="0"/>
              <w:jc w:val="right"/>
            </w:pPr>
            <w:r>
              <w:rPr>
                <w:color w:val="000000"/>
                <w:spacing w:val="0"/>
                <w:w w:val="100"/>
                <w:position w:val="0"/>
              </w:rPr>
              <w:t>小计</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360" w:firstLine="0"/>
              <w:jc w:val="right"/>
            </w:pPr>
            <w:r>
              <w:rPr>
                <w:color w:val="000000"/>
                <w:spacing w:val="0"/>
                <w:w w:val="100"/>
                <w:position w:val="0"/>
              </w:rPr>
              <w:t>数量</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240" w:firstLine="0"/>
              <w:jc w:val="right"/>
            </w:pPr>
            <w:r>
              <w:rPr>
                <w:color w:val="000000"/>
                <w:spacing w:val="0"/>
                <w:w w:val="100"/>
                <w:position w:val="0"/>
              </w:rPr>
              <w:t>比例</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一、有限售条件股份</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both"/>
              <w:rPr>
                <w:sz w:val="18"/>
                <w:szCs w:val="18"/>
              </w:rPr>
            </w:pPr>
            <w:r>
              <w:rPr>
                <w:rFonts w:ascii="Times New Roman" w:eastAsia="Times New Roman" w:hAnsi="Times New Roman" w:cs="Times New Roman"/>
                <w:color w:val="000000"/>
                <w:spacing w:val="0"/>
                <w:w w:val="100"/>
                <w:position w:val="0"/>
                <w:sz w:val="18"/>
                <w:szCs w:val="18"/>
              </w:rPr>
              <w:t>367,350,798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8"/>
                <w:szCs w:val="18"/>
              </w:rPr>
            </w:pPr>
            <w:r>
              <w:rPr>
                <w:rFonts w:ascii="Times New Roman" w:eastAsia="Times New Roman" w:hAnsi="Times New Roman" w:cs="Times New Roman"/>
                <w:color w:val="000000"/>
                <w:spacing w:val="0"/>
                <w:w w:val="100"/>
                <w:position w:val="0"/>
                <w:sz w:val="18"/>
                <w:szCs w:val="18"/>
              </w:rPr>
              <w:t>18.73%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-35,182,793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-35,182,793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both"/>
              <w:rPr>
                <w:sz w:val="18"/>
                <w:szCs w:val="18"/>
              </w:rPr>
            </w:pPr>
            <w:r>
              <w:rPr>
                <w:rFonts w:ascii="Times New Roman" w:eastAsia="Times New Roman" w:hAnsi="Times New Roman" w:cs="Times New Roman"/>
                <w:color w:val="000000"/>
                <w:spacing w:val="0"/>
                <w:w w:val="100"/>
                <w:position w:val="0"/>
                <w:sz w:val="18"/>
                <w:szCs w:val="18"/>
              </w:rPr>
              <w:t>332,168,005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16.94%</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、国家持股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both"/>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、国有法人持股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both"/>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sz w:val="18"/>
                <w:szCs w:val="18"/>
              </w:rPr>
              <w:t>3</w:t>
            </w:r>
            <w:r>
              <w:rPr>
                <w:color w:val="000000"/>
                <w:spacing w:val="0"/>
                <w:w w:val="100"/>
                <w:position w:val="0"/>
              </w:rPr>
              <w:t>、其他内资持股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both"/>
              <w:rPr>
                <w:sz w:val="18"/>
                <w:szCs w:val="18"/>
              </w:rPr>
            </w:pPr>
            <w:r>
              <w:rPr>
                <w:rFonts w:ascii="Times New Roman" w:eastAsia="Times New Roman" w:hAnsi="Times New Roman" w:cs="Times New Roman"/>
                <w:color w:val="000000"/>
                <w:spacing w:val="0"/>
                <w:w w:val="100"/>
                <w:position w:val="0"/>
                <w:sz w:val="18"/>
                <w:szCs w:val="18"/>
              </w:rPr>
              <w:t>367,350,798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8"/>
                <w:szCs w:val="18"/>
              </w:rPr>
            </w:pPr>
            <w:r>
              <w:rPr>
                <w:rFonts w:ascii="Times New Roman" w:eastAsia="Times New Roman" w:hAnsi="Times New Roman" w:cs="Times New Roman"/>
                <w:color w:val="000000"/>
                <w:spacing w:val="0"/>
                <w:w w:val="100"/>
                <w:position w:val="0"/>
                <w:sz w:val="18"/>
                <w:szCs w:val="18"/>
              </w:rPr>
              <w:t>18.73%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-35,182,793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-35,182,793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both"/>
              <w:rPr>
                <w:sz w:val="18"/>
                <w:szCs w:val="18"/>
              </w:rPr>
            </w:pPr>
            <w:r>
              <w:rPr>
                <w:rFonts w:ascii="Times New Roman" w:eastAsia="Times New Roman" w:hAnsi="Times New Roman" w:cs="Times New Roman"/>
                <w:color w:val="000000"/>
                <w:spacing w:val="0"/>
                <w:w w:val="100"/>
                <w:position w:val="0"/>
                <w:sz w:val="18"/>
                <w:szCs w:val="18"/>
              </w:rPr>
              <w:t>332,168,005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16.94%</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其中：境内法人持股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both"/>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740"/>
              <w:jc w:val="left"/>
            </w:pPr>
            <w:r>
              <w:rPr>
                <w:color w:val="000000"/>
                <w:spacing w:val="0"/>
                <w:w w:val="100"/>
                <w:position w:val="0"/>
              </w:rPr>
              <w:t>境内自然人持股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both"/>
              <w:rPr>
                <w:sz w:val="18"/>
                <w:szCs w:val="18"/>
              </w:rPr>
            </w:pPr>
            <w:r>
              <w:rPr>
                <w:rFonts w:ascii="Times New Roman" w:eastAsia="Times New Roman" w:hAnsi="Times New Roman" w:cs="Times New Roman"/>
                <w:color w:val="000000"/>
                <w:spacing w:val="0"/>
                <w:w w:val="100"/>
                <w:position w:val="0"/>
                <w:sz w:val="18"/>
                <w:szCs w:val="18"/>
              </w:rPr>
              <w:t>367,350,798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8"/>
                <w:szCs w:val="18"/>
              </w:rPr>
            </w:pPr>
            <w:r>
              <w:rPr>
                <w:rFonts w:ascii="Times New Roman" w:eastAsia="Times New Roman" w:hAnsi="Times New Roman" w:cs="Times New Roman"/>
                <w:color w:val="000000"/>
                <w:spacing w:val="0"/>
                <w:w w:val="100"/>
                <w:position w:val="0"/>
                <w:sz w:val="18"/>
                <w:szCs w:val="18"/>
              </w:rPr>
              <w:t>18.73%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-35,182,793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-35,182,793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both"/>
              <w:rPr>
                <w:sz w:val="18"/>
                <w:szCs w:val="18"/>
              </w:rPr>
            </w:pPr>
            <w:r>
              <w:rPr>
                <w:rFonts w:ascii="Times New Roman" w:eastAsia="Times New Roman" w:hAnsi="Times New Roman" w:cs="Times New Roman"/>
                <w:color w:val="000000"/>
                <w:spacing w:val="0"/>
                <w:w w:val="100"/>
                <w:position w:val="0"/>
                <w:sz w:val="18"/>
                <w:szCs w:val="18"/>
              </w:rPr>
              <w:t>332,168,005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16.94%</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sz w:val="18"/>
                <w:szCs w:val="18"/>
              </w:rPr>
              <w:t>4</w:t>
            </w:r>
            <w:r>
              <w:rPr>
                <w:color w:val="000000"/>
                <w:spacing w:val="0"/>
                <w:w w:val="100"/>
                <w:position w:val="0"/>
              </w:rPr>
              <w:t>、外资持股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both"/>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其中：境外法人持股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both"/>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740"/>
              <w:jc w:val="left"/>
            </w:pPr>
            <w:r>
              <w:rPr>
                <w:color w:val="000000"/>
                <w:spacing w:val="0"/>
                <w:w w:val="100"/>
                <w:position w:val="0"/>
              </w:rPr>
              <w:t>境外自然人持股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both"/>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二、无限售条件股份</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1,593,741,186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8"/>
                <w:szCs w:val="18"/>
              </w:rPr>
            </w:pPr>
            <w:r>
              <w:rPr>
                <w:rFonts w:ascii="Times New Roman" w:eastAsia="Times New Roman" w:hAnsi="Times New Roman" w:cs="Times New Roman"/>
                <w:color w:val="000000"/>
                <w:spacing w:val="0"/>
                <w:w w:val="100"/>
                <w:position w:val="0"/>
                <w:sz w:val="18"/>
                <w:szCs w:val="18"/>
              </w:rPr>
              <w:t>81.27%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35,182,793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35,182,793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1,628,923,979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83.06%</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、人民币普通股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1,593,741,186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8"/>
                <w:szCs w:val="18"/>
              </w:rPr>
            </w:pPr>
            <w:r>
              <w:rPr>
                <w:rFonts w:ascii="Times New Roman" w:eastAsia="Times New Roman" w:hAnsi="Times New Roman" w:cs="Times New Roman"/>
                <w:color w:val="000000"/>
                <w:spacing w:val="0"/>
                <w:w w:val="100"/>
                <w:position w:val="0"/>
                <w:sz w:val="18"/>
                <w:szCs w:val="18"/>
              </w:rPr>
              <w:t>81.27%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35,182,793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35,182,793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1,628,923,979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83.06%</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、境内上市的外资股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both"/>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sz w:val="18"/>
                <w:szCs w:val="18"/>
              </w:rPr>
              <w:t>3</w:t>
            </w:r>
            <w:r>
              <w:rPr>
                <w:color w:val="000000"/>
                <w:spacing w:val="0"/>
                <w:w w:val="100"/>
                <w:position w:val="0"/>
              </w:rPr>
              <w:t>、境外上市的外资股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both"/>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sz w:val="18"/>
                <w:szCs w:val="18"/>
              </w:rPr>
              <w:t>4</w:t>
            </w:r>
            <w:r>
              <w:rPr>
                <w:color w:val="000000"/>
                <w:spacing w:val="0"/>
                <w:w w:val="100"/>
                <w:position w:val="0"/>
              </w:rPr>
              <w:t>、其他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both"/>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三、股份总数</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1,961,091,984</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1,961,091,984</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100.00%</w:t>
            </w:r>
          </w:p>
        </w:tc>
      </w:tr>
    </w:tbl>
    <w:p>
      <w:pPr>
        <w:widowControl w:val="0"/>
        <w:spacing w:after="139" w:line="1" w:lineRule="exact"/>
      </w:pPr>
    </w:p>
    <w:p>
      <w:pPr>
        <w:pStyle w:val="Style41"/>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rPr>
        <w:t>股份变动的原因</w:t>
      </w:r>
    </w:p>
    <w:p>
      <w:pPr>
        <w:pStyle w:val="Style41"/>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z w:val="19"/>
          <w:szCs w:val="19"/>
        </w:rPr>
        <w:t>寸</w:t>
      </w:r>
      <w:r>
        <w:rPr>
          <w:b/>
          <w:bCs/>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41"/>
        <w:keepNext w:val="0"/>
        <w:keepLines w:val="0"/>
        <w:widowControl w:val="0"/>
        <w:shd w:val="clear" w:color="auto" w:fill="auto"/>
        <w:bidi w:val="0"/>
        <w:spacing w:before="0" w:after="240" w:line="240" w:lineRule="auto"/>
        <w:ind w:left="0" w:right="0" w:firstLine="0"/>
        <w:jc w:val="left"/>
      </w:pPr>
      <w:r>
        <w:rPr>
          <w:color w:val="000000"/>
          <w:spacing w:val="0"/>
          <w:w w:val="100"/>
          <w:position w:val="0"/>
        </w:rPr>
        <w:t>报告期内，有限售条件股份减少</w:t>
      </w:r>
      <w:r>
        <w:rPr>
          <w:rFonts w:ascii="Times New Roman" w:eastAsia="Times New Roman" w:hAnsi="Times New Roman" w:cs="Times New Roman"/>
          <w:color w:val="000000"/>
          <w:spacing w:val="0"/>
          <w:w w:val="100"/>
          <w:position w:val="0"/>
          <w:sz w:val="18"/>
          <w:szCs w:val="18"/>
        </w:rPr>
        <w:t>35,182,793</w:t>
      </w:r>
      <w:r>
        <w:rPr>
          <w:color w:val="000000"/>
          <w:spacing w:val="0"/>
          <w:w w:val="100"/>
          <w:position w:val="0"/>
        </w:rPr>
        <w:t>股，无限售条件股份相应增加，为高管锁定股变化所致。</w:t>
      </w:r>
    </w:p>
    <w:p>
      <w:pPr>
        <w:pStyle w:val="Style41"/>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rPr>
        <w:t>股份变动的批准情况</w:t>
      </w:r>
    </w:p>
    <w:p>
      <w:pPr>
        <w:pStyle w:val="Style41"/>
        <w:keepNext w:val="0"/>
        <w:keepLines w:val="0"/>
        <w:widowControl w:val="0"/>
        <w:shd w:val="clear" w:color="auto" w:fill="auto"/>
        <w:bidi w:val="0"/>
        <w:spacing w:before="0" w:after="24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b/>
          <w:bCs/>
          <w:color w:val="000000"/>
          <w:spacing w:val="0"/>
          <w:w w:val="100"/>
          <w:position w:val="0"/>
          <w:sz w:val="19"/>
          <w:szCs w:val="19"/>
        </w:rPr>
        <w:t>寸</w:t>
      </w:r>
      <w:r>
        <w:rPr>
          <w:b/>
          <w:bCs/>
          <w:color w:val="000000"/>
          <w:spacing w:val="0"/>
          <w:w w:val="100"/>
          <w:position w:val="0"/>
        </w:rPr>
        <w:t>不适用</w:t>
      </w:r>
    </w:p>
    <w:p>
      <w:pPr>
        <w:pStyle w:val="Style41"/>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rPr>
        <w:t>股份变动的过户情况</w:t>
      </w:r>
    </w:p>
    <w:p>
      <w:pPr>
        <w:pStyle w:val="Style41"/>
        <w:keepNext w:val="0"/>
        <w:keepLines w:val="0"/>
        <w:widowControl w:val="0"/>
        <w:shd w:val="clear" w:color="auto" w:fill="auto"/>
        <w:bidi w:val="0"/>
        <w:spacing w:before="0" w:after="24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b/>
          <w:bCs/>
          <w:color w:val="000000"/>
          <w:spacing w:val="0"/>
          <w:w w:val="100"/>
          <w:position w:val="0"/>
          <w:sz w:val="19"/>
          <w:szCs w:val="19"/>
        </w:rPr>
        <w:t>寸</w:t>
      </w:r>
      <w:r>
        <w:rPr>
          <w:b/>
          <w:bCs/>
          <w:color w:val="000000"/>
          <w:spacing w:val="0"/>
          <w:w w:val="100"/>
          <w:position w:val="0"/>
        </w:rPr>
        <w:t>不适用</w:t>
      </w:r>
    </w:p>
    <w:p>
      <w:pPr>
        <w:pStyle w:val="Style41"/>
        <w:keepNext w:val="0"/>
        <w:keepLines w:val="0"/>
        <w:widowControl w:val="0"/>
        <w:shd w:val="clear" w:color="auto" w:fill="auto"/>
        <w:bidi w:val="0"/>
        <w:spacing w:before="0" w:after="240" w:line="240" w:lineRule="auto"/>
        <w:ind w:left="0" w:right="0" w:firstLine="0"/>
        <w:jc w:val="left"/>
        <w:sectPr>
          <w:headerReference w:type="default" r:id="rId205"/>
          <w:footerReference w:type="default" r:id="rId206"/>
          <w:headerReference w:type="even" r:id="rId207"/>
          <w:footerReference w:type="even" r:id="rId208"/>
          <w:footnotePr>
            <w:pos w:val="pageBottom"/>
            <w:numFmt w:val="decimal"/>
            <w:numRestart w:val="continuous"/>
          </w:footnotePr>
          <w:pgSz w:w="11904" w:h="17375"/>
          <w:pgMar w:top="2246" w:right="1094" w:bottom="1872" w:left="1099" w:header="0" w:footer="3" w:gutter="0"/>
          <w:cols w:space="720"/>
          <w:noEndnote/>
          <w:rtlGutter w:val="0"/>
          <w:docGrid w:linePitch="360"/>
        </w:sectPr>
      </w:pPr>
      <w:r>
        <w:rPr>
          <w:b/>
          <w:bCs/>
          <w:color w:val="000000"/>
          <w:spacing w:val="0"/>
          <w:w w:val="100"/>
          <w:position w:val="0"/>
        </w:rPr>
        <w:t>股份回购的实施进展情况</w:t>
      </w:r>
    </w:p>
    <w:p>
      <w:pPr>
        <w:pStyle w:val="Style212"/>
        <w:keepNext w:val="0"/>
        <w:keepLines w:val="0"/>
        <w:widowControl w:val="0"/>
        <w:shd w:val="clear" w:color="auto" w:fill="auto"/>
        <w:bidi w:val="0"/>
        <w:spacing w:before="0" w:after="0" w:line="240" w:lineRule="auto"/>
        <w:ind w:left="0" w:right="0" w:firstLine="0"/>
        <w:jc w:val="left"/>
      </w:pPr>
      <w:r>
        <w:rPr>
          <w:spacing w:val="0"/>
          <w:w w:val="100"/>
          <w:position w:val="0"/>
        </w:rPr>
        <w:t>Ultrapoiuer</w:t>
      </w:r>
    </w:p>
    <w:p>
      <w:pPr>
        <w:pStyle w:val="Style41"/>
        <w:keepNext w:val="0"/>
        <w:keepLines w:val="0"/>
        <w:widowControl w:val="0"/>
        <w:pBdr>
          <w:top w:val="single" w:sz="4" w:space="0" w:color="auto"/>
        </w:pBdr>
        <w:shd w:val="clear" w:color="auto" w:fill="auto"/>
        <w:bidi w:val="0"/>
        <w:spacing w:before="0" w:after="0" w:line="442" w:lineRule="exact"/>
        <w:ind w:left="0" w:right="0" w:firstLine="820"/>
        <w:jc w:val="both"/>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 xml:space="preserve">年年度报告全文 </w:t>
      </w:r>
      <w:r>
        <w:rPr>
          <w:rFonts w:ascii="Times New Roman" w:eastAsia="Times New Roman" w:hAnsi="Times New Roman" w:cs="Times New Roman"/>
          <w:b/>
          <w:bCs/>
          <w:color w:val="000000"/>
          <w:spacing w:val="0"/>
          <w:w w:val="100"/>
          <w:position w:val="0"/>
          <w:sz w:val="18"/>
          <w:szCs w:val="18"/>
        </w:rPr>
        <w:t>V</w:t>
      </w:r>
      <w:r>
        <w:rPr>
          <w:b/>
          <w:bCs/>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41"/>
        <w:keepNext w:val="0"/>
        <w:keepLines w:val="0"/>
        <w:widowControl w:val="0"/>
        <w:shd w:val="clear" w:color="auto" w:fill="auto"/>
        <w:bidi w:val="0"/>
        <w:spacing w:before="0" w:after="0" w:line="468" w:lineRule="exact"/>
        <w:ind w:left="0" w:right="0"/>
        <w:jc w:val="both"/>
      </w:pPr>
      <w:r>
        <w:rPr>
          <w:color w:val="000000"/>
          <w:spacing w:val="0"/>
          <w:w w:val="100"/>
          <w:position w:val="0"/>
        </w:rPr>
        <w:t>公司于</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20</w:t>
      </w:r>
      <w:r>
        <w:rPr>
          <w:color w:val="000000"/>
          <w:spacing w:val="0"/>
          <w:w w:val="100"/>
          <w:position w:val="0"/>
        </w:rPr>
        <w:t>日召开第七届董事会第十九次会议、第七届监事会第四次会议审议通过了《关于公司以集中竞价交 易方式回购公司股份的议案》，公司计划使用自有资金以集中竞价方式回购公司股份，回购的公司股份拟用于股权激励或员 工持股计划，回购价格不超过人民币</w:t>
      </w:r>
      <w:r>
        <w:rPr>
          <w:rFonts w:ascii="Times New Roman" w:eastAsia="Times New Roman" w:hAnsi="Times New Roman" w:cs="Times New Roman"/>
          <w:color w:val="000000"/>
          <w:spacing w:val="0"/>
          <w:w w:val="100"/>
          <w:position w:val="0"/>
          <w:sz w:val="18"/>
          <w:szCs w:val="18"/>
        </w:rPr>
        <w:t>5.07</w:t>
      </w:r>
      <w:r>
        <w:rPr>
          <w:color w:val="000000"/>
          <w:spacing w:val="0"/>
          <w:w w:val="100"/>
          <w:position w:val="0"/>
        </w:rPr>
        <w:t>元</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股，回购资金总额不低于人民币</w:t>
      </w:r>
      <w:r>
        <w:rPr>
          <w:rFonts w:ascii="Times New Roman" w:eastAsia="Times New Roman" w:hAnsi="Times New Roman" w:cs="Times New Roman"/>
          <w:color w:val="000000"/>
          <w:spacing w:val="0"/>
          <w:w w:val="100"/>
          <w:position w:val="0"/>
          <w:sz w:val="18"/>
          <w:szCs w:val="18"/>
        </w:rPr>
        <w:t>10,000</w:t>
      </w:r>
      <w:r>
        <w:rPr>
          <w:color w:val="000000"/>
          <w:spacing w:val="0"/>
          <w:w w:val="100"/>
          <w:position w:val="0"/>
        </w:rPr>
        <w:t>万元（含</w:t>
      </w:r>
      <w:r>
        <w:rPr>
          <w:rFonts w:ascii="Times New Roman" w:eastAsia="Times New Roman" w:hAnsi="Times New Roman" w:cs="Times New Roman"/>
          <w:color w:val="000000"/>
          <w:spacing w:val="0"/>
          <w:w w:val="100"/>
          <w:position w:val="0"/>
          <w:sz w:val="18"/>
          <w:szCs w:val="18"/>
        </w:rPr>
        <w:t>10,000</w:t>
      </w:r>
      <w:r>
        <w:rPr>
          <w:color w:val="000000"/>
          <w:spacing w:val="0"/>
          <w:w w:val="100"/>
          <w:position w:val="0"/>
        </w:rPr>
        <w:t>万元）且不超过人民币</w:t>
      </w:r>
      <w:r>
        <w:rPr>
          <w:rFonts w:ascii="Times New Roman" w:eastAsia="Times New Roman" w:hAnsi="Times New Roman" w:cs="Times New Roman"/>
          <w:color w:val="000000"/>
          <w:spacing w:val="0"/>
          <w:w w:val="100"/>
          <w:position w:val="0"/>
          <w:sz w:val="18"/>
          <w:szCs w:val="18"/>
        </w:rPr>
        <w:t xml:space="preserve">20,000 </w:t>
      </w:r>
      <w:r>
        <w:rPr>
          <w:color w:val="000000"/>
          <w:spacing w:val="0"/>
          <w:w w:val="100"/>
          <w:position w:val="0"/>
        </w:rPr>
        <w:t>万元（含</w:t>
      </w:r>
      <w:r>
        <w:rPr>
          <w:rFonts w:ascii="Times New Roman" w:eastAsia="Times New Roman" w:hAnsi="Times New Roman" w:cs="Times New Roman"/>
          <w:color w:val="000000"/>
          <w:spacing w:val="0"/>
          <w:w w:val="100"/>
          <w:position w:val="0"/>
          <w:sz w:val="18"/>
          <w:szCs w:val="18"/>
        </w:rPr>
        <w:t>20,000</w:t>
      </w:r>
      <w:r>
        <w:rPr>
          <w:color w:val="000000"/>
          <w:spacing w:val="0"/>
          <w:w w:val="100"/>
          <w:position w:val="0"/>
        </w:rPr>
        <w:t>万元），回购股份期限为董事会审议通过回购股份方案之日起</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个月。</w:t>
      </w:r>
    </w:p>
    <w:p>
      <w:pPr>
        <w:pStyle w:val="Style41"/>
        <w:keepNext w:val="0"/>
        <w:keepLines w:val="0"/>
        <w:widowControl w:val="0"/>
        <w:shd w:val="clear" w:color="auto" w:fill="auto"/>
        <w:bidi w:val="0"/>
        <w:spacing w:before="0" w:after="0" w:line="468" w:lineRule="exact"/>
        <w:ind w:left="0" w:right="0"/>
        <w:jc w:val="both"/>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28</w:t>
      </w:r>
      <w:r>
        <w:rPr>
          <w:color w:val="000000"/>
          <w:spacing w:val="0"/>
          <w:w w:val="100"/>
          <w:position w:val="0"/>
        </w:rPr>
        <w:t>日，公司首次通过股份回购专用证券账户以集中竞价交易方式回购公司股份</w:t>
      </w:r>
      <w:r>
        <w:rPr>
          <w:rFonts w:ascii="Times New Roman" w:eastAsia="Times New Roman" w:hAnsi="Times New Roman" w:cs="Times New Roman"/>
          <w:color w:val="000000"/>
          <w:spacing w:val="0"/>
          <w:w w:val="100"/>
          <w:position w:val="0"/>
          <w:sz w:val="18"/>
          <w:szCs w:val="18"/>
        </w:rPr>
        <w:t>9,260,727</w:t>
      </w:r>
      <w:r>
        <w:rPr>
          <w:color w:val="000000"/>
          <w:spacing w:val="0"/>
          <w:w w:val="100"/>
          <w:position w:val="0"/>
        </w:rPr>
        <w:t xml:space="preserve">股，占公司总股本的 </w:t>
      </w:r>
      <w:r>
        <w:rPr>
          <w:rFonts w:ascii="Times New Roman" w:eastAsia="Times New Roman" w:hAnsi="Times New Roman" w:cs="Times New Roman"/>
          <w:color w:val="000000"/>
          <w:spacing w:val="0"/>
          <w:w w:val="100"/>
          <w:position w:val="0"/>
          <w:sz w:val="18"/>
          <w:szCs w:val="18"/>
        </w:rPr>
        <w:t>0.47%</w:t>
      </w:r>
      <w:r>
        <w:rPr>
          <w:color w:val="000000"/>
          <w:spacing w:val="0"/>
          <w:w w:val="100"/>
          <w:position w:val="0"/>
        </w:rPr>
        <w:t>，最高成交价为</w:t>
      </w:r>
      <w:r>
        <w:rPr>
          <w:rFonts w:ascii="Times New Roman" w:eastAsia="Times New Roman" w:hAnsi="Times New Roman" w:cs="Times New Roman"/>
          <w:color w:val="000000"/>
          <w:spacing w:val="0"/>
          <w:w w:val="100"/>
          <w:position w:val="0"/>
          <w:sz w:val="18"/>
          <w:szCs w:val="18"/>
        </w:rPr>
        <w:t>3.53</w:t>
      </w:r>
      <w:r>
        <w:rPr>
          <w:color w:val="000000"/>
          <w:spacing w:val="0"/>
          <w:w w:val="100"/>
          <w:position w:val="0"/>
        </w:rPr>
        <w:t>元</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股，最低成交价为</w:t>
      </w:r>
      <w:r>
        <w:rPr>
          <w:rFonts w:ascii="Times New Roman" w:eastAsia="Times New Roman" w:hAnsi="Times New Roman" w:cs="Times New Roman"/>
          <w:color w:val="000000"/>
          <w:spacing w:val="0"/>
          <w:w w:val="100"/>
          <w:position w:val="0"/>
          <w:sz w:val="18"/>
          <w:szCs w:val="18"/>
        </w:rPr>
        <w:t>3.46</w:t>
      </w:r>
      <w:r>
        <w:rPr>
          <w:color w:val="000000"/>
          <w:spacing w:val="0"/>
          <w:w w:val="100"/>
          <w:position w:val="0"/>
        </w:rPr>
        <w:t>元</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股，成交均价为</w:t>
      </w:r>
      <w:r>
        <w:rPr>
          <w:rFonts w:ascii="Times New Roman" w:eastAsia="Times New Roman" w:hAnsi="Times New Roman" w:cs="Times New Roman"/>
          <w:color w:val="000000"/>
          <w:spacing w:val="0"/>
          <w:w w:val="100"/>
          <w:position w:val="0"/>
          <w:sz w:val="18"/>
          <w:szCs w:val="18"/>
        </w:rPr>
        <w:t>3.4866</w:t>
      </w:r>
      <w:r>
        <w:rPr>
          <w:color w:val="000000"/>
          <w:spacing w:val="0"/>
          <w:w w:val="100"/>
          <w:position w:val="0"/>
        </w:rPr>
        <w:t>元</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股，支付的总金额为</w:t>
      </w:r>
      <w:r>
        <w:rPr>
          <w:rFonts w:ascii="Times New Roman" w:eastAsia="Times New Roman" w:hAnsi="Times New Roman" w:cs="Times New Roman"/>
          <w:color w:val="000000"/>
          <w:spacing w:val="0"/>
          <w:w w:val="100"/>
          <w:position w:val="0"/>
          <w:sz w:val="18"/>
          <w:szCs w:val="18"/>
        </w:rPr>
        <w:t>32,288,879.78</w:t>
      </w:r>
      <w:r>
        <w:rPr>
          <w:color w:val="000000"/>
          <w:spacing w:val="0"/>
          <w:w w:val="100"/>
          <w:position w:val="0"/>
        </w:rPr>
        <w:t>元（不含 交易费用）。具体详见公司于</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28</w:t>
      </w:r>
      <w:r>
        <w:rPr>
          <w:color w:val="000000"/>
          <w:spacing w:val="0"/>
          <w:w w:val="100"/>
          <w:position w:val="0"/>
        </w:rPr>
        <w:t>日在巨潮资讯网披露的《关于首次回购公司股份的公告》（公告编号：</w:t>
      </w:r>
      <w:r>
        <w:rPr>
          <w:rFonts w:ascii="Times New Roman" w:eastAsia="Times New Roman" w:hAnsi="Times New Roman" w:cs="Times New Roman"/>
          <w:color w:val="000000"/>
          <w:spacing w:val="0"/>
          <w:w w:val="100"/>
          <w:position w:val="0"/>
          <w:sz w:val="18"/>
          <w:szCs w:val="18"/>
        </w:rPr>
        <w:t>2020-014</w:t>
      </w:r>
      <w:r>
        <w:rPr>
          <w:color w:val="000000"/>
          <w:spacing w:val="0"/>
          <w:w w:val="100"/>
          <w:position w:val="0"/>
        </w:rPr>
        <w:t>）。 公司分别于</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日、</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4</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日、</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7</w:t>
      </w:r>
      <w:r>
        <w:rPr>
          <w:color w:val="000000"/>
          <w:spacing w:val="0"/>
          <w:w w:val="100"/>
          <w:position w:val="0"/>
        </w:rPr>
        <w:t>日、</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6</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日在巨潮资讯网披露了《关于回购公司股份的进展公 告》，并于</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日披露了《关于回购公司股份比例达到</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暨回购进展公告》（公告编号</w:t>
      </w:r>
      <w:r>
        <w:rPr>
          <w:rFonts w:ascii="Times New Roman" w:eastAsia="Times New Roman" w:hAnsi="Times New Roman" w:cs="Times New Roman"/>
          <w:color w:val="000000"/>
          <w:spacing w:val="0"/>
          <w:w w:val="100"/>
          <w:position w:val="0"/>
          <w:sz w:val="18"/>
          <w:szCs w:val="18"/>
        </w:rPr>
        <w:t>2020-017</w:t>
      </w:r>
      <w:r>
        <w:rPr>
          <w:color w:val="000000"/>
          <w:spacing w:val="0"/>
          <w:w w:val="100"/>
          <w:position w:val="0"/>
        </w:rPr>
        <w:t>）</w:t>
      </w:r>
      <w:r>
        <w:rPr>
          <w:color w:val="000000"/>
          <w:spacing w:val="0"/>
          <w:w w:val="100"/>
          <w:position w:val="0"/>
        </w:rPr>
        <w:t>。</w:t>
      </w:r>
    </w:p>
    <w:p>
      <w:pPr>
        <w:pStyle w:val="Style41"/>
        <w:keepNext w:val="0"/>
        <w:keepLines w:val="0"/>
        <w:widowControl w:val="0"/>
        <w:shd w:val="clear" w:color="auto" w:fill="auto"/>
        <w:bidi w:val="0"/>
        <w:spacing w:before="0" w:after="0" w:line="468" w:lineRule="exact"/>
        <w:ind w:left="0" w:right="0"/>
        <w:jc w:val="both"/>
      </w:pPr>
      <w:r>
        <w:rPr>
          <w:color w:val="000000"/>
          <w:spacing w:val="0"/>
          <w:w w:val="100"/>
          <w:position w:val="0"/>
        </w:rPr>
        <w:t>截至</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6</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8</w:t>
      </w:r>
      <w:r>
        <w:rPr>
          <w:color w:val="000000"/>
          <w:spacing w:val="0"/>
          <w:w w:val="100"/>
          <w:position w:val="0"/>
        </w:rPr>
        <w:t>日，公司累计回购股份数量为</w:t>
      </w:r>
      <w:r>
        <w:rPr>
          <w:rFonts w:ascii="Times New Roman" w:eastAsia="Times New Roman" w:hAnsi="Times New Roman" w:cs="Times New Roman"/>
          <w:color w:val="000000"/>
          <w:spacing w:val="0"/>
          <w:w w:val="100"/>
          <w:position w:val="0"/>
          <w:sz w:val="18"/>
          <w:szCs w:val="18"/>
        </w:rPr>
        <w:t>25,947,942</w:t>
      </w:r>
      <w:r>
        <w:rPr>
          <w:color w:val="000000"/>
          <w:spacing w:val="0"/>
          <w:w w:val="100"/>
          <w:position w:val="0"/>
        </w:rPr>
        <w:t>股，占公司总股本的</w:t>
      </w:r>
      <w:r>
        <w:rPr>
          <w:rFonts w:ascii="Times New Roman" w:eastAsia="Times New Roman" w:hAnsi="Times New Roman" w:cs="Times New Roman"/>
          <w:color w:val="000000"/>
          <w:spacing w:val="0"/>
          <w:w w:val="100"/>
          <w:position w:val="0"/>
          <w:sz w:val="18"/>
          <w:szCs w:val="18"/>
        </w:rPr>
        <w:t>1.32%</w:t>
      </w:r>
      <w:r>
        <w:rPr>
          <w:color w:val="000000"/>
          <w:spacing w:val="0"/>
          <w:w w:val="100"/>
          <w:position w:val="0"/>
        </w:rPr>
        <w:t>，最高成交价</w:t>
      </w:r>
      <w:r>
        <w:rPr>
          <w:rFonts w:ascii="Times New Roman" w:eastAsia="Times New Roman" w:hAnsi="Times New Roman" w:cs="Times New Roman"/>
          <w:color w:val="000000"/>
          <w:spacing w:val="0"/>
          <w:w w:val="100"/>
          <w:position w:val="0"/>
          <w:sz w:val="18"/>
          <w:szCs w:val="18"/>
        </w:rPr>
        <w:t>4.3</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元</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股，最低成交 价为</w:t>
      </w:r>
      <w:r>
        <w:rPr>
          <w:rFonts w:ascii="Times New Roman" w:eastAsia="Times New Roman" w:hAnsi="Times New Roman" w:cs="Times New Roman"/>
          <w:color w:val="000000"/>
          <w:spacing w:val="0"/>
          <w:w w:val="100"/>
          <w:position w:val="0"/>
          <w:sz w:val="18"/>
          <w:szCs w:val="18"/>
        </w:rPr>
        <w:t>3.45</w:t>
      </w:r>
      <w:r>
        <w:rPr>
          <w:color w:val="000000"/>
          <w:spacing w:val="0"/>
          <w:w w:val="100"/>
          <w:position w:val="0"/>
        </w:rPr>
        <w:t>元</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股，支付的总金额为</w:t>
      </w:r>
      <w:r>
        <w:rPr>
          <w:rFonts w:ascii="Times New Roman" w:eastAsia="Times New Roman" w:hAnsi="Times New Roman" w:cs="Times New Roman"/>
          <w:color w:val="000000"/>
          <w:spacing w:val="0"/>
          <w:w w:val="100"/>
          <w:position w:val="0"/>
          <w:sz w:val="18"/>
          <w:szCs w:val="18"/>
        </w:rPr>
        <w:t>100,973,450.64</w:t>
      </w:r>
      <w:r>
        <w:rPr>
          <w:color w:val="000000"/>
          <w:spacing w:val="0"/>
          <w:w w:val="100"/>
          <w:position w:val="0"/>
        </w:rPr>
        <w:t>元（不含交易费用），至此公司股份回购计划实施完毕。</w:t>
      </w:r>
    </w:p>
    <w:p>
      <w:pPr>
        <w:pStyle w:val="Style41"/>
        <w:keepNext w:val="0"/>
        <w:keepLines w:val="0"/>
        <w:widowControl w:val="0"/>
        <w:shd w:val="clear" w:color="auto" w:fill="auto"/>
        <w:bidi w:val="0"/>
        <w:spacing w:before="0" w:after="260" w:line="468" w:lineRule="exact"/>
        <w:ind w:left="0" w:right="0"/>
        <w:jc w:val="both"/>
      </w:pPr>
      <w:r>
        <w:rPr>
          <w:color w:val="000000"/>
          <w:spacing w:val="0"/>
          <w:w w:val="100"/>
          <w:position w:val="0"/>
        </w:rPr>
        <w:t xml:space="preserve">本次公司实际回购的股份数量、回购价格、使用资金总额、回购方式符合公司董事会审议通过的回购方案，实际执行情 况与原披露的回购方案不存在差异，公司回购金额已超过回购方案中的回购资金总额下限，且不超过回购资金总额上限。 </w:t>
      </w:r>
      <w:r>
        <w:rPr>
          <w:b/>
          <w:bCs/>
          <w:color w:val="000000"/>
          <w:spacing w:val="0"/>
          <w:w w:val="100"/>
          <w:position w:val="0"/>
        </w:rPr>
        <w:t>采用集中竞价方式减持回购股份的实施进展情况</w:t>
      </w:r>
    </w:p>
    <w:p>
      <w:pPr>
        <w:pStyle w:val="Style41"/>
        <w:keepNext w:val="0"/>
        <w:keepLines w:val="0"/>
        <w:widowControl w:val="0"/>
        <w:shd w:val="clear" w:color="auto" w:fill="auto"/>
        <w:bidi w:val="0"/>
        <w:spacing w:before="0" w:after="0" w:line="542"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b/>
          <w:bCs/>
          <w:color w:val="000000"/>
          <w:spacing w:val="0"/>
          <w:w w:val="100"/>
          <w:position w:val="0"/>
          <w:sz w:val="18"/>
          <w:szCs w:val="18"/>
        </w:rPr>
        <w:t>V</w:t>
      </w:r>
      <w:r>
        <w:rPr>
          <w:b/>
          <w:bCs/>
          <w:color w:val="000000"/>
          <w:spacing w:val="0"/>
          <w:w w:val="100"/>
          <w:position w:val="0"/>
        </w:rPr>
        <w:t>不适用</w:t>
      </w:r>
    </w:p>
    <w:p>
      <w:pPr>
        <w:pStyle w:val="Style41"/>
        <w:keepNext w:val="0"/>
        <w:keepLines w:val="0"/>
        <w:widowControl w:val="0"/>
        <w:shd w:val="clear" w:color="auto" w:fill="auto"/>
        <w:bidi w:val="0"/>
        <w:spacing w:before="0" w:after="260" w:line="468" w:lineRule="exact"/>
        <w:ind w:left="0" w:right="0" w:firstLine="0"/>
        <w:jc w:val="left"/>
      </w:pPr>
      <w:r>
        <w:rPr>
          <w:b/>
          <w:bCs/>
          <w:color w:val="000000"/>
          <w:spacing w:val="0"/>
          <w:w w:val="100"/>
          <w:position w:val="0"/>
        </w:rPr>
        <w:t>股份变动对最近一年和最近一期基本每股收益和稀释每股收益、归属于公司普通股股东的每股净资产等财务指标的影响</w:t>
      </w:r>
    </w:p>
    <w:p>
      <w:pPr>
        <w:pStyle w:val="Style41"/>
        <w:keepNext w:val="0"/>
        <w:keepLines w:val="0"/>
        <w:widowControl w:val="0"/>
        <w:shd w:val="clear" w:color="auto" w:fill="auto"/>
        <w:bidi w:val="0"/>
        <w:spacing w:before="0" w:after="0" w:line="542"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b/>
          <w:bCs/>
          <w:color w:val="000000"/>
          <w:spacing w:val="0"/>
          <w:w w:val="100"/>
          <w:position w:val="0"/>
          <w:sz w:val="18"/>
          <w:szCs w:val="18"/>
        </w:rPr>
        <w:t>V</w:t>
      </w:r>
      <w:r>
        <w:rPr>
          <w:b/>
          <w:bCs/>
          <w:color w:val="000000"/>
          <w:spacing w:val="0"/>
          <w:w w:val="100"/>
          <w:position w:val="0"/>
        </w:rPr>
        <w:t>不适用</w:t>
      </w:r>
    </w:p>
    <w:p>
      <w:pPr>
        <w:pStyle w:val="Style41"/>
        <w:keepNext w:val="0"/>
        <w:keepLines w:val="0"/>
        <w:widowControl w:val="0"/>
        <w:shd w:val="clear" w:color="auto" w:fill="auto"/>
        <w:bidi w:val="0"/>
        <w:spacing w:before="0" w:after="260" w:line="468" w:lineRule="exact"/>
        <w:ind w:left="0" w:right="0" w:firstLine="0"/>
        <w:jc w:val="left"/>
      </w:pPr>
      <w:r>
        <w:rPr>
          <w:b/>
          <w:bCs/>
          <w:color w:val="000000"/>
          <w:spacing w:val="0"/>
          <w:w w:val="100"/>
          <w:position w:val="0"/>
        </w:rPr>
        <w:t>公司认为必要或证券监管机构要求披露的其他内容</w:t>
      </w:r>
    </w:p>
    <w:p>
      <w:pPr>
        <w:pStyle w:val="Style41"/>
        <w:keepNext w:val="0"/>
        <w:keepLines w:val="0"/>
        <w:widowControl w:val="0"/>
        <w:shd w:val="clear" w:color="auto" w:fill="auto"/>
        <w:bidi w:val="0"/>
        <w:spacing w:before="0" w:after="200" w:line="542"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b/>
          <w:bCs/>
          <w:color w:val="000000"/>
          <w:spacing w:val="0"/>
          <w:w w:val="100"/>
          <w:position w:val="0"/>
          <w:sz w:val="18"/>
          <w:szCs w:val="18"/>
        </w:rPr>
        <w:t>V</w:t>
      </w:r>
      <w:r>
        <w:rPr>
          <w:b/>
          <w:bCs/>
          <w:color w:val="000000"/>
          <w:spacing w:val="0"/>
          <w:w w:val="100"/>
          <w:position w:val="0"/>
        </w:rPr>
        <w:t>不适用</w:t>
      </w:r>
    </w:p>
    <w:p>
      <w:pPr>
        <w:pStyle w:val="Style47"/>
        <w:keepNext/>
        <w:keepLines/>
        <w:widowControl w:val="0"/>
        <w:shd w:val="clear" w:color="auto" w:fill="auto"/>
        <w:bidi w:val="0"/>
        <w:spacing w:before="0" w:after="480" w:line="240" w:lineRule="auto"/>
        <w:ind w:left="0" w:right="0" w:firstLine="0"/>
        <w:jc w:val="left"/>
      </w:pPr>
      <w:bookmarkStart w:id="597" w:name="bookmark597"/>
      <w:bookmarkStart w:id="598" w:name="bookmark598"/>
      <w:bookmarkStart w:id="599" w:name="bookmark599"/>
      <w:bookmarkStart w:id="600" w:name="bookmark600"/>
      <w:r>
        <w:rPr>
          <w:color w:val="000000"/>
          <w:spacing w:val="0"/>
          <w:w w:val="100"/>
          <w:position w:val="0"/>
        </w:rPr>
        <w:t>2</w:t>
      </w:r>
      <w:bookmarkEnd w:id="599"/>
      <w:r>
        <w:rPr>
          <w:color w:val="000000"/>
          <w:spacing w:val="0"/>
          <w:w w:val="100"/>
          <w:position w:val="0"/>
        </w:rPr>
        <w:t>、限售股份变动情况</w:t>
      </w:r>
      <w:bookmarkEnd w:id="597"/>
      <w:bookmarkEnd w:id="598"/>
      <w:bookmarkEnd w:id="600"/>
    </w:p>
    <w:p>
      <w:pPr>
        <w:pStyle w:val="Style41"/>
        <w:keepNext w:val="0"/>
        <w:keepLines w:val="0"/>
        <w:widowControl w:val="0"/>
        <w:shd w:val="clear" w:color="auto" w:fill="auto"/>
        <w:bidi w:val="0"/>
        <w:spacing w:before="0" w:after="0" w:line="542" w:lineRule="auto"/>
        <w:ind w:left="0" w:right="0" w:firstLine="0"/>
        <w:jc w:val="left"/>
      </w:pPr>
      <w:r>
        <w:rPr>
          <w:rFonts w:ascii="Times New Roman" w:eastAsia="Times New Roman" w:hAnsi="Times New Roman" w:cs="Times New Roman"/>
          <w:b/>
          <w:bCs/>
          <w:color w:val="000000"/>
          <w:spacing w:val="0"/>
          <w:w w:val="100"/>
          <w:position w:val="0"/>
          <w:sz w:val="18"/>
          <w:szCs w:val="18"/>
        </w:rPr>
        <w:t>V</w:t>
      </w:r>
      <w:r>
        <w:rPr>
          <w:b/>
          <w:bCs/>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20"/>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单位：股</w:t>
      </w:r>
    </w:p>
    <w:tbl>
      <w:tblPr>
        <w:tblOverlap w:val="never"/>
        <w:jc w:val="center"/>
        <w:tblLayout w:type="fixed"/>
      </w:tblPr>
      <w:tblGrid>
        <w:gridCol w:w="883"/>
        <w:gridCol w:w="994"/>
        <w:gridCol w:w="854"/>
        <w:gridCol w:w="989"/>
        <w:gridCol w:w="1138"/>
        <w:gridCol w:w="2405"/>
        <w:gridCol w:w="2448"/>
      </w:tblGrid>
      <w:tr>
        <w:trPr>
          <w:trHeight w:val="720"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股东名称</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firstLine="0"/>
              <w:jc w:val="center"/>
            </w:pPr>
            <w:r>
              <w:rPr>
                <w:b/>
                <w:bCs/>
                <w:color w:val="000000"/>
                <w:spacing w:val="0"/>
                <w:w w:val="100"/>
                <w:position w:val="0"/>
              </w:rPr>
              <w:t>期初限售股 数</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22" w:lineRule="exact"/>
              <w:ind w:left="0" w:right="0" w:firstLine="0"/>
              <w:jc w:val="right"/>
            </w:pPr>
            <w:r>
              <w:rPr>
                <w:b/>
                <w:bCs/>
                <w:color w:val="000000"/>
                <w:spacing w:val="0"/>
                <w:w w:val="100"/>
                <w:position w:val="0"/>
              </w:rPr>
              <w:t>本期增加 限售股数</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firstLine="0"/>
              <w:jc w:val="center"/>
            </w:pPr>
            <w:r>
              <w:rPr>
                <w:b/>
                <w:bCs/>
                <w:color w:val="000000"/>
                <w:spacing w:val="0"/>
                <w:w w:val="100"/>
                <w:position w:val="0"/>
              </w:rPr>
              <w:t>本期解除限 售股数</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firstLine="0"/>
              <w:jc w:val="center"/>
            </w:pPr>
            <w:r>
              <w:rPr>
                <w:b/>
                <w:bCs/>
                <w:color w:val="000000"/>
                <w:spacing w:val="0"/>
                <w:w w:val="100"/>
                <w:position w:val="0"/>
              </w:rPr>
              <w:t>期末限售股 数</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限售原因</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拟解除限售日期</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王宁</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95,218,959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20"/>
              <w:jc w:val="lef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95,218,959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高管锁定</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7"/>
                <w:szCs w:val="17"/>
              </w:rPr>
              <w:t>每年解锁</w:t>
            </w:r>
            <w:r>
              <w:rPr>
                <w:rFonts w:ascii="Times New Roman" w:eastAsia="Times New Roman" w:hAnsi="Times New Roman" w:cs="Times New Roman"/>
                <w:color w:val="000000"/>
                <w:spacing w:val="0"/>
                <w:w w:val="100"/>
                <w:position w:val="0"/>
                <w:sz w:val="18"/>
                <w:szCs w:val="18"/>
              </w:rPr>
              <w:t>25%</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李力</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193,730,478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20"/>
              <w:jc w:val="lef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31,764,975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161,965,503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高管锁定</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7"/>
                <w:szCs w:val="17"/>
              </w:rPr>
              <w:t>每年解锁</w:t>
            </w:r>
            <w:r>
              <w:rPr>
                <w:rFonts w:ascii="Times New Roman" w:eastAsia="Times New Roman" w:hAnsi="Times New Roman" w:cs="Times New Roman"/>
                <w:color w:val="000000"/>
                <w:spacing w:val="0"/>
                <w:w w:val="100"/>
                <w:position w:val="0"/>
                <w:sz w:val="18"/>
                <w:szCs w:val="18"/>
              </w:rPr>
              <w:t>25%</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pPr>
            <w:r>
              <w:rPr>
                <w:color w:val="000000"/>
                <w:spacing w:val="0"/>
                <w:w w:val="100"/>
                <w:position w:val="0"/>
              </w:rPr>
              <w:t>冒大卫</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8"/>
                <w:szCs w:val="18"/>
              </w:rPr>
            </w:pPr>
            <w:r>
              <w:rPr>
                <w:rFonts w:ascii="Times New Roman" w:eastAsia="Times New Roman" w:hAnsi="Times New Roman" w:cs="Times New Roman"/>
                <w:color w:val="000000"/>
                <w:spacing w:val="0"/>
                <w:w w:val="100"/>
                <w:position w:val="0"/>
                <w:sz w:val="18"/>
                <w:szCs w:val="18"/>
              </w:rPr>
              <w:t>5,383,713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20"/>
              <w:jc w:val="lef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5,383,713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高管锁定</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7"/>
                <w:szCs w:val="17"/>
              </w:rPr>
              <w:t>每年解锁</w:t>
            </w:r>
            <w:r>
              <w:rPr>
                <w:rFonts w:ascii="Times New Roman" w:eastAsia="Times New Roman" w:hAnsi="Times New Roman" w:cs="Times New Roman"/>
                <w:color w:val="000000"/>
                <w:spacing w:val="0"/>
                <w:w w:val="100"/>
                <w:position w:val="0"/>
                <w:sz w:val="18"/>
                <w:szCs w:val="18"/>
              </w:rPr>
              <w:t>25%</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pPr>
            <w:r>
              <w:rPr>
                <w:color w:val="000000"/>
                <w:spacing w:val="0"/>
                <w:w w:val="100"/>
                <w:position w:val="0"/>
              </w:rPr>
              <w:t>翟一兵</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8"/>
                <w:szCs w:val="18"/>
              </w:rPr>
            </w:pPr>
            <w:r>
              <w:rPr>
                <w:rFonts w:ascii="Times New Roman" w:eastAsia="Times New Roman" w:hAnsi="Times New Roman" w:cs="Times New Roman"/>
                <w:color w:val="000000"/>
                <w:spacing w:val="0"/>
                <w:w w:val="100"/>
                <w:position w:val="0"/>
                <w:sz w:val="18"/>
                <w:szCs w:val="18"/>
              </w:rPr>
              <w:t>1,351,501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20"/>
              <w:jc w:val="lef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1,351,501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高管锁定</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7"/>
                <w:szCs w:val="17"/>
              </w:rPr>
              <w:t>每年解锁</w:t>
            </w:r>
            <w:r>
              <w:rPr>
                <w:rFonts w:ascii="Times New Roman" w:eastAsia="Times New Roman" w:hAnsi="Times New Roman" w:cs="Times New Roman"/>
                <w:color w:val="000000"/>
                <w:spacing w:val="0"/>
                <w:w w:val="100"/>
                <w:position w:val="0"/>
                <w:sz w:val="18"/>
                <w:szCs w:val="18"/>
              </w:rPr>
              <w:t>25%</w:t>
            </w:r>
          </w:p>
        </w:tc>
      </w:tr>
      <w:tr>
        <w:trPr>
          <w:trHeight w:val="41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pPr>
            <w:r>
              <w:rPr>
                <w:color w:val="000000"/>
                <w:spacing w:val="0"/>
                <w:w w:val="100"/>
                <w:position w:val="0"/>
              </w:rPr>
              <w:t>丁彦超</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rPr>
                <w:sz w:val="18"/>
                <w:szCs w:val="18"/>
              </w:rPr>
            </w:pPr>
            <w:r>
              <w:rPr>
                <w:rFonts w:ascii="Times New Roman" w:eastAsia="Times New Roman" w:hAnsi="Times New Roman" w:cs="Times New Roman"/>
                <w:color w:val="000000"/>
                <w:spacing w:val="0"/>
                <w:w w:val="100"/>
                <w:position w:val="0"/>
                <w:sz w:val="18"/>
                <w:szCs w:val="18"/>
              </w:rPr>
              <w:t>301,001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20"/>
              <w:jc w:val="lef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301,001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高管锁定</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7"/>
                <w:szCs w:val="17"/>
              </w:rPr>
              <w:t>每年解锁</w:t>
            </w:r>
            <w:r>
              <w:rPr>
                <w:rFonts w:ascii="Times New Roman" w:eastAsia="Times New Roman" w:hAnsi="Times New Roman" w:cs="Times New Roman"/>
                <w:color w:val="000000"/>
                <w:spacing w:val="0"/>
                <w:w w:val="100"/>
                <w:position w:val="0"/>
                <w:sz w:val="18"/>
                <w:szCs w:val="18"/>
              </w:rPr>
              <w:t>25%</w:t>
            </w:r>
          </w:p>
        </w:tc>
      </w:tr>
    </w:tbl>
    <w:p>
      <w:pPr>
        <w:sectPr>
          <w:headerReference w:type="default" r:id="rId209"/>
          <w:footerReference w:type="default" r:id="rId210"/>
          <w:headerReference w:type="even" r:id="rId211"/>
          <w:footerReference w:type="even" r:id="rId212"/>
          <w:footnotePr>
            <w:pos w:val="pageBottom"/>
            <w:numFmt w:val="decimal"/>
            <w:numRestart w:val="continuous"/>
          </w:footnotePr>
          <w:pgSz w:w="11904" w:h="17375"/>
          <w:pgMar w:top="1070" w:right="1017" w:bottom="1425" w:left="1099" w:header="642" w:footer="3" w:gutter="0"/>
          <w:cols w:space="720"/>
          <w:noEndnote/>
          <w:rtlGutter w:val="0"/>
          <w:docGrid w:linePitch="360"/>
        </w:sectPr>
      </w:pPr>
    </w:p>
    <w:tbl>
      <w:tblPr>
        <w:tblOverlap w:val="never"/>
        <w:jc w:val="center"/>
        <w:tblLayout w:type="fixed"/>
      </w:tblPr>
      <w:tblGrid>
        <w:gridCol w:w="883"/>
        <w:gridCol w:w="994"/>
        <w:gridCol w:w="854"/>
        <w:gridCol w:w="989"/>
        <w:gridCol w:w="1138"/>
        <w:gridCol w:w="2405"/>
        <w:gridCol w:w="2448"/>
      </w:tblGrid>
      <w:tr>
        <w:trPr>
          <w:trHeight w:val="48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pPr>
            <w:r>
              <w:rPr>
                <w:color w:val="000000"/>
                <w:spacing w:val="0"/>
                <w:w w:val="100"/>
                <w:position w:val="0"/>
              </w:rPr>
              <w:t>安梅</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both"/>
              <w:rPr>
                <w:sz w:val="18"/>
                <w:szCs w:val="18"/>
              </w:rPr>
            </w:pPr>
            <w:r>
              <w:rPr>
                <w:rFonts w:ascii="Times New Roman" w:eastAsia="Times New Roman" w:hAnsi="Times New Roman" w:cs="Times New Roman"/>
                <w:color w:val="000000"/>
                <w:spacing w:val="0"/>
                <w:w w:val="100"/>
                <w:position w:val="0"/>
                <w:sz w:val="18"/>
                <w:szCs w:val="18"/>
              </w:rPr>
              <w:t>64,105,832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3,417,818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60,688,014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高管锁定</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7"/>
                <w:szCs w:val="17"/>
              </w:rPr>
              <w:t>每年解锁</w:t>
            </w:r>
            <w:r>
              <w:rPr>
                <w:rFonts w:ascii="Times New Roman" w:eastAsia="Times New Roman" w:hAnsi="Times New Roman" w:cs="Times New Roman"/>
                <w:color w:val="000000"/>
                <w:spacing w:val="0"/>
                <w:w w:val="100"/>
                <w:position w:val="0"/>
                <w:sz w:val="18"/>
                <w:szCs w:val="18"/>
              </w:rPr>
              <w:t>25%</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pPr>
            <w:r>
              <w:rPr>
                <w:color w:val="000000"/>
                <w:spacing w:val="0"/>
                <w:w w:val="100"/>
                <w:position w:val="0"/>
              </w:rPr>
              <w:t>高峰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both"/>
              <w:rPr>
                <w:sz w:val="18"/>
                <w:szCs w:val="18"/>
              </w:rPr>
            </w:pPr>
            <w:r>
              <w:rPr>
                <w:rFonts w:ascii="Times New Roman" w:eastAsia="Times New Roman" w:hAnsi="Times New Roman" w:cs="Times New Roman"/>
                <w:color w:val="000000"/>
                <w:spacing w:val="0"/>
                <w:w w:val="100"/>
                <w:position w:val="0"/>
                <w:sz w:val="18"/>
                <w:szCs w:val="18"/>
              </w:rPr>
              <w:t>7,256,914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7,256,914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高管锁定</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7"/>
                <w:szCs w:val="17"/>
              </w:rPr>
              <w:t>每年解锁</w:t>
            </w:r>
            <w:r>
              <w:rPr>
                <w:rFonts w:ascii="Times New Roman" w:eastAsia="Times New Roman" w:hAnsi="Times New Roman" w:cs="Times New Roman"/>
                <w:color w:val="000000"/>
                <w:spacing w:val="0"/>
                <w:w w:val="100"/>
                <w:position w:val="0"/>
                <w:sz w:val="18"/>
                <w:szCs w:val="18"/>
              </w:rPr>
              <w:t>25%</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pPr>
            <w:r>
              <w:rPr>
                <w:color w:val="000000"/>
                <w:spacing w:val="0"/>
                <w:w w:val="100"/>
                <w:position w:val="0"/>
              </w:rPr>
              <w:t>梁德兴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2,400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2,400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7"/>
                <w:szCs w:val="17"/>
              </w:rPr>
              <w:t>原高管任期内离任，锁定</w:t>
            </w:r>
            <w:r>
              <w:rPr>
                <w:rFonts w:ascii="Times New Roman" w:eastAsia="Times New Roman" w:hAnsi="Times New Roman" w:cs="Times New Roman"/>
                <w:color w:val="000000"/>
                <w:spacing w:val="0"/>
                <w:w w:val="100"/>
                <w:position w:val="0"/>
                <w:sz w:val="18"/>
                <w:szCs w:val="18"/>
              </w:rPr>
              <w:t>75%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7"/>
                <w:szCs w:val="17"/>
              </w:rPr>
              <w:t>原任期届满前，每年解锁</w:t>
            </w:r>
            <w:r>
              <w:rPr>
                <w:rFonts w:ascii="Times New Roman" w:eastAsia="Times New Roman" w:hAnsi="Times New Roman" w:cs="Times New Roman"/>
                <w:color w:val="000000"/>
                <w:spacing w:val="0"/>
                <w:w w:val="100"/>
                <w:position w:val="0"/>
                <w:sz w:val="18"/>
                <w:szCs w:val="18"/>
              </w:rPr>
              <w:t>25%</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260"/>
              <w:jc w:val="left"/>
            </w:pPr>
            <w:r>
              <w:rPr>
                <w:b/>
                <w:bCs/>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b/>
                <w:bCs/>
                <w:color w:val="000000"/>
                <w:spacing w:val="0"/>
                <w:w w:val="100"/>
                <w:position w:val="0"/>
                <w:sz w:val="18"/>
                <w:szCs w:val="18"/>
              </w:rPr>
              <w:t>367,350,798</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b/>
                <w:bCs/>
                <w:color w:val="000000"/>
                <w:spacing w:val="0"/>
                <w:w w:val="100"/>
                <w:position w:val="0"/>
                <w:sz w:val="18"/>
                <w:szCs w:val="18"/>
              </w:rPr>
              <w:t>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b/>
                <w:bCs/>
                <w:color w:val="000000"/>
                <w:spacing w:val="0"/>
                <w:w w:val="100"/>
                <w:position w:val="0"/>
                <w:sz w:val="18"/>
                <w:szCs w:val="18"/>
              </w:rPr>
              <w:t>35,182,793</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b/>
                <w:bCs/>
                <w:color w:val="000000"/>
                <w:spacing w:val="0"/>
                <w:w w:val="100"/>
                <w:position w:val="0"/>
                <w:sz w:val="18"/>
                <w:szCs w:val="18"/>
              </w:rPr>
              <w:t>332,168,005</w:t>
            </w:r>
          </w:p>
        </w:tc>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b/>
                <w:bCs/>
                <w:color w:val="000000"/>
                <w:spacing w:val="0"/>
                <w:w w:val="100"/>
                <w:position w:val="0"/>
                <w:sz w:val="18"/>
                <w:szCs w:val="18"/>
              </w:rPr>
              <w:t>--</w:t>
            </w:r>
          </w:p>
        </w:tc>
        <w:tc>
          <w:tcPr>
            <w:tcBorders>
              <w:top w:val="single" w:sz="4"/>
              <w:left w:val="single" w:sz="4"/>
              <w:bottom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b/>
                <w:bCs/>
                <w:color w:val="000000"/>
                <w:spacing w:val="0"/>
                <w:w w:val="100"/>
                <w:position w:val="0"/>
                <w:sz w:val="18"/>
                <w:szCs w:val="18"/>
              </w:rPr>
              <w:t>--</w:t>
            </w:r>
          </w:p>
        </w:tc>
      </w:tr>
    </w:tbl>
    <w:p>
      <w:pPr>
        <w:widowControl w:val="0"/>
        <w:spacing w:after="299" w:line="1" w:lineRule="exact"/>
      </w:pPr>
    </w:p>
    <w:p>
      <w:pPr>
        <w:pStyle w:val="Style39"/>
        <w:keepNext/>
        <w:keepLines/>
        <w:widowControl w:val="0"/>
        <w:shd w:val="clear" w:color="auto" w:fill="auto"/>
        <w:tabs>
          <w:tab w:pos="517" w:val="left"/>
        </w:tabs>
        <w:bidi w:val="0"/>
        <w:spacing w:before="0" w:after="360" w:line="240" w:lineRule="auto"/>
        <w:ind w:left="0" w:right="0" w:firstLine="0"/>
        <w:jc w:val="left"/>
      </w:pPr>
      <w:bookmarkStart w:id="601" w:name="bookmark601"/>
      <w:bookmarkStart w:id="602" w:name="bookmark602"/>
      <w:bookmarkStart w:id="603" w:name="bookmark603"/>
      <w:bookmarkStart w:id="604" w:name="bookmark604"/>
      <w:r>
        <w:rPr>
          <w:color w:val="000000"/>
          <w:spacing w:val="0"/>
          <w:w w:val="100"/>
          <w:position w:val="0"/>
          <w:sz w:val="24"/>
          <w:szCs w:val="24"/>
        </w:rPr>
        <w:t>二</w:t>
      </w:r>
      <w:bookmarkEnd w:id="603"/>
      <w:r>
        <w:rPr>
          <w:color w:val="000000"/>
          <w:spacing w:val="0"/>
          <w:w w:val="100"/>
          <w:position w:val="0"/>
          <w:sz w:val="24"/>
          <w:szCs w:val="24"/>
        </w:rPr>
        <w:t>、</w:t>
        <w:tab/>
        <w:t>证券发行与上市情况</w:t>
      </w:r>
      <w:bookmarkEnd w:id="601"/>
      <w:bookmarkEnd w:id="602"/>
      <w:bookmarkEnd w:id="604"/>
    </w:p>
    <w:p>
      <w:pPr>
        <w:pStyle w:val="Style47"/>
        <w:keepNext/>
        <w:keepLines/>
        <w:widowControl w:val="0"/>
        <w:shd w:val="clear" w:color="auto" w:fill="auto"/>
        <w:tabs>
          <w:tab w:pos="368" w:val="left"/>
        </w:tabs>
        <w:bidi w:val="0"/>
        <w:spacing w:before="0" w:after="460" w:line="240" w:lineRule="auto"/>
        <w:ind w:left="0" w:right="0" w:firstLine="0"/>
        <w:jc w:val="left"/>
      </w:pPr>
      <w:bookmarkStart w:id="605" w:name="bookmark605"/>
      <w:bookmarkStart w:id="606" w:name="bookmark606"/>
      <w:bookmarkStart w:id="607" w:name="bookmark607"/>
      <w:bookmarkStart w:id="608" w:name="bookmark608"/>
      <w:r>
        <w:rPr>
          <w:color w:val="000000"/>
          <w:spacing w:val="0"/>
          <w:w w:val="100"/>
          <w:position w:val="0"/>
        </w:rPr>
        <w:t>1</w:t>
      </w:r>
      <w:bookmarkEnd w:id="607"/>
      <w:r>
        <w:rPr>
          <w:color w:val="000000"/>
          <w:spacing w:val="0"/>
          <w:w w:val="100"/>
          <w:position w:val="0"/>
        </w:rPr>
        <w:t>、</w:t>
        <w:tab/>
        <w:t>报告期内证券发行（不含优先股）情况</w:t>
      </w:r>
      <w:bookmarkEnd w:id="605"/>
      <w:bookmarkEnd w:id="606"/>
      <w:bookmarkEnd w:id="608"/>
    </w:p>
    <w:p>
      <w:pPr>
        <w:pStyle w:val="Style41"/>
        <w:keepNext w:val="0"/>
        <w:keepLines w:val="0"/>
        <w:widowControl w:val="0"/>
        <w:shd w:val="clear" w:color="auto" w:fill="auto"/>
        <w:bidi w:val="0"/>
        <w:spacing w:before="0" w:after="46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b/>
          <w:bCs/>
          <w:i/>
          <w:iCs/>
          <w:color w:val="000000"/>
          <w:spacing w:val="0"/>
          <w:w w:val="100"/>
          <w:position w:val="0"/>
        </w:rPr>
        <w:t>*</w:t>
      </w:r>
      <w:r>
        <w:rPr>
          <w:b/>
          <w:bCs/>
          <w:color w:val="000000"/>
          <w:spacing w:val="0"/>
          <w:w w:val="100"/>
          <w:position w:val="0"/>
        </w:rPr>
        <w:t>不适用</w:t>
      </w:r>
    </w:p>
    <w:p>
      <w:pPr>
        <w:pStyle w:val="Style47"/>
        <w:keepNext/>
        <w:keepLines/>
        <w:widowControl w:val="0"/>
        <w:shd w:val="clear" w:color="auto" w:fill="auto"/>
        <w:tabs>
          <w:tab w:pos="378" w:val="left"/>
        </w:tabs>
        <w:bidi w:val="0"/>
        <w:spacing w:before="0" w:after="460" w:line="240" w:lineRule="auto"/>
        <w:ind w:left="0" w:right="0" w:firstLine="0"/>
        <w:jc w:val="left"/>
      </w:pPr>
      <w:bookmarkStart w:id="609" w:name="bookmark609"/>
      <w:bookmarkStart w:id="610" w:name="bookmark610"/>
      <w:bookmarkStart w:id="611" w:name="bookmark611"/>
      <w:bookmarkStart w:id="612" w:name="bookmark612"/>
      <w:r>
        <w:rPr>
          <w:color w:val="000000"/>
          <w:spacing w:val="0"/>
          <w:w w:val="100"/>
          <w:position w:val="0"/>
        </w:rPr>
        <w:t>2</w:t>
      </w:r>
      <w:bookmarkEnd w:id="611"/>
      <w:r>
        <w:rPr>
          <w:color w:val="000000"/>
          <w:spacing w:val="0"/>
          <w:w w:val="100"/>
          <w:position w:val="0"/>
        </w:rPr>
        <w:t>、</w:t>
        <w:tab/>
        <w:t>公司股份总数及股东结构的变动、公司资产和负债结构的变动情况说明</w:t>
      </w:r>
      <w:bookmarkEnd w:id="609"/>
      <w:bookmarkEnd w:id="610"/>
      <w:bookmarkEnd w:id="612"/>
    </w:p>
    <w:p>
      <w:pPr>
        <w:pStyle w:val="Style41"/>
        <w:keepNext w:val="0"/>
        <w:keepLines w:val="0"/>
        <w:widowControl w:val="0"/>
        <w:shd w:val="clear" w:color="auto" w:fill="auto"/>
        <w:bidi w:val="0"/>
        <w:spacing w:before="0" w:after="46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b/>
          <w:bCs/>
          <w:color w:val="000000"/>
          <w:spacing w:val="0"/>
          <w:w w:val="100"/>
          <w:position w:val="0"/>
          <w:sz w:val="18"/>
          <w:szCs w:val="18"/>
        </w:rPr>
        <w:t>*</w:t>
      </w:r>
      <w:r>
        <w:rPr>
          <w:b/>
          <w:bCs/>
          <w:color w:val="000000"/>
          <w:spacing w:val="0"/>
          <w:w w:val="100"/>
          <w:position w:val="0"/>
        </w:rPr>
        <w:t>不适用</w:t>
      </w:r>
    </w:p>
    <w:p>
      <w:pPr>
        <w:pStyle w:val="Style47"/>
        <w:keepNext/>
        <w:keepLines/>
        <w:widowControl w:val="0"/>
        <w:shd w:val="clear" w:color="auto" w:fill="auto"/>
        <w:tabs>
          <w:tab w:pos="378" w:val="left"/>
        </w:tabs>
        <w:bidi w:val="0"/>
        <w:spacing w:before="0" w:after="460" w:line="240" w:lineRule="auto"/>
        <w:ind w:left="0" w:right="0" w:firstLine="0"/>
        <w:jc w:val="left"/>
      </w:pPr>
      <w:bookmarkStart w:id="613" w:name="bookmark613"/>
      <w:bookmarkStart w:id="614" w:name="bookmark614"/>
      <w:bookmarkStart w:id="615" w:name="bookmark615"/>
      <w:bookmarkStart w:id="616" w:name="bookmark616"/>
      <w:r>
        <w:rPr>
          <w:color w:val="000000"/>
          <w:spacing w:val="0"/>
          <w:w w:val="100"/>
          <w:position w:val="0"/>
        </w:rPr>
        <w:t>3</w:t>
      </w:r>
      <w:bookmarkEnd w:id="615"/>
      <w:r>
        <w:rPr>
          <w:color w:val="000000"/>
          <w:spacing w:val="0"/>
          <w:w w:val="100"/>
          <w:position w:val="0"/>
        </w:rPr>
        <w:t>、</w:t>
        <w:tab/>
        <w:t>现存的内部职工股情况</w:t>
      </w:r>
      <w:bookmarkEnd w:id="613"/>
      <w:bookmarkEnd w:id="614"/>
      <w:bookmarkEnd w:id="616"/>
    </w:p>
    <w:p>
      <w:pPr>
        <w:pStyle w:val="Style41"/>
        <w:keepNext w:val="0"/>
        <w:keepLines w:val="0"/>
        <w:widowControl w:val="0"/>
        <w:shd w:val="clear" w:color="auto" w:fill="auto"/>
        <w:bidi w:val="0"/>
        <w:spacing w:before="0" w:after="46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b/>
          <w:bCs/>
          <w:color w:val="000000"/>
          <w:spacing w:val="0"/>
          <w:w w:val="100"/>
          <w:position w:val="0"/>
          <w:sz w:val="18"/>
          <w:szCs w:val="18"/>
        </w:rPr>
        <w:t>*</w:t>
      </w:r>
      <w:r>
        <w:rPr>
          <w:b/>
          <w:bCs/>
          <w:color w:val="000000"/>
          <w:spacing w:val="0"/>
          <w:w w:val="100"/>
          <w:position w:val="0"/>
        </w:rPr>
        <w:t>不适用</w:t>
      </w:r>
    </w:p>
    <w:p>
      <w:pPr>
        <w:pStyle w:val="Style39"/>
        <w:keepNext/>
        <w:keepLines/>
        <w:widowControl w:val="0"/>
        <w:shd w:val="clear" w:color="auto" w:fill="auto"/>
        <w:tabs>
          <w:tab w:pos="517" w:val="left"/>
        </w:tabs>
        <w:bidi w:val="0"/>
        <w:spacing w:before="0" w:after="360" w:line="240" w:lineRule="auto"/>
        <w:ind w:left="0" w:right="0" w:firstLine="0"/>
        <w:jc w:val="left"/>
      </w:pPr>
      <w:bookmarkStart w:id="617" w:name="bookmark617"/>
      <w:bookmarkStart w:id="618" w:name="bookmark618"/>
      <w:bookmarkStart w:id="619" w:name="bookmark619"/>
      <w:bookmarkStart w:id="620" w:name="bookmark620"/>
      <w:r>
        <w:rPr>
          <w:color w:val="000000"/>
          <w:spacing w:val="0"/>
          <w:w w:val="100"/>
          <w:position w:val="0"/>
          <w:sz w:val="24"/>
          <w:szCs w:val="24"/>
        </w:rPr>
        <w:t>三</w:t>
      </w:r>
      <w:bookmarkEnd w:id="619"/>
      <w:r>
        <w:rPr>
          <w:color w:val="000000"/>
          <w:spacing w:val="0"/>
          <w:w w:val="100"/>
          <w:position w:val="0"/>
          <w:sz w:val="24"/>
          <w:szCs w:val="24"/>
        </w:rPr>
        <w:t>、</w:t>
        <w:tab/>
        <w:t>股东和实际控制人情况</w:t>
      </w:r>
      <w:bookmarkEnd w:id="617"/>
      <w:bookmarkEnd w:id="618"/>
      <w:bookmarkEnd w:id="620"/>
    </w:p>
    <w:p>
      <w:pPr>
        <w:pStyle w:val="Style47"/>
        <w:keepNext/>
        <w:keepLines/>
        <w:widowControl w:val="0"/>
        <w:shd w:val="clear" w:color="auto" w:fill="auto"/>
        <w:bidi w:val="0"/>
        <w:spacing w:before="0" w:after="360" w:line="240" w:lineRule="auto"/>
        <w:ind w:left="0" w:right="0" w:firstLine="0"/>
        <w:jc w:val="left"/>
      </w:pPr>
      <w:bookmarkStart w:id="621" w:name="bookmark621"/>
      <w:bookmarkStart w:id="622" w:name="bookmark622"/>
      <w:bookmarkStart w:id="623" w:name="bookmark623"/>
      <w:bookmarkStart w:id="624" w:name="bookmark624"/>
      <w:r>
        <w:rPr>
          <w:color w:val="000000"/>
          <w:spacing w:val="0"/>
          <w:w w:val="100"/>
          <w:position w:val="0"/>
        </w:rPr>
        <w:t>1</w:t>
      </w:r>
      <w:bookmarkEnd w:id="623"/>
      <w:r>
        <w:rPr>
          <w:color w:val="000000"/>
          <w:spacing w:val="0"/>
          <w:w w:val="100"/>
          <w:position w:val="0"/>
        </w:rPr>
        <w:t>、公司股东数量及持股情况</w:t>
      </w:r>
      <w:bookmarkEnd w:id="621"/>
      <w:bookmarkEnd w:id="622"/>
      <w:bookmarkEnd w:id="624"/>
    </w:p>
    <w:p>
      <w:pPr>
        <w:pStyle w:val="Style20"/>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单位：股</w:t>
      </w:r>
    </w:p>
    <w:tbl>
      <w:tblPr>
        <w:tblOverlap w:val="never"/>
        <w:jc w:val="center"/>
        <w:tblLayout w:type="fixed"/>
      </w:tblPr>
      <w:tblGrid>
        <w:gridCol w:w="1018"/>
        <w:gridCol w:w="979"/>
        <w:gridCol w:w="979"/>
        <w:gridCol w:w="1267"/>
        <w:gridCol w:w="1085"/>
        <w:gridCol w:w="1123"/>
        <w:gridCol w:w="1046"/>
        <w:gridCol w:w="1147"/>
        <w:gridCol w:w="1066"/>
      </w:tblGrid>
      <w:tr>
        <w:trPr>
          <w:trHeight w:val="1339"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报告期末普 通股股东总 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rPr>
                <w:sz w:val="18"/>
                <w:szCs w:val="18"/>
              </w:rPr>
            </w:pPr>
            <w:r>
              <w:rPr>
                <w:rFonts w:ascii="Times New Roman" w:eastAsia="Times New Roman" w:hAnsi="Times New Roman" w:cs="Times New Roman"/>
                <w:color w:val="000000"/>
                <w:spacing w:val="0"/>
                <w:w w:val="100"/>
                <w:position w:val="0"/>
                <w:sz w:val="18"/>
                <w:szCs w:val="18"/>
              </w:rPr>
              <w:t>84,093</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年度报告披 露日前上一 月末普通股 股东总数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82,887</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5" w:lineRule="exact"/>
              <w:ind w:left="0" w:right="0" w:firstLine="0"/>
              <w:jc w:val="left"/>
            </w:pPr>
            <w:r>
              <w:rPr>
                <w:color w:val="000000"/>
                <w:spacing w:val="0"/>
                <w:w w:val="100"/>
                <w:position w:val="0"/>
              </w:rPr>
              <w:t>报告期末表 决权恢复的 优先股股东 总数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gridSpan w:val="2"/>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0" w:lineRule="exact"/>
              <w:ind w:left="0" w:right="0" w:firstLine="0"/>
              <w:jc w:val="left"/>
            </w:pPr>
            <w:r>
              <w:rPr>
                <w:color w:val="000000"/>
                <w:spacing w:val="0"/>
                <w:w w:val="100"/>
                <w:position w:val="0"/>
              </w:rPr>
              <w:t>年度报告披露日前上一月 末表决权恢复的优先股股 东总数</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403" w:hRule="exact"/>
        </w:trPr>
        <w:tc>
          <w:tcPr>
            <w:gridSpan w:val="9"/>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持股</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以上的股东或前</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名股东持股情况</w:t>
            </w:r>
          </w:p>
        </w:tc>
      </w:tr>
      <w:tr>
        <w:trPr>
          <w:trHeight w:val="403" w:hRule="exact"/>
        </w:trPr>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140"/>
              <w:jc w:val="left"/>
            </w:pPr>
            <w:r>
              <w:rPr>
                <w:color w:val="000000"/>
                <w:spacing w:val="0"/>
                <w:w w:val="100"/>
                <w:position w:val="0"/>
              </w:rPr>
              <w:t>股东名称</w:t>
            </w:r>
          </w:p>
        </w:tc>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股东性质</w:t>
            </w:r>
          </w:p>
        </w:tc>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持股比例</w:t>
            </w:r>
          </w:p>
        </w:tc>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报告期末持股 数量</w:t>
            </w:r>
          </w:p>
        </w:tc>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报告期内增 减变动情况</w:t>
            </w:r>
          </w:p>
        </w:tc>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持有有限售</w:t>
            </w:r>
          </w:p>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条件的股份</w:t>
            </w:r>
          </w:p>
          <w:p>
            <w:pPr>
              <w:pStyle w:val="Style2"/>
              <w:keepNext w:val="0"/>
              <w:keepLines w:val="0"/>
              <w:widowControl w:val="0"/>
              <w:shd w:val="clear" w:color="auto" w:fill="auto"/>
              <w:bidi w:val="0"/>
              <w:spacing w:before="0" w:after="100" w:line="240" w:lineRule="auto"/>
              <w:ind w:left="0" w:right="0" w:firstLine="360"/>
              <w:jc w:val="left"/>
            </w:pPr>
            <w:r>
              <w:rPr>
                <w:color w:val="000000"/>
                <w:spacing w:val="0"/>
                <w:w w:val="100"/>
                <w:position w:val="0"/>
              </w:rPr>
              <w:t>数量</w:t>
            </w:r>
          </w:p>
        </w:tc>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持有无限售</w:t>
            </w:r>
          </w:p>
          <w:p>
            <w:pPr>
              <w:pStyle w:val="Style2"/>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条件的股份</w:t>
            </w:r>
          </w:p>
          <w:p>
            <w:pPr>
              <w:pStyle w:val="Style2"/>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数量</w:t>
            </w:r>
          </w:p>
        </w:tc>
        <w:tc>
          <w:tcPr>
            <w:gridSpan w:val="2"/>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质押或冻结情况</w:t>
            </w:r>
          </w:p>
        </w:tc>
      </w:tr>
      <w:tr>
        <w:trPr>
          <w:trHeight w:val="624" w:hRule="exact"/>
        </w:trPr>
        <w:tc>
          <w:tcPr>
            <w:vMerge/>
            <w:tcBorders>
              <w:left w:val="single" w:sz="4"/>
            </w:tcBorders>
            <w:shd w:val="clear" w:color="auto" w:fill="D7D7D7"/>
            <w:vAlign w:val="center"/>
          </w:tcPr>
          <w:p>
            <w:pPr/>
          </w:p>
        </w:tc>
        <w:tc>
          <w:tcPr>
            <w:vMerge/>
            <w:tcBorders>
              <w:left w:val="single" w:sz="4"/>
            </w:tcBorders>
            <w:shd w:val="clear" w:color="auto" w:fill="D7D7D7"/>
            <w:vAlign w:val="center"/>
          </w:tcPr>
          <w:p>
            <w:pPr/>
          </w:p>
        </w:tc>
        <w:tc>
          <w:tcPr>
            <w:vMerge/>
            <w:tcBorders>
              <w:left w:val="single" w:sz="4"/>
            </w:tcBorders>
            <w:shd w:val="clear" w:color="auto" w:fill="D7D7D7"/>
            <w:vAlign w:val="center"/>
          </w:tcPr>
          <w:p>
            <w:pPr/>
          </w:p>
        </w:tc>
        <w:tc>
          <w:tcPr>
            <w:vMerge/>
            <w:tcBorders>
              <w:left w:val="single" w:sz="4"/>
            </w:tcBorders>
            <w:shd w:val="clear" w:color="auto" w:fill="D7D7D7"/>
            <w:vAlign w:val="center"/>
          </w:tcPr>
          <w:p>
            <w:pPr/>
          </w:p>
        </w:tc>
        <w:tc>
          <w:tcPr>
            <w:vMerge/>
            <w:tcBorders>
              <w:left w:val="single" w:sz="4"/>
            </w:tcBorders>
            <w:shd w:val="clear" w:color="auto" w:fill="D7D7D7"/>
            <w:vAlign w:val="center"/>
          </w:tcPr>
          <w:p>
            <w:pPr/>
          </w:p>
        </w:tc>
        <w:tc>
          <w:tcPr>
            <w:vMerge/>
            <w:tcBorders>
              <w:left w:val="single" w:sz="4"/>
            </w:tcBorders>
            <w:shd w:val="clear" w:color="auto" w:fill="D7D7D7"/>
            <w:vAlign w:val="center"/>
          </w:tcPr>
          <w:p>
            <w:pPr/>
          </w:p>
        </w:tc>
        <w:tc>
          <w:tcPr>
            <w:vMerge/>
            <w:tcBorders>
              <w:left w:val="single" w:sz="4"/>
            </w:tcBorders>
            <w:shd w:val="clear" w:color="auto" w:fill="D7D7D7"/>
            <w:vAlign w:val="center"/>
          </w:tcPr>
          <w:p>
            <w:pP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股份状态</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340" w:firstLine="0"/>
              <w:jc w:val="right"/>
            </w:pPr>
            <w:r>
              <w:rPr>
                <w:color w:val="000000"/>
                <w:spacing w:val="0"/>
                <w:w w:val="100"/>
                <w:position w:val="0"/>
              </w:rPr>
              <w:t>数量</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李力</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境内自然</w:t>
            </w:r>
          </w:p>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9.06%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8"/>
                <w:szCs w:val="18"/>
              </w:rPr>
            </w:pPr>
            <w:r>
              <w:rPr>
                <w:rFonts w:ascii="Times New Roman" w:eastAsia="Times New Roman" w:hAnsi="Times New Roman" w:cs="Times New Roman"/>
                <w:color w:val="000000"/>
                <w:spacing w:val="0"/>
                <w:w w:val="100"/>
                <w:position w:val="0"/>
                <w:sz w:val="18"/>
                <w:szCs w:val="18"/>
              </w:rPr>
              <w:t>177,614,004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-38,340,000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161,965,503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15,648,501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质押</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41,000,000</w:t>
            </w: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王宁</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境内自然</w:t>
            </w:r>
          </w:p>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4.88%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95,708,612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-31,250,000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95,218,959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489,653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质押</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30,000,000</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安梅</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left"/>
            </w:pPr>
            <w:r>
              <w:rPr>
                <w:color w:val="000000"/>
                <w:spacing w:val="0"/>
                <w:w w:val="100"/>
                <w:position w:val="0"/>
              </w:rPr>
              <w:t>境内自然</w:t>
            </w:r>
          </w:p>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3.49%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68,487,352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-11,271,191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60,688,014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7,799,338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left"/>
              <w:rPr>
                <w:sz w:val="18"/>
                <w:szCs w:val="18"/>
              </w:rPr>
            </w:pPr>
            <w:r>
              <w:rPr>
                <w:rFonts w:ascii="Times New Roman" w:eastAsia="Times New Roman" w:hAnsi="Times New Roman" w:cs="Times New Roman"/>
                <w:color w:val="000000"/>
                <w:spacing w:val="0"/>
                <w:w w:val="100"/>
                <w:position w:val="0"/>
                <w:sz w:val="18"/>
                <w:szCs w:val="18"/>
              </w:rPr>
              <w:t>-</w:t>
            </w:r>
          </w:p>
        </w:tc>
      </w:tr>
      <w:tr>
        <w:trPr>
          <w:trHeight w:val="725"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中国证券 金融股份</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境内非国 有法人</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2.06%</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40,304,484</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-14,104,165</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40,304,484</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left"/>
              <w:rPr>
                <w:sz w:val="18"/>
                <w:szCs w:val="18"/>
              </w:rPr>
            </w:pPr>
            <w:r>
              <w:rPr>
                <w:rFonts w:ascii="Times New Roman" w:eastAsia="Times New Roman" w:hAnsi="Times New Roman" w:cs="Times New Roman"/>
                <w:color w:val="000000"/>
                <w:spacing w:val="0"/>
                <w:w w:val="100"/>
                <w:position w:val="0"/>
                <w:sz w:val="18"/>
                <w:szCs w:val="18"/>
              </w:rPr>
              <w:t>-</w:t>
            </w:r>
          </w:p>
        </w:tc>
      </w:tr>
    </w:tbl>
    <w:p>
      <w:pPr>
        <w:spacing w:lineRule="exact" w:line="1"/>
        <w:rPr>
          <w:sz w:val="2"/>
          <w:szCs w:val="2"/>
        </w:rPr>
      </w:pPr>
      <w:r>
        <w:br w:type="page"/>
      </w:r>
    </w:p>
    <w:tbl>
      <w:tblPr>
        <w:tblOverlap w:val="never"/>
        <w:jc w:val="center"/>
        <w:tblLayout w:type="fixed"/>
      </w:tblPr>
      <w:tblGrid>
        <w:gridCol w:w="1018"/>
        <w:gridCol w:w="979"/>
        <w:gridCol w:w="979"/>
        <w:gridCol w:w="1267"/>
        <w:gridCol w:w="1085"/>
        <w:gridCol w:w="1123"/>
        <w:gridCol w:w="1046"/>
        <w:gridCol w:w="1147"/>
        <w:gridCol w:w="1066"/>
      </w:tblGrid>
      <w:tr>
        <w:trPr>
          <w:trHeight w:val="43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pPr>
            <w:r>
              <w:rPr>
                <w:color w:val="000000"/>
                <w:spacing w:val="0"/>
                <w:w w:val="100"/>
                <w:position w:val="0"/>
              </w:rPr>
              <w:t>有限公司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齐强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left"/>
            </w:pPr>
            <w:r>
              <w:rPr>
                <w:color w:val="000000"/>
                <w:spacing w:val="0"/>
                <w:w w:val="100"/>
                <w:position w:val="0"/>
              </w:rPr>
              <w:t>境内自然</w:t>
            </w:r>
          </w:p>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2.03%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39,754,328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-43,730,746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39,754,328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pPr>
            <w:r>
              <w:rPr>
                <w:color w:val="000000"/>
                <w:spacing w:val="0"/>
                <w:w w:val="100"/>
                <w:position w:val="0"/>
              </w:rPr>
              <w:t>王雅莉</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left"/>
            </w:pPr>
            <w:r>
              <w:rPr>
                <w:color w:val="000000"/>
                <w:spacing w:val="0"/>
                <w:w w:val="100"/>
                <w:position w:val="0"/>
              </w:rPr>
              <w:t>境内自然</w:t>
            </w:r>
          </w:p>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1.75%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34,326,693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both"/>
              <w:rPr>
                <w:sz w:val="18"/>
                <w:szCs w:val="18"/>
              </w:rPr>
            </w:pPr>
            <w:r>
              <w:rPr>
                <w:rFonts w:ascii="Times New Roman" w:eastAsia="Times New Roman" w:hAnsi="Times New Roman" w:cs="Times New Roman"/>
                <w:color w:val="000000"/>
                <w:spacing w:val="0"/>
                <w:w w:val="100"/>
                <w:position w:val="0"/>
                <w:sz w:val="18"/>
                <w:szCs w:val="18"/>
              </w:rPr>
              <w:t>-19,000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34,326,693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w:t>
            </w:r>
          </w:p>
        </w:tc>
      </w:tr>
      <w:tr>
        <w:trPr>
          <w:trHeight w:val="196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北京神州 泰岳软件 股份有限 公司回购 专用证券 账户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98" w:lineRule="exact"/>
              <w:ind w:left="0" w:right="0" w:firstLine="0"/>
              <w:jc w:val="center"/>
            </w:pPr>
            <w:r>
              <w:rPr>
                <w:color w:val="000000"/>
                <w:spacing w:val="0"/>
                <w:w w:val="100"/>
                <w:position w:val="0"/>
              </w:rPr>
              <w:t>境内非国 有法人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1.32%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25,947,942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000000"/>
                <w:spacing w:val="0"/>
                <w:w w:val="100"/>
                <w:position w:val="0"/>
                <w:sz w:val="18"/>
                <w:szCs w:val="18"/>
              </w:rPr>
              <w:t>25,947,942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25,947,942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w:t>
            </w: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pPr>
            <w:r>
              <w:rPr>
                <w:color w:val="000000"/>
                <w:spacing w:val="0"/>
                <w:w w:val="100"/>
                <w:position w:val="0"/>
              </w:rPr>
              <w:t>黄松浪</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left"/>
            </w:pPr>
            <w:r>
              <w:rPr>
                <w:color w:val="000000"/>
                <w:spacing w:val="0"/>
                <w:w w:val="100"/>
                <w:position w:val="0"/>
              </w:rPr>
              <w:t>境内自然</w:t>
            </w:r>
          </w:p>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1.16%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22,700,000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-38,767,754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22,700,000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pPr>
            <w:r>
              <w:rPr>
                <w:color w:val="000000"/>
                <w:spacing w:val="0"/>
                <w:w w:val="100"/>
                <w:position w:val="0"/>
              </w:rPr>
              <w:t>徐斯平</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left"/>
            </w:pPr>
            <w:r>
              <w:rPr>
                <w:color w:val="000000"/>
                <w:spacing w:val="0"/>
                <w:w w:val="100"/>
                <w:position w:val="0"/>
              </w:rPr>
              <w:t>境内自然</w:t>
            </w:r>
          </w:p>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1.10%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21,544,301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-32,209,561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21,544,301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杨磊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left"/>
            </w:pPr>
            <w:r>
              <w:rPr>
                <w:color w:val="000000"/>
                <w:spacing w:val="0"/>
                <w:w w:val="100"/>
                <w:position w:val="0"/>
              </w:rPr>
              <w:t>境内自然</w:t>
            </w:r>
          </w:p>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1.06%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20,868,027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605,100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20,868,027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w:t>
            </w:r>
          </w:p>
        </w:tc>
      </w:tr>
      <w:tr>
        <w:trPr>
          <w:trHeight w:val="3211"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1" w:lineRule="exact"/>
              <w:ind w:left="0" w:right="0" w:firstLine="0"/>
              <w:jc w:val="center"/>
            </w:pPr>
            <w:r>
              <w:rPr>
                <w:color w:val="000000"/>
                <w:spacing w:val="0"/>
                <w:w w:val="100"/>
                <w:position w:val="0"/>
              </w:rPr>
              <w:t>易方达基 金一中央 汇金资产 管理有限 责任公司 一易方达 基金一汇 金资管单 一资产管 理计划</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境内非国 有法人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1.03%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20,237,200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000000"/>
                <w:spacing w:val="0"/>
                <w:w w:val="100"/>
                <w:position w:val="0"/>
                <w:sz w:val="18"/>
                <w:szCs w:val="18"/>
              </w:rPr>
              <w:t>20,237,200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20,237,200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w:t>
            </w:r>
          </w:p>
        </w:tc>
      </w:tr>
      <w:tr>
        <w:trPr>
          <w:trHeight w:val="1022" w:hRule="exact"/>
        </w:trPr>
        <w:tc>
          <w:tcPr>
            <w:gridSpan w:val="2"/>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战略投资者或一般法人 因配售新股成为前</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名 股东的情况</w:t>
            </w:r>
          </w:p>
        </w:tc>
        <w:tc>
          <w:tcPr>
            <w:gridSpan w:val="7"/>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无</w:t>
            </w:r>
          </w:p>
        </w:tc>
      </w:tr>
      <w:tr>
        <w:trPr>
          <w:trHeight w:val="715" w:hRule="exact"/>
        </w:trPr>
        <w:tc>
          <w:tcPr>
            <w:gridSpan w:val="2"/>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上述股东关联关系或一 致行动的说明</w:t>
            </w:r>
          </w:p>
        </w:tc>
        <w:tc>
          <w:tcPr>
            <w:gridSpan w:val="7"/>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自然人王宁先生、李力先生为一致行动人，系本公司的实际控制人。</w:t>
            </w:r>
          </w:p>
        </w:tc>
      </w:tr>
      <w:tr>
        <w:trPr>
          <w:trHeight w:val="1027" w:hRule="exact"/>
        </w:trPr>
        <w:tc>
          <w:tcPr>
            <w:gridSpan w:val="2"/>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4" w:lineRule="exact"/>
              <w:ind w:left="0" w:right="0" w:firstLine="0"/>
              <w:jc w:val="left"/>
            </w:pPr>
            <w:r>
              <w:rPr>
                <w:color w:val="000000"/>
                <w:spacing w:val="0"/>
                <w:w w:val="100"/>
                <w:position w:val="0"/>
              </w:rPr>
              <w:t>上述股东涉及委托</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受托 表决权、放弃表决权情况 的说明</w:t>
            </w:r>
          </w:p>
        </w:tc>
        <w:tc>
          <w:tcPr>
            <w:gridSpan w:val="7"/>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安梅女士委托王宁先生行使其所持公司股份表决权。</w:t>
            </w:r>
          </w:p>
        </w:tc>
      </w:tr>
      <w:tr>
        <w:trPr>
          <w:trHeight w:val="403" w:hRule="exact"/>
        </w:trPr>
        <w:tc>
          <w:tcPr>
            <w:gridSpan w:val="9"/>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前</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名无限售条件股东持股情况</w:t>
            </w:r>
          </w:p>
        </w:tc>
      </w:tr>
      <w:tr>
        <w:trPr>
          <w:trHeight w:val="398" w:hRule="exact"/>
        </w:trPr>
        <w:tc>
          <w:tcPr>
            <w:gridSpan w:val="2"/>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股东名称</w:t>
            </w:r>
          </w:p>
        </w:tc>
        <w:tc>
          <w:tcPr>
            <w:gridSpan w:val="5"/>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报告期末持有无限售条件股份数量</w:t>
            </w:r>
          </w:p>
        </w:tc>
        <w:tc>
          <w:tcPr>
            <w:gridSpan w:val="2"/>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股份种类</w:t>
            </w:r>
          </w:p>
        </w:tc>
      </w:tr>
      <w:tr>
        <w:trPr>
          <w:trHeight w:val="403" w:hRule="exact"/>
        </w:trPr>
        <w:tc>
          <w:tcPr>
            <w:gridSpan w:val="2"/>
            <w:vMerge/>
            <w:tcBorders>
              <w:left w:val="single" w:sz="4"/>
            </w:tcBorders>
            <w:shd w:val="clear" w:color="auto" w:fill="D7D7D7"/>
            <w:vAlign w:val="center"/>
          </w:tcPr>
          <w:p>
            <w:pPr/>
          </w:p>
        </w:tc>
        <w:tc>
          <w:tcPr>
            <w:gridSpan w:val="5"/>
            <w:vMerge/>
            <w:tcBorders>
              <w:left w:val="single" w:sz="4"/>
            </w:tcBorders>
            <w:shd w:val="clear" w:color="auto" w:fill="D7D7D7"/>
            <w:vAlign w:val="center"/>
          </w:tcPr>
          <w:p>
            <w:pP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200"/>
              <w:jc w:val="left"/>
            </w:pPr>
            <w:r>
              <w:rPr>
                <w:color w:val="000000"/>
                <w:spacing w:val="0"/>
                <w:w w:val="100"/>
                <w:position w:val="0"/>
              </w:rPr>
              <w:t>股份种类</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340" w:firstLine="0"/>
              <w:jc w:val="right"/>
            </w:pPr>
            <w:r>
              <w:rPr>
                <w:color w:val="000000"/>
                <w:spacing w:val="0"/>
                <w:w w:val="100"/>
                <w:position w:val="0"/>
              </w:rPr>
              <w:t>数量</w:t>
            </w:r>
          </w:p>
        </w:tc>
      </w:tr>
      <w:tr>
        <w:trPr>
          <w:trHeight w:val="725" w:hRule="exact"/>
        </w:trPr>
        <w:tc>
          <w:tcPr>
            <w:gridSpan w:val="2"/>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22" w:lineRule="exact"/>
              <w:ind w:left="0" w:right="0" w:firstLine="0"/>
              <w:jc w:val="center"/>
            </w:pPr>
            <w:r>
              <w:rPr>
                <w:color w:val="000000"/>
                <w:spacing w:val="0"/>
                <w:w w:val="100"/>
                <w:position w:val="0"/>
              </w:rPr>
              <w:t>中国证券金融股份有限 公司</w:t>
            </w:r>
          </w:p>
        </w:tc>
        <w:tc>
          <w:tcPr>
            <w:gridSpan w:val="5"/>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40,304,484</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人民币普通股</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40,304,484</w:t>
            </w:r>
          </w:p>
        </w:tc>
      </w:tr>
    </w:tbl>
    <w:p>
      <w:pPr>
        <w:spacing w:lineRule="exact" w:line="1"/>
        <w:rPr>
          <w:sz w:val="2"/>
          <w:szCs w:val="2"/>
        </w:rPr>
      </w:pPr>
      <w:r>
        <w:br w:type="page"/>
      </w:r>
    </w:p>
    <w:tbl>
      <w:tblPr>
        <w:tblOverlap w:val="never"/>
        <w:jc w:val="center"/>
        <w:tblLayout w:type="fixed"/>
      </w:tblPr>
      <w:tblGrid>
        <w:gridCol w:w="1997"/>
        <w:gridCol w:w="5501"/>
        <w:gridCol w:w="1147"/>
        <w:gridCol w:w="1066"/>
      </w:tblGrid>
      <w:tr>
        <w:trPr>
          <w:trHeight w:val="48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齐强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4660" w:right="0" w:firstLine="0"/>
              <w:jc w:val="left"/>
              <w:rPr>
                <w:sz w:val="18"/>
                <w:szCs w:val="18"/>
              </w:rPr>
            </w:pPr>
            <w:r>
              <w:rPr>
                <w:rFonts w:ascii="Times New Roman" w:eastAsia="Times New Roman" w:hAnsi="Times New Roman" w:cs="Times New Roman"/>
                <w:color w:val="000000"/>
                <w:spacing w:val="0"/>
                <w:w w:val="100"/>
                <w:position w:val="0"/>
                <w:sz w:val="18"/>
                <w:szCs w:val="18"/>
              </w:rPr>
              <w:t>39,754,328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人民币普通股</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both"/>
              <w:rPr>
                <w:sz w:val="18"/>
                <w:szCs w:val="18"/>
              </w:rPr>
            </w:pPr>
            <w:r>
              <w:rPr>
                <w:rFonts w:ascii="Times New Roman" w:eastAsia="Times New Roman" w:hAnsi="Times New Roman" w:cs="Times New Roman"/>
                <w:color w:val="000000"/>
                <w:spacing w:val="0"/>
                <w:w w:val="100"/>
                <w:position w:val="0"/>
                <w:sz w:val="18"/>
                <w:szCs w:val="18"/>
              </w:rPr>
              <w:t>39,754,328</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王雅莉</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4660" w:right="0" w:firstLine="0"/>
              <w:jc w:val="left"/>
              <w:rPr>
                <w:sz w:val="18"/>
                <w:szCs w:val="18"/>
              </w:rPr>
            </w:pPr>
            <w:r>
              <w:rPr>
                <w:rFonts w:ascii="Times New Roman" w:eastAsia="Times New Roman" w:hAnsi="Times New Roman" w:cs="Times New Roman"/>
                <w:color w:val="000000"/>
                <w:spacing w:val="0"/>
                <w:w w:val="100"/>
                <w:position w:val="0"/>
                <w:sz w:val="18"/>
                <w:szCs w:val="18"/>
              </w:rPr>
              <w:t>34,326,693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人民币普通股</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both"/>
              <w:rPr>
                <w:sz w:val="18"/>
                <w:szCs w:val="18"/>
              </w:rPr>
            </w:pPr>
            <w:r>
              <w:rPr>
                <w:rFonts w:ascii="Times New Roman" w:eastAsia="Times New Roman" w:hAnsi="Times New Roman" w:cs="Times New Roman"/>
                <w:color w:val="000000"/>
                <w:spacing w:val="0"/>
                <w:w w:val="100"/>
                <w:position w:val="0"/>
                <w:sz w:val="18"/>
                <w:szCs w:val="18"/>
              </w:rPr>
              <w:t>34,326,693</w:t>
            </w:r>
          </w:p>
        </w:tc>
      </w:tr>
      <w:tr>
        <w:trPr>
          <w:trHeight w:val="102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北京神州泰岳软件股份 有限公司回购专用证券 账户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4660" w:right="0" w:firstLine="0"/>
              <w:jc w:val="left"/>
              <w:rPr>
                <w:sz w:val="18"/>
                <w:szCs w:val="18"/>
              </w:rPr>
            </w:pPr>
            <w:r>
              <w:rPr>
                <w:rFonts w:ascii="Times New Roman" w:eastAsia="Times New Roman" w:hAnsi="Times New Roman" w:cs="Times New Roman"/>
                <w:color w:val="000000"/>
                <w:spacing w:val="0"/>
                <w:w w:val="100"/>
                <w:position w:val="0"/>
                <w:sz w:val="18"/>
                <w:szCs w:val="18"/>
              </w:rPr>
              <w:t>25,947,942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人民币普通股</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both"/>
              <w:rPr>
                <w:sz w:val="18"/>
                <w:szCs w:val="18"/>
              </w:rPr>
            </w:pPr>
            <w:r>
              <w:rPr>
                <w:rFonts w:ascii="Times New Roman" w:eastAsia="Times New Roman" w:hAnsi="Times New Roman" w:cs="Times New Roman"/>
                <w:color w:val="000000"/>
                <w:spacing w:val="0"/>
                <w:w w:val="100"/>
                <w:position w:val="0"/>
                <w:sz w:val="18"/>
                <w:szCs w:val="18"/>
              </w:rPr>
              <w:t>25,947,942</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黄松浪</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4660" w:right="0" w:firstLine="0"/>
              <w:jc w:val="left"/>
              <w:rPr>
                <w:sz w:val="18"/>
                <w:szCs w:val="18"/>
              </w:rPr>
            </w:pPr>
            <w:r>
              <w:rPr>
                <w:rFonts w:ascii="Times New Roman" w:eastAsia="Times New Roman" w:hAnsi="Times New Roman" w:cs="Times New Roman"/>
                <w:color w:val="000000"/>
                <w:spacing w:val="0"/>
                <w:w w:val="100"/>
                <w:position w:val="0"/>
                <w:sz w:val="18"/>
                <w:szCs w:val="18"/>
              </w:rPr>
              <w:t>22,700,000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人民币普通股</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both"/>
              <w:rPr>
                <w:sz w:val="18"/>
                <w:szCs w:val="18"/>
              </w:rPr>
            </w:pPr>
            <w:r>
              <w:rPr>
                <w:rFonts w:ascii="Times New Roman" w:eastAsia="Times New Roman" w:hAnsi="Times New Roman" w:cs="Times New Roman"/>
                <w:color w:val="000000"/>
                <w:spacing w:val="0"/>
                <w:w w:val="100"/>
                <w:position w:val="0"/>
                <w:sz w:val="18"/>
                <w:szCs w:val="18"/>
              </w:rPr>
              <w:t>22,700,000</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徐斯平</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4660" w:right="0" w:firstLine="0"/>
              <w:jc w:val="left"/>
              <w:rPr>
                <w:sz w:val="18"/>
                <w:szCs w:val="18"/>
              </w:rPr>
            </w:pPr>
            <w:r>
              <w:rPr>
                <w:rFonts w:ascii="Times New Roman" w:eastAsia="Times New Roman" w:hAnsi="Times New Roman" w:cs="Times New Roman"/>
                <w:color w:val="000000"/>
                <w:spacing w:val="0"/>
                <w:w w:val="100"/>
                <w:position w:val="0"/>
                <w:sz w:val="18"/>
                <w:szCs w:val="18"/>
              </w:rPr>
              <w:t>21,544,301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人民币普通股</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both"/>
              <w:rPr>
                <w:sz w:val="18"/>
                <w:szCs w:val="18"/>
              </w:rPr>
            </w:pPr>
            <w:r>
              <w:rPr>
                <w:rFonts w:ascii="Times New Roman" w:eastAsia="Times New Roman" w:hAnsi="Times New Roman" w:cs="Times New Roman"/>
                <w:color w:val="000000"/>
                <w:spacing w:val="0"/>
                <w:w w:val="100"/>
                <w:position w:val="0"/>
                <w:sz w:val="18"/>
                <w:szCs w:val="18"/>
              </w:rPr>
              <w:t>21,544,301</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杨磊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4660" w:right="0" w:firstLine="0"/>
              <w:jc w:val="left"/>
              <w:rPr>
                <w:sz w:val="18"/>
                <w:szCs w:val="18"/>
              </w:rPr>
            </w:pPr>
            <w:r>
              <w:rPr>
                <w:rFonts w:ascii="Times New Roman" w:eastAsia="Times New Roman" w:hAnsi="Times New Roman" w:cs="Times New Roman"/>
                <w:color w:val="000000"/>
                <w:spacing w:val="0"/>
                <w:w w:val="100"/>
                <w:position w:val="0"/>
                <w:sz w:val="18"/>
                <w:szCs w:val="18"/>
              </w:rPr>
              <w:t>20,868,027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人民币普通股</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both"/>
              <w:rPr>
                <w:sz w:val="18"/>
                <w:szCs w:val="18"/>
              </w:rPr>
            </w:pPr>
            <w:r>
              <w:rPr>
                <w:rFonts w:ascii="Times New Roman" w:eastAsia="Times New Roman" w:hAnsi="Times New Roman" w:cs="Times New Roman"/>
                <w:color w:val="000000"/>
                <w:spacing w:val="0"/>
                <w:w w:val="100"/>
                <w:position w:val="0"/>
                <w:sz w:val="18"/>
                <w:szCs w:val="18"/>
              </w:rPr>
              <w:t>20,868,027</w:t>
            </w:r>
          </w:p>
        </w:tc>
      </w:tr>
      <w:tr>
        <w:trPr>
          <w:trHeight w:val="1339"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center"/>
            </w:pPr>
            <w:r>
              <w:rPr>
                <w:color w:val="000000"/>
                <w:spacing w:val="0"/>
                <w:w w:val="100"/>
                <w:position w:val="0"/>
              </w:rPr>
              <w:t>易方达基金一中央汇金 资产管理有限责任公司 一易方达基金一汇金资 管单一资产管理计划</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4660" w:right="0" w:firstLine="0"/>
              <w:jc w:val="left"/>
              <w:rPr>
                <w:sz w:val="18"/>
                <w:szCs w:val="18"/>
              </w:rPr>
            </w:pPr>
            <w:r>
              <w:rPr>
                <w:rFonts w:ascii="Times New Roman" w:eastAsia="Times New Roman" w:hAnsi="Times New Roman" w:cs="Times New Roman"/>
                <w:color w:val="000000"/>
                <w:spacing w:val="0"/>
                <w:w w:val="100"/>
                <w:position w:val="0"/>
                <w:sz w:val="18"/>
                <w:szCs w:val="18"/>
              </w:rPr>
              <w:t>20,237,200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人民币普通股</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both"/>
              <w:rPr>
                <w:sz w:val="18"/>
                <w:szCs w:val="18"/>
              </w:rPr>
            </w:pPr>
            <w:r>
              <w:rPr>
                <w:rFonts w:ascii="Times New Roman" w:eastAsia="Times New Roman" w:hAnsi="Times New Roman" w:cs="Times New Roman"/>
                <w:color w:val="000000"/>
                <w:spacing w:val="0"/>
                <w:w w:val="100"/>
                <w:position w:val="0"/>
                <w:sz w:val="18"/>
                <w:szCs w:val="18"/>
              </w:rPr>
              <w:t>20,237,200</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香港中央结算有限公司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4660" w:right="0" w:firstLine="0"/>
              <w:jc w:val="left"/>
              <w:rPr>
                <w:sz w:val="18"/>
                <w:szCs w:val="18"/>
              </w:rPr>
            </w:pPr>
            <w:r>
              <w:rPr>
                <w:rFonts w:ascii="Times New Roman" w:eastAsia="Times New Roman" w:hAnsi="Times New Roman" w:cs="Times New Roman"/>
                <w:color w:val="000000"/>
                <w:spacing w:val="0"/>
                <w:w w:val="100"/>
                <w:position w:val="0"/>
                <w:sz w:val="18"/>
                <w:szCs w:val="18"/>
              </w:rPr>
              <w:t>18,663,487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人民币普通股</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both"/>
              <w:rPr>
                <w:sz w:val="18"/>
                <w:szCs w:val="18"/>
              </w:rPr>
            </w:pPr>
            <w:r>
              <w:rPr>
                <w:rFonts w:ascii="Times New Roman" w:eastAsia="Times New Roman" w:hAnsi="Times New Roman" w:cs="Times New Roman"/>
                <w:color w:val="000000"/>
                <w:spacing w:val="0"/>
                <w:w w:val="100"/>
                <w:position w:val="0"/>
                <w:sz w:val="18"/>
                <w:szCs w:val="18"/>
              </w:rPr>
              <w:t>18,663,487</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郑珍</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4660" w:right="0" w:firstLine="0"/>
              <w:jc w:val="left"/>
              <w:rPr>
                <w:sz w:val="18"/>
                <w:szCs w:val="18"/>
              </w:rPr>
            </w:pPr>
            <w:r>
              <w:rPr>
                <w:rFonts w:ascii="Times New Roman" w:eastAsia="Times New Roman" w:hAnsi="Times New Roman" w:cs="Times New Roman"/>
                <w:color w:val="000000"/>
                <w:spacing w:val="0"/>
                <w:w w:val="100"/>
                <w:position w:val="0"/>
                <w:sz w:val="18"/>
                <w:szCs w:val="18"/>
              </w:rPr>
              <w:t>18,535,867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人民币普通股</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both"/>
              <w:rPr>
                <w:sz w:val="18"/>
                <w:szCs w:val="18"/>
              </w:rPr>
            </w:pPr>
            <w:r>
              <w:rPr>
                <w:rFonts w:ascii="Times New Roman" w:eastAsia="Times New Roman" w:hAnsi="Times New Roman" w:cs="Times New Roman"/>
                <w:color w:val="000000"/>
                <w:spacing w:val="0"/>
                <w:w w:val="100"/>
                <w:position w:val="0"/>
                <w:sz w:val="18"/>
                <w:szCs w:val="18"/>
              </w:rPr>
              <w:t>18,535,867</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杜志军</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4660" w:right="0" w:firstLine="0"/>
              <w:jc w:val="left"/>
              <w:rPr>
                <w:sz w:val="18"/>
                <w:szCs w:val="18"/>
              </w:rPr>
            </w:pPr>
            <w:r>
              <w:rPr>
                <w:rFonts w:ascii="Times New Roman" w:eastAsia="Times New Roman" w:hAnsi="Times New Roman" w:cs="Times New Roman"/>
                <w:color w:val="000000"/>
                <w:spacing w:val="0"/>
                <w:w w:val="100"/>
                <w:position w:val="0"/>
                <w:sz w:val="18"/>
                <w:szCs w:val="18"/>
              </w:rPr>
              <w:t>18,221,106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人民币普通股</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both"/>
              <w:rPr>
                <w:sz w:val="18"/>
                <w:szCs w:val="18"/>
              </w:rPr>
            </w:pPr>
            <w:r>
              <w:rPr>
                <w:rFonts w:ascii="Times New Roman" w:eastAsia="Times New Roman" w:hAnsi="Times New Roman" w:cs="Times New Roman"/>
                <w:color w:val="000000"/>
                <w:spacing w:val="0"/>
                <w:w w:val="100"/>
                <w:position w:val="0"/>
                <w:sz w:val="18"/>
                <w:szCs w:val="18"/>
              </w:rPr>
              <w:t>18,221,106</w:t>
            </w:r>
          </w:p>
        </w:tc>
      </w:tr>
      <w:tr>
        <w:trPr>
          <w:trHeight w:val="1651"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6" w:lineRule="exact"/>
              <w:ind w:left="0" w:right="0" w:firstLine="0"/>
              <w:jc w:val="left"/>
            </w:pPr>
            <w:r>
              <w:rPr>
                <w:color w:val="000000"/>
                <w:spacing w:val="0"/>
                <w:w w:val="100"/>
                <w:position w:val="0"/>
              </w:rPr>
              <w:t>前</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名无限售流通股股 东之间，以及前</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名无 限售流通股股东和前</w:t>
            </w:r>
            <w:r>
              <w:rPr>
                <w:rFonts w:ascii="Times New Roman" w:eastAsia="Times New Roman" w:hAnsi="Times New Roman" w:cs="Times New Roman"/>
                <w:color w:val="000000"/>
                <w:spacing w:val="0"/>
                <w:w w:val="100"/>
                <w:position w:val="0"/>
                <w:sz w:val="18"/>
                <w:szCs w:val="18"/>
              </w:rPr>
              <w:t xml:space="preserve">10 </w:t>
            </w:r>
            <w:r>
              <w:rPr>
                <w:color w:val="000000"/>
                <w:spacing w:val="0"/>
                <w:w w:val="100"/>
                <w:position w:val="0"/>
              </w:rPr>
              <w:t>名股东之间关联关系或 一致行动的说明</w:t>
            </w:r>
          </w:p>
        </w:tc>
        <w:tc>
          <w:tcPr>
            <w:gridSpan w:val="3"/>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自然人王宁先生、李力先生为一致行动人，系本公司的实际控制人。</w:t>
            </w:r>
          </w:p>
        </w:tc>
      </w:tr>
      <w:tr>
        <w:trPr>
          <w:trHeight w:val="1891"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参与融资融券业务股东 情况说明</w:t>
            </w:r>
          </w:p>
        </w:tc>
        <w:tc>
          <w:tcPr>
            <w:gridSpan w:val="3"/>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466" w:lineRule="exact"/>
              <w:ind w:left="0" w:right="0" w:firstLine="0"/>
              <w:jc w:val="left"/>
            </w:pPr>
            <w:r>
              <w:rPr>
                <w:color w:val="000000"/>
                <w:spacing w:val="0"/>
                <w:w w:val="100"/>
                <w:position w:val="0"/>
              </w:rPr>
              <w:t>公司股东郑珍除通过普通证券账户持有</w:t>
            </w:r>
            <w:r>
              <w:rPr>
                <w:rFonts w:ascii="Times New Roman" w:eastAsia="Times New Roman" w:hAnsi="Times New Roman" w:cs="Times New Roman"/>
                <w:color w:val="000000"/>
                <w:spacing w:val="0"/>
                <w:w w:val="100"/>
                <w:position w:val="0"/>
                <w:sz w:val="18"/>
                <w:szCs w:val="18"/>
              </w:rPr>
              <w:t>1,498,900</w:t>
            </w:r>
            <w:r>
              <w:rPr>
                <w:color w:val="000000"/>
                <w:spacing w:val="0"/>
                <w:w w:val="100"/>
                <w:position w:val="0"/>
              </w:rPr>
              <w:t>股外，还通过湘财证券股份有限公司客户信用交 易担保证券账户持有</w:t>
            </w:r>
            <w:r>
              <w:rPr>
                <w:rFonts w:ascii="Times New Roman" w:eastAsia="Times New Roman" w:hAnsi="Times New Roman" w:cs="Times New Roman"/>
                <w:color w:val="000000"/>
                <w:spacing w:val="0"/>
                <w:w w:val="100"/>
                <w:position w:val="0"/>
                <w:sz w:val="18"/>
                <w:szCs w:val="18"/>
              </w:rPr>
              <w:t>17,036,967</w:t>
            </w:r>
            <w:r>
              <w:rPr>
                <w:color w:val="000000"/>
                <w:spacing w:val="0"/>
                <w:w w:val="100"/>
                <w:position w:val="0"/>
              </w:rPr>
              <w:t>股，实际合计持有</w:t>
            </w:r>
            <w:r>
              <w:rPr>
                <w:rFonts w:ascii="Times New Roman" w:eastAsia="Times New Roman" w:hAnsi="Times New Roman" w:cs="Times New Roman"/>
                <w:color w:val="000000"/>
                <w:spacing w:val="0"/>
                <w:w w:val="100"/>
                <w:position w:val="0"/>
                <w:sz w:val="18"/>
                <w:szCs w:val="18"/>
              </w:rPr>
              <w:t>18,535,867</w:t>
            </w:r>
            <w:r>
              <w:rPr>
                <w:color w:val="000000"/>
                <w:spacing w:val="0"/>
                <w:w w:val="100"/>
                <w:position w:val="0"/>
              </w:rPr>
              <w:t>股。</w:t>
            </w:r>
          </w:p>
          <w:p>
            <w:pPr>
              <w:pStyle w:val="Style2"/>
              <w:keepNext w:val="0"/>
              <w:keepLines w:val="0"/>
              <w:widowControl w:val="0"/>
              <w:shd w:val="clear" w:color="auto" w:fill="auto"/>
              <w:bidi w:val="0"/>
              <w:spacing w:before="0" w:after="0" w:line="466" w:lineRule="exact"/>
              <w:ind w:left="0" w:right="0" w:firstLine="0"/>
              <w:jc w:val="left"/>
            </w:pPr>
            <w:r>
              <w:rPr>
                <w:color w:val="000000"/>
                <w:spacing w:val="0"/>
                <w:w w:val="100"/>
                <w:position w:val="0"/>
              </w:rPr>
              <w:t>公司股东杜志军除通过普通证券账户持有</w:t>
            </w:r>
            <w:r>
              <w:rPr>
                <w:rFonts w:ascii="Times New Roman" w:eastAsia="Times New Roman" w:hAnsi="Times New Roman" w:cs="Times New Roman"/>
                <w:color w:val="000000"/>
                <w:spacing w:val="0"/>
                <w:w w:val="100"/>
                <w:position w:val="0"/>
                <w:sz w:val="18"/>
                <w:szCs w:val="18"/>
              </w:rPr>
              <w:t>2,319,600</w:t>
            </w:r>
            <w:r>
              <w:rPr>
                <w:color w:val="000000"/>
                <w:spacing w:val="0"/>
                <w:w w:val="100"/>
                <w:position w:val="0"/>
              </w:rPr>
              <w:t>股外，还通过湘财证券股份有限公司客户信用 交易担保证券账户持有</w:t>
            </w:r>
            <w:r>
              <w:rPr>
                <w:rFonts w:ascii="Times New Roman" w:eastAsia="Times New Roman" w:hAnsi="Times New Roman" w:cs="Times New Roman"/>
                <w:color w:val="000000"/>
                <w:spacing w:val="0"/>
                <w:w w:val="100"/>
                <w:position w:val="0"/>
                <w:sz w:val="18"/>
                <w:szCs w:val="18"/>
              </w:rPr>
              <w:t>15,901,506</w:t>
            </w:r>
            <w:r>
              <w:rPr>
                <w:color w:val="000000"/>
                <w:spacing w:val="0"/>
                <w:w w:val="100"/>
                <w:position w:val="0"/>
              </w:rPr>
              <w:t>股，实际合计持有</w:t>
            </w:r>
            <w:r>
              <w:rPr>
                <w:rFonts w:ascii="Times New Roman" w:eastAsia="Times New Roman" w:hAnsi="Times New Roman" w:cs="Times New Roman"/>
                <w:color w:val="000000"/>
                <w:spacing w:val="0"/>
                <w:w w:val="100"/>
                <w:position w:val="0"/>
                <w:sz w:val="18"/>
                <w:szCs w:val="18"/>
              </w:rPr>
              <w:t>18,221,106</w:t>
            </w:r>
            <w:r>
              <w:rPr>
                <w:color w:val="000000"/>
                <w:spacing w:val="0"/>
                <w:w w:val="100"/>
                <w:position w:val="0"/>
              </w:rPr>
              <w:t>股。</w:t>
            </w:r>
          </w:p>
        </w:tc>
      </w:tr>
    </w:tbl>
    <w:p>
      <w:pPr>
        <w:widowControl w:val="0"/>
        <w:spacing w:after="119" w:line="1" w:lineRule="exact"/>
      </w:pPr>
    </w:p>
    <w:p>
      <w:pPr>
        <w:pStyle w:val="Style41"/>
        <w:keepNext w:val="0"/>
        <w:keepLines w:val="0"/>
        <w:widowControl w:val="0"/>
        <w:shd w:val="clear" w:color="auto" w:fill="auto"/>
        <w:bidi w:val="0"/>
        <w:spacing w:before="0" w:after="260" w:line="240" w:lineRule="auto"/>
        <w:ind w:left="0" w:right="0" w:firstLine="0"/>
        <w:jc w:val="left"/>
      </w:pPr>
      <w:r>
        <w:rPr>
          <w:b/>
          <w:bCs/>
          <w:color w:val="000000"/>
          <w:spacing w:val="0"/>
          <w:w w:val="100"/>
          <w:position w:val="0"/>
        </w:rPr>
        <w:t>公司前</w:t>
      </w:r>
      <w:r>
        <w:rPr>
          <w:rFonts w:ascii="Times New Roman" w:eastAsia="Times New Roman" w:hAnsi="Times New Roman" w:cs="Times New Roman"/>
          <w:b/>
          <w:bCs/>
          <w:color w:val="000000"/>
          <w:spacing w:val="0"/>
          <w:w w:val="100"/>
          <w:position w:val="0"/>
          <w:sz w:val="18"/>
          <w:szCs w:val="18"/>
        </w:rPr>
        <w:t>10</w:t>
      </w:r>
      <w:r>
        <w:rPr>
          <w:b/>
          <w:bCs/>
          <w:color w:val="000000"/>
          <w:spacing w:val="0"/>
          <w:w w:val="100"/>
          <w:position w:val="0"/>
        </w:rPr>
        <w:t>名普通股股东、前</w:t>
      </w:r>
      <w:r>
        <w:rPr>
          <w:rFonts w:ascii="Times New Roman" w:eastAsia="Times New Roman" w:hAnsi="Times New Roman" w:cs="Times New Roman"/>
          <w:b/>
          <w:bCs/>
          <w:color w:val="000000"/>
          <w:spacing w:val="0"/>
          <w:w w:val="100"/>
          <w:position w:val="0"/>
          <w:sz w:val="18"/>
          <w:szCs w:val="18"/>
        </w:rPr>
        <w:t>10</w:t>
      </w:r>
      <w:r>
        <w:rPr>
          <w:b/>
          <w:bCs/>
          <w:color w:val="000000"/>
          <w:spacing w:val="0"/>
          <w:w w:val="100"/>
          <w:position w:val="0"/>
        </w:rPr>
        <w:t>名无限售条件普通股股东在报告期内是否进行约定购回交易</w:t>
      </w:r>
    </w:p>
    <w:p>
      <w:pPr>
        <w:pStyle w:val="Style41"/>
        <w:keepNext w:val="0"/>
        <w:keepLines w:val="0"/>
        <w:widowControl w:val="0"/>
        <w:shd w:val="clear" w:color="auto" w:fill="auto"/>
        <w:bidi w:val="0"/>
        <w:spacing w:before="0" w:after="26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是</w:t>
      </w:r>
      <w:r>
        <w:rPr>
          <w:b/>
          <w:bCs/>
          <w:i/>
          <w:iCs/>
          <w:color w:val="000000"/>
          <w:spacing w:val="0"/>
          <w:w w:val="100"/>
          <w:position w:val="0"/>
        </w:rPr>
        <w:t>V</w:t>
      </w:r>
      <w:r>
        <w:rPr>
          <w:b/>
          <w:bCs/>
          <w:color w:val="000000"/>
          <w:spacing w:val="0"/>
          <w:w w:val="100"/>
          <w:position w:val="0"/>
        </w:rPr>
        <w:t>否</w:t>
      </w:r>
    </w:p>
    <w:p>
      <w:pPr>
        <w:pStyle w:val="Style41"/>
        <w:keepNext w:val="0"/>
        <w:keepLines w:val="0"/>
        <w:widowControl w:val="0"/>
        <w:shd w:val="clear" w:color="auto" w:fill="auto"/>
        <w:bidi w:val="0"/>
        <w:spacing w:before="0" w:after="440" w:line="240" w:lineRule="auto"/>
        <w:ind w:left="0" w:right="0" w:firstLine="0"/>
        <w:jc w:val="left"/>
      </w:pPr>
      <w:r>
        <w:rPr>
          <w:color w:val="000000"/>
          <w:spacing w:val="0"/>
          <w:w w:val="100"/>
          <w:position w:val="0"/>
        </w:rPr>
        <w:t>公司前</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名普通股股东、前</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名无限售条件普通股股东在报告期内未进行约定购回交易。</w:t>
      </w:r>
    </w:p>
    <w:p>
      <w:pPr>
        <w:pStyle w:val="Style47"/>
        <w:keepNext/>
        <w:keepLines/>
        <w:widowControl w:val="0"/>
        <w:shd w:val="clear" w:color="auto" w:fill="auto"/>
        <w:bidi w:val="0"/>
        <w:spacing w:before="0" w:after="480" w:line="240" w:lineRule="auto"/>
        <w:ind w:left="0" w:right="0" w:firstLine="0"/>
        <w:jc w:val="left"/>
      </w:pPr>
      <w:bookmarkStart w:id="625" w:name="bookmark625"/>
      <w:bookmarkStart w:id="626" w:name="bookmark626"/>
      <w:bookmarkStart w:id="627" w:name="bookmark627"/>
      <w:bookmarkStart w:id="628" w:name="bookmark628"/>
      <w:r>
        <w:rPr>
          <w:color w:val="000000"/>
          <w:spacing w:val="0"/>
          <w:w w:val="100"/>
          <w:position w:val="0"/>
        </w:rPr>
        <w:t>2</w:t>
      </w:r>
      <w:bookmarkEnd w:id="627"/>
      <w:r>
        <w:rPr>
          <w:color w:val="000000"/>
          <w:spacing w:val="0"/>
          <w:w w:val="100"/>
          <w:position w:val="0"/>
        </w:rPr>
        <w:t>、公司控股股东情况</w:t>
      </w:r>
      <w:bookmarkEnd w:id="625"/>
      <w:bookmarkEnd w:id="626"/>
      <w:bookmarkEnd w:id="628"/>
    </w:p>
    <w:p>
      <w:pPr>
        <w:pStyle w:val="Style41"/>
        <w:keepNext w:val="0"/>
        <w:keepLines w:val="0"/>
        <w:widowControl w:val="0"/>
        <w:shd w:val="clear" w:color="auto" w:fill="auto"/>
        <w:bidi w:val="0"/>
        <w:spacing w:before="0" w:after="260" w:line="240" w:lineRule="auto"/>
        <w:ind w:left="0" w:right="0" w:firstLine="0"/>
        <w:jc w:val="left"/>
      </w:pPr>
      <w:r>
        <w:rPr>
          <w:color w:val="000000"/>
          <w:spacing w:val="0"/>
          <w:w w:val="100"/>
          <w:position w:val="0"/>
        </w:rPr>
        <w:t>控股股东性质：自然人控股</w:t>
      </w:r>
    </w:p>
    <w:p>
      <w:pPr>
        <w:pStyle w:val="Style41"/>
        <w:keepNext w:val="0"/>
        <w:keepLines w:val="0"/>
        <w:widowControl w:val="0"/>
        <w:shd w:val="clear" w:color="auto" w:fill="auto"/>
        <w:bidi w:val="0"/>
        <w:spacing w:before="0" w:after="120" w:line="240" w:lineRule="auto"/>
        <w:ind w:left="0" w:right="0" w:firstLine="0"/>
        <w:jc w:val="left"/>
      </w:pPr>
      <w:r>
        <w:rPr>
          <w:color w:val="000000"/>
          <w:spacing w:val="0"/>
          <w:w w:val="100"/>
          <w:position w:val="0"/>
        </w:rPr>
        <w:t>控股股东类型：自然人</w:t>
      </w:r>
    </w:p>
    <w:tbl>
      <w:tblPr>
        <w:tblOverlap w:val="never"/>
        <w:jc w:val="center"/>
        <w:tblLayout w:type="fixed"/>
      </w:tblPr>
      <w:tblGrid>
        <w:gridCol w:w="2549"/>
        <w:gridCol w:w="2285"/>
        <w:gridCol w:w="4877"/>
      </w:tblGrid>
      <w:tr>
        <w:trPr>
          <w:trHeight w:val="40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控股股东姓名</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国籍</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是否取得其他国家或地区居留权</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王宁</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中国</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李力</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中国</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w:t>
            </w:r>
          </w:p>
        </w:tc>
      </w:tr>
    </w:tbl>
    <w:p>
      <w:pPr>
        <w:spacing w:lineRule="exact" w:line="1"/>
        <w:rPr>
          <w:sz w:val="2"/>
          <w:szCs w:val="2"/>
        </w:rPr>
      </w:pPr>
      <w:r>
        <w:br w:type="page"/>
      </w:r>
    </w:p>
    <w:tbl>
      <w:tblPr>
        <w:tblOverlap w:val="never"/>
        <w:jc w:val="center"/>
        <w:tblLayout w:type="fixed"/>
      </w:tblPr>
      <w:tblGrid>
        <w:gridCol w:w="2549"/>
        <w:gridCol w:w="7162"/>
      </w:tblGrid>
      <w:tr>
        <w:trPr>
          <w:trHeight w:val="1766"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主要职业及职务</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0" w:lineRule="exact"/>
              <w:ind w:left="0" w:right="0" w:firstLine="0"/>
              <w:jc w:val="both"/>
            </w:pPr>
            <w:r>
              <w:rPr>
                <w:color w:val="000000"/>
                <w:spacing w:val="0"/>
                <w:w w:val="100"/>
                <w:position w:val="0"/>
              </w:rPr>
              <w:t>王宁先生，报告期内任北京神州泰岳软件股份有限公司董事长、北京启天同信科技有限公 司董事、北京神州良品电子商务科技股份有限公司董事长、北京华泰德丰技术有限公司董 事长、北京创董创新实业有限公司董事长、北京善聚投资管理有限公司执行董事。</w:t>
            </w:r>
          </w:p>
          <w:p>
            <w:pPr>
              <w:pStyle w:val="Style2"/>
              <w:keepNext w:val="0"/>
              <w:keepLines w:val="0"/>
              <w:widowControl w:val="0"/>
              <w:shd w:val="clear" w:color="auto" w:fill="auto"/>
              <w:bidi w:val="0"/>
              <w:spacing w:before="0" w:after="0" w:line="317" w:lineRule="exact"/>
              <w:ind w:left="0" w:right="0" w:firstLine="0"/>
              <w:jc w:val="both"/>
            </w:pPr>
            <w:r>
              <w:rPr>
                <w:color w:val="000000"/>
                <w:spacing w:val="0"/>
                <w:w w:val="100"/>
                <w:position w:val="0"/>
              </w:rPr>
              <w:t>李力先生，现任北京神州泰岳软件股份有限公司副董事长、北京启天同信科技有限公司董 事、神州泰岳（香港）有限公司董事、中建智能技术有限公司董事。</w:t>
            </w:r>
          </w:p>
        </w:tc>
      </w:tr>
      <w:tr>
        <w:trPr>
          <w:trHeight w:val="725"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报告期内控股和参股得到其他 境内外上市公司的股权情况</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无</w:t>
            </w:r>
          </w:p>
        </w:tc>
      </w:tr>
    </w:tbl>
    <w:p>
      <w:pPr>
        <w:pStyle w:val="Style20"/>
        <w:keepNext w:val="0"/>
        <w:keepLines w:val="0"/>
        <w:widowControl w:val="0"/>
        <w:shd w:val="clear" w:color="auto" w:fill="auto"/>
        <w:bidi w:val="0"/>
        <w:spacing w:before="0" w:after="0" w:line="240" w:lineRule="auto"/>
        <w:ind w:left="10" w:right="0" w:firstLine="0"/>
        <w:jc w:val="left"/>
        <w:rPr>
          <w:sz w:val="17"/>
          <w:szCs w:val="17"/>
        </w:rPr>
      </w:pPr>
      <w:r>
        <w:rPr>
          <w:rFonts w:ascii="SimSun" w:eastAsia="SimSun" w:hAnsi="SimSun" w:cs="SimSun"/>
          <w:b/>
          <w:bCs/>
          <w:color w:val="000000"/>
          <w:spacing w:val="0"/>
          <w:w w:val="100"/>
          <w:position w:val="0"/>
          <w:sz w:val="17"/>
          <w:szCs w:val="17"/>
        </w:rPr>
        <w:t>控股股东报告期内变更</w:t>
      </w:r>
    </w:p>
    <w:p>
      <w:pPr>
        <w:widowControl w:val="0"/>
        <w:spacing w:after="239" w:line="1" w:lineRule="exact"/>
      </w:pPr>
    </w:p>
    <w:p>
      <w:pPr>
        <w:pStyle w:val="Style41"/>
        <w:keepNext w:val="0"/>
        <w:keepLines w:val="0"/>
        <w:widowControl w:val="0"/>
        <w:shd w:val="clear" w:color="auto" w:fill="auto"/>
        <w:bidi w:val="0"/>
        <w:spacing w:before="0" w:after="24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b/>
          <w:bCs/>
          <w:color w:val="000000"/>
          <w:spacing w:val="0"/>
          <w:w w:val="100"/>
          <w:position w:val="0"/>
          <w:sz w:val="19"/>
          <w:szCs w:val="19"/>
        </w:rPr>
        <w:t>寸</w:t>
      </w:r>
      <w:r>
        <w:rPr>
          <w:b/>
          <w:bCs/>
          <w:color w:val="000000"/>
          <w:spacing w:val="0"/>
          <w:w w:val="100"/>
          <w:position w:val="0"/>
        </w:rPr>
        <w:t>不适用</w:t>
      </w:r>
    </w:p>
    <w:p>
      <w:pPr>
        <w:pStyle w:val="Style41"/>
        <w:keepNext w:val="0"/>
        <w:keepLines w:val="0"/>
        <w:widowControl w:val="0"/>
        <w:shd w:val="clear" w:color="auto" w:fill="auto"/>
        <w:bidi w:val="0"/>
        <w:spacing w:before="0" w:after="480" w:line="240" w:lineRule="auto"/>
        <w:ind w:left="0" w:right="0" w:firstLine="0"/>
        <w:jc w:val="left"/>
      </w:pPr>
      <w:r>
        <w:rPr>
          <w:color w:val="000000"/>
          <w:spacing w:val="0"/>
          <w:w w:val="100"/>
          <w:position w:val="0"/>
        </w:rPr>
        <w:t>公司报告期控股股东未发生变更。</w:t>
      </w:r>
    </w:p>
    <w:p>
      <w:pPr>
        <w:pStyle w:val="Style47"/>
        <w:keepNext/>
        <w:keepLines/>
        <w:widowControl w:val="0"/>
        <w:shd w:val="clear" w:color="auto" w:fill="auto"/>
        <w:bidi w:val="0"/>
        <w:spacing w:before="0" w:after="480" w:line="240" w:lineRule="auto"/>
        <w:ind w:left="0" w:right="0" w:firstLine="0"/>
        <w:jc w:val="left"/>
      </w:pPr>
      <w:bookmarkStart w:id="629" w:name="bookmark629"/>
      <w:bookmarkStart w:id="630" w:name="bookmark630"/>
      <w:bookmarkStart w:id="631" w:name="bookmark631"/>
      <w:bookmarkStart w:id="632" w:name="bookmark632"/>
      <w:r>
        <w:rPr>
          <w:color w:val="000000"/>
          <w:spacing w:val="0"/>
          <w:w w:val="100"/>
          <w:position w:val="0"/>
        </w:rPr>
        <w:t>3</w:t>
      </w:r>
      <w:bookmarkEnd w:id="631"/>
      <w:r>
        <w:rPr>
          <w:color w:val="000000"/>
          <w:spacing w:val="0"/>
          <w:w w:val="100"/>
          <w:position w:val="0"/>
        </w:rPr>
        <w:t>、公司实际控制人及其一致行动人</w:t>
      </w:r>
      <w:bookmarkEnd w:id="629"/>
      <w:bookmarkEnd w:id="630"/>
      <w:bookmarkEnd w:id="632"/>
    </w:p>
    <w:p>
      <w:pPr>
        <w:pStyle w:val="Style41"/>
        <w:keepNext w:val="0"/>
        <w:keepLines w:val="0"/>
        <w:widowControl w:val="0"/>
        <w:shd w:val="clear" w:color="auto" w:fill="auto"/>
        <w:bidi w:val="0"/>
        <w:spacing w:before="0" w:after="240" w:line="240" w:lineRule="auto"/>
        <w:ind w:left="0" w:right="0" w:firstLine="0"/>
        <w:jc w:val="left"/>
      </w:pPr>
      <w:r>
        <w:rPr>
          <w:color w:val="000000"/>
          <w:spacing w:val="0"/>
          <w:w w:val="100"/>
          <w:position w:val="0"/>
        </w:rPr>
        <w:t>实际控制人性质：境内自然人</w:t>
      </w:r>
    </w:p>
    <w:p>
      <w:pPr>
        <w:pStyle w:val="Style20"/>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实际控制人类型：自然人</w:t>
      </w:r>
    </w:p>
    <w:tbl>
      <w:tblPr>
        <w:tblOverlap w:val="never"/>
        <w:jc w:val="center"/>
        <w:tblLayout w:type="fixed"/>
      </w:tblPr>
      <w:tblGrid>
        <w:gridCol w:w="2395"/>
        <w:gridCol w:w="2395"/>
        <w:gridCol w:w="2390"/>
        <w:gridCol w:w="2400"/>
      </w:tblGrid>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560"/>
              <w:jc w:val="left"/>
            </w:pPr>
            <w:r>
              <w:rPr>
                <w:color w:val="000000"/>
                <w:spacing w:val="0"/>
                <w:w w:val="100"/>
                <w:position w:val="0"/>
              </w:rPr>
              <w:t>实际控制人姓名</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与实际控制人关系</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国籍</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是否取得其他国家或地区居 留权</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王宁</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中国</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李力</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中国</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w:t>
            </w:r>
          </w:p>
        </w:tc>
      </w:tr>
      <w:tr>
        <w:trPr>
          <w:trHeight w:val="1690"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560"/>
              <w:jc w:val="left"/>
            </w:pPr>
            <w:r>
              <w:rPr>
                <w:color w:val="000000"/>
                <w:spacing w:val="0"/>
                <w:w w:val="100"/>
                <w:position w:val="0"/>
              </w:rPr>
              <w:t>主要职业及职务</w:t>
            </w:r>
          </w:p>
        </w:tc>
        <w:tc>
          <w:tcPr>
            <w:gridSpan w:val="3"/>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0" w:lineRule="exact"/>
              <w:ind w:left="0" w:right="0" w:firstLine="0"/>
              <w:jc w:val="left"/>
            </w:pPr>
            <w:r>
              <w:rPr>
                <w:color w:val="000000"/>
                <w:spacing w:val="0"/>
                <w:w w:val="100"/>
                <w:position w:val="0"/>
              </w:rPr>
              <w:t>王宁先生，报告期内任北京神州泰岳软件股份有限公司董事长、北京启天同信科技有限公司 董事、北京神州良品电子商务科技股份有限公司董事长、北京华泰德丰技术有限公司董事长、 北京创董创新实业有限公司董事长、北京善聚投资管理有限公司执行董事。</w:t>
            </w:r>
          </w:p>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李力先生，现任北京神州泰岳软件股份有限公司副董事长、北京启天同信科技有限公司董事、 神州泰岳（香港）有限公司董事、中建智能技术有限公司董事。</w:t>
            </w:r>
          </w:p>
        </w:tc>
      </w:tr>
      <w:tr>
        <w:trPr>
          <w:trHeight w:val="725"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过去</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年曾控股的境内外上</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市公司情况</w:t>
            </w:r>
          </w:p>
        </w:tc>
        <w:tc>
          <w:tcPr>
            <w:gridSpan w:val="3"/>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无</w:t>
            </w:r>
          </w:p>
        </w:tc>
      </w:tr>
    </w:tbl>
    <w:p>
      <w:pPr>
        <w:pStyle w:val="Style20"/>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b/>
          <w:bCs/>
          <w:color w:val="000000"/>
          <w:spacing w:val="0"/>
          <w:w w:val="100"/>
          <w:position w:val="0"/>
          <w:sz w:val="17"/>
          <w:szCs w:val="17"/>
        </w:rPr>
        <w:t>实际控制人报告期内变更</w:t>
      </w:r>
    </w:p>
    <w:p>
      <w:pPr>
        <w:widowControl w:val="0"/>
        <w:spacing w:after="239" w:line="1" w:lineRule="exact"/>
      </w:pPr>
    </w:p>
    <w:p>
      <w:pPr>
        <w:pStyle w:val="Style41"/>
        <w:keepNext w:val="0"/>
        <w:keepLines w:val="0"/>
        <w:widowControl w:val="0"/>
        <w:shd w:val="clear" w:color="auto" w:fill="auto"/>
        <w:bidi w:val="0"/>
        <w:spacing w:before="0" w:after="24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b/>
          <w:bCs/>
          <w:color w:val="000000"/>
          <w:spacing w:val="0"/>
          <w:w w:val="100"/>
          <w:position w:val="0"/>
          <w:sz w:val="19"/>
          <w:szCs w:val="19"/>
        </w:rPr>
        <w:t>寸</w:t>
      </w:r>
      <w:r>
        <w:rPr>
          <w:b/>
          <w:bCs/>
          <w:color w:val="000000"/>
          <w:spacing w:val="0"/>
          <w:w w:val="100"/>
          <w:position w:val="0"/>
        </w:rPr>
        <w:t>不适用</w:t>
      </w:r>
    </w:p>
    <w:p>
      <w:pPr>
        <w:pStyle w:val="Style41"/>
        <w:keepNext w:val="0"/>
        <w:keepLines w:val="0"/>
        <w:widowControl w:val="0"/>
        <w:shd w:val="clear" w:color="auto" w:fill="auto"/>
        <w:bidi w:val="0"/>
        <w:spacing w:before="0" w:after="240" w:line="240" w:lineRule="auto"/>
        <w:ind w:left="0" w:right="0" w:firstLine="0"/>
        <w:jc w:val="left"/>
      </w:pPr>
      <w:r>
        <w:rPr>
          <w:color w:val="000000"/>
          <w:spacing w:val="0"/>
          <w:w w:val="100"/>
          <w:position w:val="0"/>
        </w:rPr>
        <w:t>公司报告期实际控制人未发生变更。</w:t>
      </w:r>
    </w:p>
    <w:p>
      <w:pPr>
        <w:pStyle w:val="Style41"/>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rPr>
        <w:t>公司与实际控制人之间的产权及控制关系的方框图</w:t>
      </w:r>
      <w:r>
        <w:br w:type="page"/>
      </w:r>
    </w:p>
    <w:p>
      <w:pPr>
        <w:widowControl w:val="0"/>
        <w:jc w:val="left"/>
        <w:rPr>
          <w:sz w:val="2"/>
          <w:szCs w:val="2"/>
        </w:rPr>
      </w:pPr>
      <w:r>
        <w:drawing>
          <wp:inline>
            <wp:extent cx="4590415" cy="2871470"/>
            <wp:docPr id="577" name="Picutre 577"/>
            <a:graphic xmlns:a="http://schemas.openxmlformats.org/drawingml/2006/main">
              <a:graphicData uri="http://schemas.openxmlformats.org/drawingml/2006/picture">
                <pic:pic xmlns:pic="http://schemas.openxmlformats.org/drawingml/2006/picture">
                  <pic:nvPicPr>
                    <pic:cNvPr id="577" name="Picture 577"/>
                    <pic:cNvPicPr/>
                  </pic:nvPicPr>
                  <pic:blipFill>
                    <a:blip r:embed="rId213"/>
                    <a:stretch/>
                  </pic:blipFill>
                  <pic:spPr>
                    <a:xfrm>
                      <a:ext cx="4590415" cy="2871470"/>
                    </a:xfrm>
                    <a:prstGeom prst="rect"/>
                  </pic:spPr>
                </pic:pic>
              </a:graphicData>
            </a:graphic>
          </wp:inline>
        </w:drawing>
      </w:r>
    </w:p>
    <w:p>
      <w:pPr>
        <w:pStyle w:val="Style65"/>
        <w:keepNext w:val="0"/>
        <w:keepLines w:val="0"/>
        <w:widowControl w:val="0"/>
        <w:shd w:val="clear" w:color="auto" w:fill="auto"/>
        <w:bidi w:val="0"/>
        <w:spacing w:before="0" w:after="0" w:line="240" w:lineRule="auto"/>
        <w:ind w:left="0" w:right="0" w:firstLine="0"/>
        <w:jc w:val="left"/>
        <w:rPr>
          <w:sz w:val="15"/>
          <w:szCs w:val="15"/>
        </w:rPr>
      </w:pPr>
      <w:r>
        <w:rPr>
          <w:rFonts w:ascii="SimSun" w:eastAsia="SimSun" w:hAnsi="SimSun" w:cs="SimSun"/>
          <w:color w:val="000000"/>
          <w:spacing w:val="0"/>
          <w:w w:val="100"/>
          <w:position w:val="0"/>
          <w:sz w:val="15"/>
          <w:szCs w:val="15"/>
        </w:rPr>
        <w:t>注：王宁的控制权由其直接持有的股权及授权表决权构成</w:t>
      </w:r>
      <w:r>
        <w:rPr>
          <w:rFonts w:ascii="SimSun" w:eastAsia="SimSun" w:hAnsi="SimSun" w:cs="SimSun"/>
          <w:b/>
          <w:bCs/>
          <w:color w:val="000000"/>
          <w:spacing w:val="0"/>
          <w:w w:val="100"/>
          <w:position w:val="0"/>
          <w:sz w:val="15"/>
          <w:szCs w:val="15"/>
        </w:rPr>
        <w:t>。</w:t>
      </w:r>
    </w:p>
    <w:p>
      <w:pPr>
        <w:widowControl w:val="0"/>
        <w:spacing w:after="299" w:line="1" w:lineRule="exact"/>
      </w:pPr>
    </w:p>
    <w:p>
      <w:pPr>
        <w:pStyle w:val="Style41"/>
        <w:keepNext w:val="0"/>
        <w:keepLines w:val="0"/>
        <w:widowControl w:val="0"/>
        <w:shd w:val="clear" w:color="auto" w:fill="auto"/>
        <w:bidi w:val="0"/>
        <w:spacing w:before="0" w:after="260" w:line="240" w:lineRule="auto"/>
        <w:ind w:left="0" w:right="0" w:firstLine="0"/>
        <w:jc w:val="left"/>
      </w:pPr>
      <w:r>
        <w:rPr>
          <w:b/>
          <w:bCs/>
          <w:color w:val="000000"/>
          <w:spacing w:val="0"/>
          <w:w w:val="100"/>
          <w:position w:val="0"/>
        </w:rPr>
        <w:t>实际控制人通过信托或其他资产管理方式控制公司</w:t>
      </w:r>
    </w:p>
    <w:p>
      <w:pPr>
        <w:pStyle w:val="Style41"/>
        <w:keepNext w:val="0"/>
        <w:keepLines w:val="0"/>
        <w:widowControl w:val="0"/>
        <w:shd w:val="clear" w:color="auto" w:fill="auto"/>
        <w:bidi w:val="0"/>
        <w:spacing w:before="0" w:after="44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b/>
          <w:bCs/>
          <w:i/>
          <w:iCs/>
          <w:color w:val="000000"/>
          <w:spacing w:val="0"/>
          <w:w w:val="100"/>
          <w:position w:val="0"/>
        </w:rPr>
        <w:t>*</w:t>
      </w:r>
      <w:r>
        <w:rPr>
          <w:b/>
          <w:bCs/>
          <w:color w:val="000000"/>
          <w:spacing w:val="0"/>
          <w:w w:val="100"/>
          <w:position w:val="0"/>
        </w:rPr>
        <w:t>不适用</w:t>
      </w:r>
    </w:p>
    <w:p>
      <w:pPr>
        <w:pStyle w:val="Style47"/>
        <w:keepNext/>
        <w:keepLines/>
        <w:widowControl w:val="0"/>
        <w:shd w:val="clear" w:color="auto" w:fill="auto"/>
        <w:tabs>
          <w:tab w:pos="378" w:val="left"/>
        </w:tabs>
        <w:bidi w:val="0"/>
        <w:spacing w:before="0" w:after="480" w:line="240" w:lineRule="auto"/>
        <w:ind w:left="0" w:right="0" w:firstLine="0"/>
        <w:jc w:val="left"/>
      </w:pPr>
      <w:bookmarkStart w:id="633" w:name="bookmark633"/>
      <w:bookmarkStart w:id="634" w:name="bookmark634"/>
      <w:bookmarkStart w:id="635" w:name="bookmark635"/>
      <w:bookmarkStart w:id="636" w:name="bookmark636"/>
      <w:r>
        <w:rPr>
          <w:color w:val="000000"/>
          <w:spacing w:val="0"/>
          <w:w w:val="100"/>
          <w:position w:val="0"/>
        </w:rPr>
        <w:t>4</w:t>
      </w:r>
      <w:bookmarkEnd w:id="635"/>
      <w:r>
        <w:rPr>
          <w:color w:val="000000"/>
          <w:spacing w:val="0"/>
          <w:w w:val="100"/>
          <w:position w:val="0"/>
        </w:rPr>
        <w:t>、</w:t>
        <w:tab/>
        <w:t>其他持股在10%以上的法人股东</w:t>
      </w:r>
      <w:bookmarkEnd w:id="633"/>
      <w:bookmarkEnd w:id="634"/>
      <w:bookmarkEnd w:id="636"/>
    </w:p>
    <w:p>
      <w:pPr>
        <w:pStyle w:val="Style41"/>
        <w:keepNext w:val="0"/>
        <w:keepLines w:val="0"/>
        <w:widowControl w:val="0"/>
        <w:shd w:val="clear" w:color="auto" w:fill="auto"/>
        <w:bidi w:val="0"/>
        <w:spacing w:before="0" w:after="44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b/>
          <w:bCs/>
          <w:color w:val="000000"/>
          <w:spacing w:val="0"/>
          <w:w w:val="100"/>
          <w:position w:val="0"/>
          <w:sz w:val="18"/>
          <w:szCs w:val="18"/>
        </w:rPr>
        <w:t>*</w:t>
      </w:r>
      <w:r>
        <w:rPr>
          <w:b/>
          <w:bCs/>
          <w:color w:val="000000"/>
          <w:spacing w:val="0"/>
          <w:w w:val="100"/>
          <w:position w:val="0"/>
        </w:rPr>
        <w:t>不适用</w:t>
      </w:r>
    </w:p>
    <w:p>
      <w:pPr>
        <w:pStyle w:val="Style47"/>
        <w:keepNext/>
        <w:keepLines/>
        <w:widowControl w:val="0"/>
        <w:shd w:val="clear" w:color="auto" w:fill="auto"/>
        <w:tabs>
          <w:tab w:pos="378" w:val="left"/>
        </w:tabs>
        <w:bidi w:val="0"/>
        <w:spacing w:before="0" w:after="480" w:line="240" w:lineRule="auto"/>
        <w:ind w:left="0" w:right="0" w:firstLine="0"/>
        <w:jc w:val="left"/>
      </w:pPr>
      <w:bookmarkStart w:id="637" w:name="bookmark637"/>
      <w:bookmarkStart w:id="638" w:name="bookmark638"/>
      <w:bookmarkStart w:id="639" w:name="bookmark639"/>
      <w:bookmarkStart w:id="640" w:name="bookmark640"/>
      <w:r>
        <w:rPr>
          <w:color w:val="000000"/>
          <w:spacing w:val="0"/>
          <w:w w:val="100"/>
          <w:position w:val="0"/>
        </w:rPr>
        <w:t>5</w:t>
      </w:r>
      <w:bookmarkEnd w:id="639"/>
      <w:r>
        <w:rPr>
          <w:color w:val="000000"/>
          <w:spacing w:val="0"/>
          <w:w w:val="100"/>
          <w:position w:val="0"/>
        </w:rPr>
        <w:t>、</w:t>
        <w:tab/>
        <w:t>控股股东、实际控制人、重组方及其他承诺主体股份限制减持情况</w:t>
      </w:r>
      <w:bookmarkEnd w:id="637"/>
      <w:bookmarkEnd w:id="638"/>
      <w:bookmarkEnd w:id="640"/>
    </w:p>
    <w:p>
      <w:pPr>
        <w:pStyle w:val="Style41"/>
        <w:keepNext w:val="0"/>
        <w:keepLines w:val="0"/>
        <w:widowControl w:val="0"/>
        <w:shd w:val="clear" w:color="auto" w:fill="auto"/>
        <w:bidi w:val="0"/>
        <w:spacing w:before="0" w:after="440" w:line="240" w:lineRule="auto"/>
        <w:ind w:left="0" w:right="0" w:firstLine="0"/>
        <w:jc w:val="left"/>
        <w:sectPr>
          <w:headerReference w:type="default" r:id="rId215"/>
          <w:footerReference w:type="default" r:id="rId216"/>
          <w:headerReference w:type="even" r:id="rId217"/>
          <w:footerReference w:type="even" r:id="rId218"/>
          <w:footnotePr>
            <w:pos w:val="pageBottom"/>
            <w:numFmt w:val="decimal"/>
            <w:numRestart w:val="continuous"/>
          </w:footnotePr>
          <w:pgSz w:w="11904" w:h="17375"/>
          <w:pgMar w:top="1670" w:right="1094" w:bottom="1741" w:left="1099" w:header="0" w:footer="3" w:gutter="0"/>
          <w:cols w:space="720"/>
          <w:noEndnote/>
          <w:rtlGutter w:val="0"/>
          <w:docGrid w:linePitch="360"/>
        </w:sectPr>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b/>
          <w:bCs/>
          <w:color w:val="000000"/>
          <w:spacing w:val="0"/>
          <w:w w:val="100"/>
          <w:position w:val="0"/>
          <w:sz w:val="18"/>
          <w:szCs w:val="18"/>
        </w:rPr>
        <w:t>*</w:t>
      </w:r>
      <w:r>
        <w:rPr>
          <w:b/>
          <w:bCs/>
          <w:color w:val="000000"/>
          <w:spacing w:val="0"/>
          <w:w w:val="100"/>
          <w:position w:val="0"/>
        </w:rPr>
        <w:t>不适用</w:t>
      </w:r>
    </w:p>
    <w:p>
      <w:pPr>
        <w:widowControl w:val="0"/>
        <w:spacing w:line="1" w:lineRule="exact"/>
      </w:pPr>
      <w:r>
        <mc:AlternateContent>
          <mc:Choice Requires="wps">
            <w:drawing>
              <wp:anchor distT="0" distB="317500" distL="0" distR="0" simplePos="0" relativeHeight="125829490" behindDoc="0" locked="0" layoutInCell="1" allowOverlap="1">
                <wp:simplePos x="0" y="0"/>
                <wp:positionH relativeFrom="page">
                  <wp:posOffset>2694305</wp:posOffset>
                </wp:positionH>
                <wp:positionV relativeFrom="paragraph">
                  <wp:posOffset>0</wp:posOffset>
                </wp:positionV>
                <wp:extent cx="2170430" cy="247015"/>
                <wp:wrapTopAndBottom/>
                <wp:docPr id="589" name="Shape 589"/>
                <a:graphic xmlns:a="http://schemas.openxmlformats.org/drawingml/2006/main">
                  <a:graphicData uri="http://schemas.microsoft.com/office/word/2010/wordprocessingShape">
                    <wps:wsp>
                      <wps:cNvSpPr txBox="1"/>
                      <wps:spPr>
                        <a:xfrm>
                          <a:ext cx="2170430" cy="247015"/>
                        </a:xfrm>
                        <a:prstGeom prst="rect"/>
                        <a:noFill/>
                      </wps:spPr>
                      <wps:txbx>
                        <w:txbxContent>
                          <w:p>
                            <w:pPr>
                              <w:pStyle w:val="Style7"/>
                              <w:keepNext/>
                              <w:keepLines/>
                              <w:widowControl w:val="0"/>
                              <w:shd w:val="clear" w:color="auto" w:fill="auto"/>
                              <w:bidi w:val="0"/>
                              <w:spacing w:before="0" w:after="0" w:line="240" w:lineRule="auto"/>
                              <w:ind w:left="0" w:right="0" w:firstLine="0"/>
                              <w:jc w:val="center"/>
                            </w:pPr>
                            <w:bookmarkStart w:id="641" w:name="bookmark641"/>
                            <w:bookmarkStart w:id="642" w:name="bookmark642"/>
                            <w:bookmarkStart w:id="643" w:name="bookmark643"/>
                            <w:r>
                              <w:rPr>
                                <w:color w:val="000000"/>
                                <w:spacing w:val="0"/>
                                <w:w w:val="100"/>
                                <w:position w:val="0"/>
                              </w:rPr>
                              <w:t>第七节优先股相关情况</w:t>
                            </w:r>
                            <w:bookmarkEnd w:id="641"/>
                            <w:bookmarkEnd w:id="642"/>
                            <w:bookmarkEnd w:id="643"/>
                          </w:p>
                        </w:txbxContent>
                      </wps:txbx>
                      <wps:bodyPr wrap="none" lIns="0" tIns="0" rIns="0" bIns="0">
                        <a:noAutoFit/>
                      </wps:bodyPr>
                    </wps:wsp>
                  </a:graphicData>
                </a:graphic>
              </wp:anchor>
            </w:drawing>
          </mc:Choice>
          <mc:Fallback>
            <w:pict>
              <v:shape id="_x0000_s1615" type="#_x0000_t202" style="position:absolute;margin-left:212.15000000000001pt;margin-top:0;width:170.90000000000001pt;height:19.449999999999999pt;z-index:-125829263;mso-wrap-distance-left:0;mso-wrap-distance-right:0;mso-wrap-distance-bottom:25.pt;mso-position-horizontal-relative:page" filled="f" stroked="f">
                <v:textbox inset="0,0,0,0">
                  <w:txbxContent>
                    <w:p>
                      <w:pPr>
                        <w:pStyle w:val="Style7"/>
                        <w:keepNext/>
                        <w:keepLines/>
                        <w:widowControl w:val="0"/>
                        <w:shd w:val="clear" w:color="auto" w:fill="auto"/>
                        <w:bidi w:val="0"/>
                        <w:spacing w:before="0" w:after="0" w:line="240" w:lineRule="auto"/>
                        <w:ind w:left="0" w:right="0" w:firstLine="0"/>
                        <w:jc w:val="center"/>
                      </w:pPr>
                      <w:bookmarkStart w:id="641" w:name="bookmark641"/>
                      <w:bookmarkStart w:id="642" w:name="bookmark642"/>
                      <w:bookmarkStart w:id="643" w:name="bookmark643"/>
                      <w:r>
                        <w:rPr>
                          <w:color w:val="000000"/>
                          <w:spacing w:val="0"/>
                          <w:w w:val="100"/>
                          <w:position w:val="0"/>
                        </w:rPr>
                        <w:t>第七节优先股相关情况</w:t>
                      </w:r>
                      <w:bookmarkEnd w:id="641"/>
                      <w:bookmarkEnd w:id="642"/>
                      <w:bookmarkEnd w:id="643"/>
                    </w:p>
                  </w:txbxContent>
                </v:textbox>
                <w10:wrap type="topAndBottom" anchorx="page"/>
              </v:shape>
            </w:pict>
          </mc:Fallback>
        </mc:AlternateContent>
      </w:r>
    </w:p>
    <w:p>
      <w:pPr>
        <w:pStyle w:val="Style41"/>
        <w:keepNext w:val="0"/>
        <w:keepLines w:val="0"/>
        <w:widowControl w:val="0"/>
        <w:shd w:val="clear" w:color="auto" w:fill="auto"/>
        <w:bidi w:val="0"/>
        <w:spacing w:before="0" w:after="24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b/>
          <w:bCs/>
          <w:color w:val="000000"/>
          <w:spacing w:val="0"/>
          <w:w w:val="100"/>
          <w:position w:val="0"/>
        </w:rPr>
        <w:t>寸不适用</w:t>
      </w:r>
    </w:p>
    <w:p>
      <w:pPr>
        <w:pStyle w:val="Style41"/>
        <w:keepNext w:val="0"/>
        <w:keepLines w:val="0"/>
        <w:widowControl w:val="0"/>
        <w:shd w:val="clear" w:color="auto" w:fill="auto"/>
        <w:bidi w:val="0"/>
        <w:spacing w:before="0" w:after="0" w:line="240" w:lineRule="auto"/>
        <w:ind w:left="0" w:right="0" w:firstLine="0"/>
        <w:jc w:val="left"/>
        <w:sectPr>
          <w:headerReference w:type="default" r:id="rId219"/>
          <w:footerReference w:type="default" r:id="rId220"/>
          <w:headerReference w:type="even" r:id="rId221"/>
          <w:footerReference w:type="even" r:id="rId222"/>
          <w:footnotePr>
            <w:pos w:val="pageBottom"/>
            <w:numFmt w:val="decimal"/>
            <w:numRestart w:val="continuous"/>
          </w:footnotePr>
          <w:pgSz w:w="11904" w:h="17375"/>
          <w:pgMar w:top="2203" w:right="1094" w:bottom="2203" w:left="1099" w:header="0" w:footer="3" w:gutter="0"/>
          <w:cols w:space="720"/>
          <w:noEndnote/>
          <w:rtlGutter w:val="0"/>
          <w:docGrid w:linePitch="360"/>
        </w:sectPr>
      </w:pPr>
      <w:r>
        <w:rPr>
          <w:color w:val="000000"/>
          <w:spacing w:val="0"/>
          <w:w w:val="100"/>
          <w:position w:val="0"/>
        </w:rPr>
        <w:t>报告期公司不存在优先股。</w:t>
      </w:r>
    </w:p>
    <w:p>
      <w:pPr>
        <w:pStyle w:val="Style7"/>
        <w:keepNext/>
        <w:keepLines/>
        <w:widowControl w:val="0"/>
        <w:shd w:val="clear" w:color="auto" w:fill="auto"/>
        <w:bidi w:val="0"/>
        <w:spacing w:before="520" w:after="640" w:line="240" w:lineRule="auto"/>
        <w:ind w:left="0" w:right="0" w:firstLine="0"/>
        <w:jc w:val="center"/>
      </w:pPr>
      <w:bookmarkStart w:id="644" w:name="bookmark644"/>
      <w:bookmarkStart w:id="645" w:name="bookmark645"/>
      <w:bookmarkStart w:id="646" w:name="bookmark646"/>
      <w:r>
        <w:rPr>
          <w:color w:val="000000"/>
          <w:spacing w:val="0"/>
          <w:w w:val="100"/>
          <w:position w:val="0"/>
        </w:rPr>
        <w:t>第八节可转换公司债券相关情况</w:t>
      </w:r>
      <w:bookmarkEnd w:id="644"/>
      <w:bookmarkEnd w:id="645"/>
      <w:bookmarkEnd w:id="646"/>
    </w:p>
    <w:p>
      <w:pPr>
        <w:pStyle w:val="Style41"/>
        <w:keepNext w:val="0"/>
        <w:keepLines w:val="0"/>
        <w:widowControl w:val="0"/>
        <w:shd w:val="clear" w:color="auto" w:fill="auto"/>
        <w:bidi w:val="0"/>
        <w:spacing w:before="0" w:after="24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b/>
          <w:bCs/>
          <w:color w:val="000000"/>
          <w:spacing w:val="0"/>
          <w:w w:val="100"/>
          <w:position w:val="0"/>
        </w:rPr>
        <w:t>寸不适用</w:t>
      </w:r>
    </w:p>
    <w:p>
      <w:pPr>
        <w:pStyle w:val="Style41"/>
        <w:keepNext w:val="0"/>
        <w:keepLines w:val="0"/>
        <w:widowControl w:val="0"/>
        <w:shd w:val="clear" w:color="auto" w:fill="auto"/>
        <w:bidi w:val="0"/>
        <w:spacing w:before="0" w:after="440" w:line="240" w:lineRule="auto"/>
        <w:ind w:left="0" w:right="0" w:firstLine="0"/>
        <w:jc w:val="left"/>
      </w:pPr>
      <w:r>
        <w:rPr>
          <w:color w:val="000000"/>
          <w:spacing w:val="0"/>
          <w:w w:val="100"/>
          <w:position w:val="0"/>
        </w:rPr>
        <w:t>报告期公司不存在可转换公司债券。</w:t>
      </w:r>
      <w:r>
        <w:br w:type="page"/>
      </w:r>
    </w:p>
    <w:p>
      <w:pPr>
        <w:pStyle w:val="Style7"/>
        <w:keepNext/>
        <w:keepLines/>
        <w:widowControl w:val="0"/>
        <w:shd w:val="clear" w:color="auto" w:fill="auto"/>
        <w:bidi w:val="0"/>
        <w:spacing w:before="0" w:after="500" w:line="240" w:lineRule="auto"/>
        <w:ind w:left="0" w:right="0" w:firstLine="0"/>
        <w:jc w:val="center"/>
      </w:pPr>
      <w:bookmarkStart w:id="647" w:name="bookmark647"/>
      <w:bookmarkStart w:id="648" w:name="bookmark648"/>
      <w:bookmarkStart w:id="649" w:name="bookmark649"/>
      <w:r>
        <w:rPr>
          <w:color w:val="000000"/>
          <w:spacing w:val="0"/>
          <w:w w:val="100"/>
          <w:position w:val="0"/>
        </w:rPr>
        <w:t>第九节 董事、监事、高级管理人员和员工情况</w:t>
      </w:r>
      <w:bookmarkEnd w:id="647"/>
      <w:bookmarkEnd w:id="648"/>
      <w:bookmarkEnd w:id="649"/>
    </w:p>
    <w:p>
      <w:pPr>
        <w:pStyle w:val="Style39"/>
        <w:keepNext/>
        <w:keepLines/>
        <w:widowControl w:val="0"/>
        <w:shd w:val="clear" w:color="auto" w:fill="auto"/>
        <w:bidi w:val="0"/>
        <w:spacing w:before="0" w:line="240" w:lineRule="auto"/>
        <w:ind w:left="0" w:right="0" w:firstLine="260"/>
        <w:jc w:val="left"/>
      </w:pPr>
      <w:bookmarkStart w:id="650" w:name="bookmark650"/>
      <w:bookmarkStart w:id="651" w:name="bookmark651"/>
      <w:bookmarkStart w:id="652" w:name="bookmark652"/>
      <w:r>
        <w:rPr>
          <w:color w:val="000000"/>
          <w:spacing w:val="0"/>
          <w:w w:val="100"/>
          <w:position w:val="0"/>
          <w:sz w:val="24"/>
          <w:szCs w:val="24"/>
        </w:rPr>
        <w:t>、董事、监事和高级管理人员持股变动</w:t>
      </w:r>
      <w:bookmarkEnd w:id="650"/>
      <w:bookmarkEnd w:id="651"/>
      <w:bookmarkEnd w:id="652"/>
    </w:p>
    <w:tbl>
      <w:tblPr>
        <w:tblOverlap w:val="never"/>
        <w:jc w:val="center"/>
        <w:tblLayout w:type="fixed"/>
      </w:tblPr>
      <w:tblGrid>
        <w:gridCol w:w="744"/>
        <w:gridCol w:w="989"/>
        <w:gridCol w:w="576"/>
        <w:gridCol w:w="562"/>
        <w:gridCol w:w="566"/>
        <w:gridCol w:w="994"/>
        <w:gridCol w:w="950"/>
        <w:gridCol w:w="955"/>
        <w:gridCol w:w="773"/>
        <w:gridCol w:w="864"/>
        <w:gridCol w:w="773"/>
        <w:gridCol w:w="965"/>
      </w:tblGrid>
      <w:tr>
        <w:trPr>
          <w:trHeight w:val="1339"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180"/>
              <w:jc w:val="left"/>
            </w:pPr>
            <w:r>
              <w:rPr>
                <w:b/>
                <w:bCs/>
                <w:color w:val="000000"/>
                <w:spacing w:val="0"/>
                <w:w w:val="100"/>
                <w:position w:val="0"/>
              </w:rPr>
              <w:t>姓名</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300"/>
              <w:jc w:val="left"/>
            </w:pPr>
            <w:r>
              <w:rPr>
                <w:b/>
                <w:bCs/>
                <w:color w:val="000000"/>
                <w:spacing w:val="0"/>
                <w:w w:val="100"/>
                <w:position w:val="0"/>
              </w:rPr>
              <w:t>职务</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120" w:line="240" w:lineRule="auto"/>
              <w:ind w:left="0" w:right="0" w:firstLine="0"/>
              <w:jc w:val="both"/>
            </w:pPr>
            <w:r>
              <w:rPr>
                <w:b/>
                <w:bCs/>
                <w:color w:val="000000"/>
                <w:spacing w:val="0"/>
                <w:w w:val="100"/>
                <w:position w:val="0"/>
              </w:rPr>
              <w:t>任职</w:t>
            </w:r>
          </w:p>
          <w:p>
            <w:pPr>
              <w:pStyle w:val="Style2"/>
              <w:keepNext w:val="0"/>
              <w:keepLines w:val="0"/>
              <w:widowControl w:val="0"/>
              <w:shd w:val="clear" w:color="auto" w:fill="auto"/>
              <w:bidi w:val="0"/>
              <w:spacing w:before="0" w:after="0" w:line="240" w:lineRule="auto"/>
              <w:ind w:left="0" w:right="0" w:firstLine="0"/>
              <w:jc w:val="both"/>
            </w:pPr>
            <w:r>
              <w:rPr>
                <w:b/>
                <w:bCs/>
                <w:color w:val="000000"/>
                <w:spacing w:val="0"/>
                <w:w w:val="100"/>
                <w:position w:val="0"/>
              </w:rPr>
              <w:t>状态</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性别</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年龄</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firstLine="0"/>
              <w:jc w:val="center"/>
            </w:pPr>
            <w:r>
              <w:rPr>
                <w:b/>
                <w:bCs/>
                <w:color w:val="000000"/>
                <w:spacing w:val="0"/>
                <w:w w:val="100"/>
                <w:position w:val="0"/>
              </w:rPr>
              <w:t>任期起始日 期</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firstLine="0"/>
              <w:jc w:val="center"/>
            </w:pPr>
            <w:r>
              <w:rPr>
                <w:b/>
                <w:bCs/>
                <w:color w:val="000000"/>
                <w:spacing w:val="0"/>
                <w:w w:val="100"/>
                <w:position w:val="0"/>
              </w:rPr>
              <w:t>任期终止 日期</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100" w:line="240" w:lineRule="auto"/>
              <w:ind w:left="0" w:right="0" w:firstLine="0"/>
              <w:jc w:val="right"/>
            </w:pPr>
            <w:r>
              <w:rPr>
                <w:b/>
                <w:bCs/>
                <w:color w:val="000000"/>
                <w:spacing w:val="0"/>
                <w:w w:val="100"/>
                <w:position w:val="0"/>
              </w:rPr>
              <w:t>期初持股</w:t>
            </w:r>
          </w:p>
          <w:p>
            <w:pPr>
              <w:pStyle w:val="Style2"/>
              <w:keepNext w:val="0"/>
              <w:keepLines w:val="0"/>
              <w:widowControl w:val="0"/>
              <w:shd w:val="clear" w:color="auto" w:fill="auto"/>
              <w:bidi w:val="0"/>
              <w:spacing w:before="0" w:after="0" w:line="240" w:lineRule="auto"/>
              <w:ind w:left="0" w:right="0" w:firstLine="0"/>
              <w:jc w:val="right"/>
            </w:pPr>
            <w:r>
              <w:rPr>
                <w:b/>
                <w:bCs/>
                <w:color w:val="000000"/>
                <w:spacing w:val="0"/>
                <w:w w:val="100"/>
                <w:position w:val="0"/>
              </w:rPr>
              <w:t>数（股）</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firstLine="0"/>
              <w:jc w:val="center"/>
            </w:pPr>
            <w:r>
              <w:rPr>
                <w:b/>
                <w:bCs/>
                <w:color w:val="000000"/>
                <w:spacing w:val="0"/>
                <w:w w:val="100"/>
                <w:position w:val="0"/>
              </w:rPr>
              <w:t>本期增 持股份 数量 （股）</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100" w:line="240" w:lineRule="auto"/>
              <w:ind w:left="0" w:right="0" w:firstLine="0"/>
              <w:jc w:val="right"/>
            </w:pPr>
            <w:r>
              <w:rPr>
                <w:b/>
                <w:bCs/>
                <w:color w:val="000000"/>
                <w:spacing w:val="0"/>
                <w:w w:val="100"/>
                <w:position w:val="0"/>
              </w:rPr>
              <w:t>本期减持</w:t>
            </w:r>
          </w:p>
          <w:p>
            <w:pPr>
              <w:pStyle w:val="Style2"/>
              <w:keepNext w:val="0"/>
              <w:keepLines w:val="0"/>
              <w:widowControl w:val="0"/>
              <w:shd w:val="clear" w:color="auto" w:fill="auto"/>
              <w:bidi w:val="0"/>
              <w:spacing w:before="0" w:after="100" w:line="240" w:lineRule="auto"/>
              <w:ind w:left="0" w:right="0" w:firstLine="0"/>
              <w:jc w:val="right"/>
            </w:pPr>
            <w:r>
              <w:rPr>
                <w:b/>
                <w:bCs/>
                <w:color w:val="000000"/>
                <w:spacing w:val="0"/>
                <w:w w:val="100"/>
                <w:position w:val="0"/>
              </w:rPr>
              <w:t>股份数量</w:t>
            </w:r>
          </w:p>
          <w:p>
            <w:pPr>
              <w:pStyle w:val="Style2"/>
              <w:keepNext w:val="0"/>
              <w:keepLines w:val="0"/>
              <w:widowControl w:val="0"/>
              <w:shd w:val="clear" w:color="auto" w:fill="auto"/>
              <w:bidi w:val="0"/>
              <w:spacing w:before="0" w:after="100" w:line="240" w:lineRule="auto"/>
              <w:ind w:left="0" w:right="0" w:firstLine="0"/>
              <w:jc w:val="center"/>
            </w:pPr>
            <w:r>
              <w:rPr>
                <w:b/>
                <w:bCs/>
                <w:color w:val="000000"/>
                <w:spacing w:val="0"/>
                <w:w w:val="100"/>
                <w:position w:val="0"/>
              </w:rPr>
              <w:t>（股）</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100" w:line="240" w:lineRule="auto"/>
              <w:ind w:left="0" w:right="0" w:firstLine="0"/>
              <w:jc w:val="right"/>
            </w:pPr>
            <w:r>
              <w:rPr>
                <w:b/>
                <w:bCs/>
                <w:color w:val="000000"/>
                <w:spacing w:val="0"/>
                <w:w w:val="100"/>
                <w:position w:val="0"/>
              </w:rPr>
              <w:t>其他增</w:t>
            </w:r>
          </w:p>
          <w:p>
            <w:pPr>
              <w:pStyle w:val="Style2"/>
              <w:keepNext w:val="0"/>
              <w:keepLines w:val="0"/>
              <w:widowControl w:val="0"/>
              <w:shd w:val="clear" w:color="auto" w:fill="auto"/>
              <w:bidi w:val="0"/>
              <w:spacing w:before="0" w:after="100" w:line="240" w:lineRule="auto"/>
              <w:ind w:left="0" w:right="0" w:firstLine="0"/>
              <w:jc w:val="right"/>
            </w:pPr>
            <w:r>
              <w:rPr>
                <w:b/>
                <w:bCs/>
                <w:color w:val="000000"/>
                <w:spacing w:val="0"/>
                <w:w w:val="100"/>
                <w:position w:val="0"/>
              </w:rPr>
              <w:t>减变动</w:t>
            </w:r>
          </w:p>
          <w:p>
            <w:pPr>
              <w:pStyle w:val="Style2"/>
              <w:keepNext w:val="0"/>
              <w:keepLines w:val="0"/>
              <w:widowControl w:val="0"/>
              <w:shd w:val="clear" w:color="auto" w:fill="auto"/>
              <w:bidi w:val="0"/>
              <w:spacing w:before="0" w:after="100" w:line="240" w:lineRule="auto"/>
              <w:ind w:left="0" w:right="0" w:firstLine="0"/>
              <w:jc w:val="right"/>
            </w:pPr>
            <w:r>
              <w:rPr>
                <w:b/>
                <w:bCs/>
                <w:color w:val="000000"/>
                <w:spacing w:val="0"/>
                <w:w w:val="100"/>
                <w:position w:val="0"/>
              </w:rPr>
              <w:t>（股）</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100" w:line="240" w:lineRule="auto"/>
              <w:ind w:left="0" w:right="0" w:firstLine="0"/>
              <w:jc w:val="right"/>
            </w:pPr>
            <w:r>
              <w:rPr>
                <w:b/>
                <w:bCs/>
                <w:color w:val="000000"/>
                <w:spacing w:val="0"/>
                <w:w w:val="100"/>
                <w:position w:val="0"/>
              </w:rPr>
              <w:t>期末持股</w:t>
            </w:r>
          </w:p>
          <w:p>
            <w:pPr>
              <w:pStyle w:val="Style2"/>
              <w:keepNext w:val="0"/>
              <w:keepLines w:val="0"/>
              <w:widowControl w:val="0"/>
              <w:shd w:val="clear" w:color="auto" w:fill="auto"/>
              <w:bidi w:val="0"/>
              <w:spacing w:before="0" w:after="0" w:line="240" w:lineRule="auto"/>
              <w:ind w:left="0" w:right="0" w:firstLine="0"/>
              <w:jc w:val="right"/>
            </w:pPr>
            <w:r>
              <w:rPr>
                <w:b/>
                <w:bCs/>
                <w:color w:val="000000"/>
                <w:spacing w:val="0"/>
                <w:w w:val="100"/>
                <w:position w:val="0"/>
              </w:rPr>
              <w:t>数（股）</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color w:val="000000"/>
                <w:spacing w:val="0"/>
                <w:w w:val="100"/>
                <w:position w:val="0"/>
              </w:rPr>
              <w:t>王宁</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董事长</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现任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color w:val="000000"/>
                <w:spacing w:val="0"/>
                <w:w w:val="100"/>
                <w:position w:val="0"/>
              </w:rPr>
              <w:t>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8"/>
                <w:szCs w:val="18"/>
              </w:rPr>
            </w:pPr>
            <w:r>
              <w:rPr>
                <w:rFonts w:ascii="Times New Roman" w:eastAsia="Times New Roman" w:hAnsi="Times New Roman" w:cs="Times New Roman"/>
                <w:color w:val="000000"/>
                <w:spacing w:val="0"/>
                <w:w w:val="100"/>
                <w:position w:val="0"/>
                <w:sz w:val="18"/>
                <w:szCs w:val="18"/>
              </w:rPr>
              <w:t>59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2007-07-02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2022-05-27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126,958,612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31,250,000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4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95,708,612</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color w:val="000000"/>
                <w:spacing w:val="0"/>
                <w:w w:val="100"/>
                <w:position w:val="0"/>
              </w:rPr>
              <w:t>李力</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副董事长</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现任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color w:val="000000"/>
                <w:spacing w:val="0"/>
                <w:w w:val="100"/>
                <w:position w:val="0"/>
              </w:rPr>
              <w:t>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8"/>
                <w:szCs w:val="18"/>
              </w:rPr>
            </w:pPr>
            <w:r>
              <w:rPr>
                <w:rFonts w:ascii="Times New Roman" w:eastAsia="Times New Roman" w:hAnsi="Times New Roman" w:cs="Times New Roman"/>
                <w:color w:val="000000"/>
                <w:spacing w:val="0"/>
                <w:w w:val="100"/>
                <w:position w:val="0"/>
                <w:sz w:val="18"/>
                <w:szCs w:val="18"/>
              </w:rPr>
              <w:t>50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2007-07-02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2022-05-27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215,954,004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38,340,000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4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177,614,004</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冒大卫</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董事、总裁</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现任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color w:val="000000"/>
                <w:spacing w:val="0"/>
                <w:w w:val="100"/>
                <w:position w:val="0"/>
              </w:rPr>
              <w:t>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8"/>
                <w:szCs w:val="18"/>
              </w:rPr>
            </w:pPr>
            <w:r>
              <w:rPr>
                <w:rFonts w:ascii="Times New Roman" w:eastAsia="Times New Roman" w:hAnsi="Times New Roman" w:cs="Times New Roman"/>
                <w:color w:val="000000"/>
                <w:spacing w:val="0"/>
                <w:w w:val="100"/>
                <w:position w:val="0"/>
                <w:sz w:val="18"/>
                <w:szCs w:val="18"/>
              </w:rPr>
              <w:t>40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2018-05-18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2022-05-27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both"/>
              <w:rPr>
                <w:sz w:val="18"/>
                <w:szCs w:val="18"/>
              </w:rPr>
            </w:pPr>
            <w:r>
              <w:rPr>
                <w:rFonts w:ascii="Times New Roman" w:eastAsia="Times New Roman" w:hAnsi="Times New Roman" w:cs="Times New Roman"/>
                <w:color w:val="000000"/>
                <w:spacing w:val="0"/>
                <w:w w:val="100"/>
                <w:position w:val="0"/>
                <w:sz w:val="18"/>
                <w:szCs w:val="18"/>
              </w:rPr>
              <w:t>7,178,284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4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7,178,284</w:t>
            </w: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翟一兵</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董事、首席 运营官</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现任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color w:val="000000"/>
                <w:spacing w:val="0"/>
                <w:w w:val="100"/>
                <w:position w:val="0"/>
              </w:rPr>
              <w:t>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8"/>
                <w:szCs w:val="18"/>
              </w:rPr>
            </w:pPr>
            <w:r>
              <w:rPr>
                <w:rFonts w:ascii="Times New Roman" w:eastAsia="Times New Roman" w:hAnsi="Times New Roman" w:cs="Times New Roman"/>
                <w:color w:val="000000"/>
                <w:spacing w:val="0"/>
                <w:w w:val="100"/>
                <w:position w:val="0"/>
                <w:sz w:val="18"/>
                <w:szCs w:val="18"/>
              </w:rPr>
              <w:t>57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2013-05-20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2022-05-27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both"/>
              <w:rPr>
                <w:sz w:val="18"/>
                <w:szCs w:val="18"/>
              </w:rPr>
            </w:pPr>
            <w:r>
              <w:rPr>
                <w:rFonts w:ascii="Times New Roman" w:eastAsia="Times New Roman" w:hAnsi="Times New Roman" w:cs="Times New Roman"/>
                <w:color w:val="000000"/>
                <w:spacing w:val="0"/>
                <w:w w:val="100"/>
                <w:position w:val="0"/>
                <w:sz w:val="18"/>
                <w:szCs w:val="18"/>
              </w:rPr>
              <w:t>1,802,002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4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1,802,002</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color w:val="000000"/>
                <w:spacing w:val="0"/>
                <w:w w:val="100"/>
                <w:position w:val="0"/>
              </w:rPr>
              <w:t>易律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pPr>
            <w:r>
              <w:rPr>
                <w:color w:val="000000"/>
                <w:spacing w:val="0"/>
                <w:w w:val="100"/>
                <w:position w:val="0"/>
              </w:rPr>
              <w:t>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现任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color w:val="000000"/>
                <w:spacing w:val="0"/>
                <w:w w:val="100"/>
                <w:position w:val="0"/>
              </w:rPr>
              <w:t>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8"/>
                <w:szCs w:val="18"/>
              </w:rPr>
            </w:pPr>
            <w:r>
              <w:rPr>
                <w:rFonts w:ascii="Times New Roman" w:eastAsia="Times New Roman" w:hAnsi="Times New Roman" w:cs="Times New Roman"/>
                <w:color w:val="000000"/>
                <w:spacing w:val="0"/>
                <w:w w:val="100"/>
                <w:position w:val="0"/>
                <w:sz w:val="18"/>
                <w:szCs w:val="18"/>
              </w:rPr>
              <w:t>39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2019-05-27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2022-05-27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4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刘铁民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独立董事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现任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color w:val="000000"/>
                <w:spacing w:val="0"/>
                <w:w w:val="100"/>
                <w:position w:val="0"/>
              </w:rPr>
              <w:t>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8"/>
                <w:szCs w:val="18"/>
              </w:rPr>
            </w:pPr>
            <w:r>
              <w:rPr>
                <w:rFonts w:ascii="Times New Roman" w:eastAsia="Times New Roman" w:hAnsi="Times New Roman" w:cs="Times New Roman"/>
                <w:color w:val="000000"/>
                <w:spacing w:val="0"/>
                <w:w w:val="100"/>
                <w:position w:val="0"/>
                <w:sz w:val="18"/>
                <w:szCs w:val="18"/>
              </w:rPr>
              <w:t>71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2016-05-27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2022-05-27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4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王雪春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独立董事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现任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color w:val="000000"/>
                <w:spacing w:val="0"/>
                <w:w w:val="100"/>
                <w:position w:val="0"/>
              </w:rPr>
              <w:t>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8"/>
                <w:szCs w:val="18"/>
              </w:rPr>
            </w:pPr>
            <w:r>
              <w:rPr>
                <w:rFonts w:ascii="Times New Roman" w:eastAsia="Times New Roman" w:hAnsi="Times New Roman" w:cs="Times New Roman"/>
                <w:color w:val="000000"/>
                <w:spacing w:val="0"/>
                <w:w w:val="100"/>
                <w:position w:val="0"/>
                <w:sz w:val="18"/>
                <w:szCs w:val="18"/>
              </w:rPr>
              <w:t>55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2016-05-27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2022-05-27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4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color w:val="000000"/>
                <w:spacing w:val="0"/>
                <w:w w:val="100"/>
                <w:position w:val="0"/>
              </w:rPr>
              <w:t>沈阳</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独立董事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现任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color w:val="000000"/>
                <w:spacing w:val="0"/>
                <w:w w:val="100"/>
                <w:position w:val="0"/>
              </w:rPr>
              <w:t>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8"/>
                <w:szCs w:val="18"/>
              </w:rPr>
            </w:pPr>
            <w:r>
              <w:rPr>
                <w:rFonts w:ascii="Times New Roman" w:eastAsia="Times New Roman" w:hAnsi="Times New Roman" w:cs="Times New Roman"/>
                <w:color w:val="000000"/>
                <w:spacing w:val="0"/>
                <w:w w:val="100"/>
                <w:position w:val="0"/>
                <w:sz w:val="18"/>
                <w:szCs w:val="18"/>
              </w:rPr>
              <w:t>46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2019-08-08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2022-05-27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4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color w:val="000000"/>
                <w:spacing w:val="0"/>
                <w:w w:val="100"/>
                <w:position w:val="0"/>
              </w:rPr>
              <w:t>郝岩</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监事会主席</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现任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color w:val="000000"/>
                <w:spacing w:val="0"/>
                <w:w w:val="100"/>
                <w:position w:val="0"/>
              </w:rPr>
              <w:t>女</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8"/>
                <w:szCs w:val="18"/>
              </w:rPr>
            </w:pPr>
            <w:r>
              <w:rPr>
                <w:rFonts w:ascii="Times New Roman" w:eastAsia="Times New Roman" w:hAnsi="Times New Roman" w:cs="Times New Roman"/>
                <w:color w:val="000000"/>
                <w:spacing w:val="0"/>
                <w:w w:val="100"/>
                <w:position w:val="0"/>
                <w:sz w:val="18"/>
                <w:szCs w:val="18"/>
              </w:rPr>
              <w:t>40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2007-07-02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2022-05-27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4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400</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丁彦超</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pPr>
            <w:r>
              <w:rPr>
                <w:color w:val="000000"/>
                <w:spacing w:val="0"/>
                <w:w w:val="100"/>
                <w:position w:val="0"/>
              </w:rPr>
              <w:t>监事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现任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color w:val="000000"/>
                <w:spacing w:val="0"/>
                <w:w w:val="100"/>
                <w:position w:val="0"/>
              </w:rPr>
              <w:t>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8"/>
                <w:szCs w:val="18"/>
              </w:rPr>
            </w:pPr>
            <w:r>
              <w:rPr>
                <w:rFonts w:ascii="Times New Roman" w:eastAsia="Times New Roman" w:hAnsi="Times New Roman" w:cs="Times New Roman"/>
                <w:color w:val="000000"/>
                <w:spacing w:val="0"/>
                <w:w w:val="100"/>
                <w:position w:val="0"/>
                <w:sz w:val="18"/>
                <w:szCs w:val="18"/>
              </w:rPr>
              <w:t>52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2007-07-02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2022-05-27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401,335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4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401,335</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color w:val="000000"/>
                <w:spacing w:val="0"/>
                <w:w w:val="100"/>
                <w:position w:val="0"/>
              </w:rPr>
              <w:t>陈伟</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职工监事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现任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color w:val="000000"/>
                <w:spacing w:val="0"/>
                <w:w w:val="100"/>
                <w:position w:val="0"/>
              </w:rPr>
              <w:t>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8"/>
                <w:szCs w:val="18"/>
              </w:rPr>
            </w:pPr>
            <w:r>
              <w:rPr>
                <w:rFonts w:ascii="Times New Roman" w:eastAsia="Times New Roman" w:hAnsi="Times New Roman" w:cs="Times New Roman"/>
                <w:color w:val="000000"/>
                <w:spacing w:val="0"/>
                <w:w w:val="100"/>
                <w:position w:val="0"/>
                <w:sz w:val="18"/>
                <w:szCs w:val="18"/>
              </w:rPr>
              <w:t>54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2019-05-27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2022-05-27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4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color w:val="000000"/>
                <w:spacing w:val="0"/>
                <w:w w:val="100"/>
                <w:position w:val="0"/>
              </w:rPr>
              <w:t>高峰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副总裁</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现任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color w:val="000000"/>
                <w:spacing w:val="0"/>
                <w:w w:val="100"/>
                <w:position w:val="0"/>
              </w:rPr>
              <w:t>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8"/>
                <w:szCs w:val="18"/>
              </w:rPr>
            </w:pPr>
            <w:r>
              <w:rPr>
                <w:rFonts w:ascii="Times New Roman" w:eastAsia="Times New Roman" w:hAnsi="Times New Roman" w:cs="Times New Roman"/>
                <w:color w:val="000000"/>
                <w:spacing w:val="0"/>
                <w:w w:val="100"/>
                <w:position w:val="0"/>
                <w:sz w:val="18"/>
                <w:szCs w:val="18"/>
              </w:rPr>
              <w:t>45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2010-06-30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2022-05-27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both"/>
              <w:rPr>
                <w:sz w:val="18"/>
                <w:szCs w:val="18"/>
              </w:rPr>
            </w:pPr>
            <w:r>
              <w:rPr>
                <w:rFonts w:ascii="Times New Roman" w:eastAsia="Times New Roman" w:hAnsi="Times New Roman" w:cs="Times New Roman"/>
                <w:color w:val="000000"/>
                <w:spacing w:val="0"/>
                <w:w w:val="100"/>
                <w:position w:val="0"/>
                <w:sz w:val="18"/>
                <w:szCs w:val="18"/>
              </w:rPr>
              <w:t>9,675,886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2,410,000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4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7,265,886</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color w:val="000000"/>
                <w:spacing w:val="0"/>
                <w:w w:val="100"/>
                <w:position w:val="0"/>
              </w:rPr>
              <w:t>董越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副总裁</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现任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color w:val="000000"/>
                <w:spacing w:val="0"/>
                <w:w w:val="100"/>
                <w:position w:val="0"/>
              </w:rPr>
              <w:t>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8"/>
                <w:szCs w:val="18"/>
              </w:rPr>
            </w:pPr>
            <w:r>
              <w:rPr>
                <w:rFonts w:ascii="Times New Roman" w:eastAsia="Times New Roman" w:hAnsi="Times New Roman" w:cs="Times New Roman"/>
                <w:color w:val="000000"/>
                <w:spacing w:val="0"/>
                <w:w w:val="100"/>
                <w:position w:val="0"/>
                <w:sz w:val="18"/>
                <w:szCs w:val="18"/>
              </w:rPr>
              <w:t>50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2016-05-27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2022-05-27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4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刘洪宁</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副总裁</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现任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color w:val="000000"/>
                <w:spacing w:val="0"/>
                <w:w w:val="100"/>
                <w:position w:val="0"/>
              </w:rPr>
              <w:t>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8"/>
                <w:szCs w:val="18"/>
              </w:rPr>
            </w:pPr>
            <w:r>
              <w:rPr>
                <w:rFonts w:ascii="Times New Roman" w:eastAsia="Times New Roman" w:hAnsi="Times New Roman" w:cs="Times New Roman"/>
                <w:color w:val="000000"/>
                <w:spacing w:val="0"/>
                <w:w w:val="100"/>
                <w:position w:val="0"/>
                <w:sz w:val="18"/>
                <w:szCs w:val="18"/>
              </w:rPr>
              <w:t>44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2019-05-27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2022-05-27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4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胡加明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0"/>
              <w:jc w:val="center"/>
            </w:pPr>
            <w:r>
              <w:rPr>
                <w:color w:val="000000"/>
                <w:spacing w:val="0"/>
                <w:w w:val="100"/>
                <w:position w:val="0"/>
              </w:rPr>
              <w:t>副总裁、董 事会秘书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现任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color w:val="000000"/>
                <w:spacing w:val="0"/>
                <w:w w:val="100"/>
                <w:position w:val="0"/>
              </w:rPr>
              <w:t>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8"/>
                <w:szCs w:val="18"/>
              </w:rPr>
            </w:pPr>
            <w:r>
              <w:rPr>
                <w:rFonts w:ascii="Times New Roman" w:eastAsia="Times New Roman" w:hAnsi="Times New Roman" w:cs="Times New Roman"/>
                <w:color w:val="000000"/>
                <w:spacing w:val="0"/>
                <w:w w:val="100"/>
                <w:position w:val="0"/>
                <w:sz w:val="18"/>
                <w:szCs w:val="18"/>
              </w:rPr>
              <w:t>38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2019-05-27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2022-05-27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4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color w:val="000000"/>
                <w:spacing w:val="0"/>
                <w:w w:val="100"/>
                <w:position w:val="0"/>
              </w:rPr>
              <w:t>艾东</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副总裁</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现任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color w:val="000000"/>
                <w:spacing w:val="0"/>
                <w:w w:val="100"/>
                <w:position w:val="0"/>
              </w:rPr>
              <w:t>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8"/>
                <w:szCs w:val="18"/>
              </w:rPr>
            </w:pPr>
            <w:r>
              <w:rPr>
                <w:rFonts w:ascii="Times New Roman" w:eastAsia="Times New Roman" w:hAnsi="Times New Roman" w:cs="Times New Roman"/>
                <w:color w:val="000000"/>
                <w:spacing w:val="0"/>
                <w:w w:val="100"/>
                <w:position w:val="0"/>
                <w:sz w:val="18"/>
                <w:szCs w:val="18"/>
              </w:rPr>
              <w:t>51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2016-05-27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2022-05-27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4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color w:val="000000"/>
                <w:spacing w:val="0"/>
                <w:w w:val="100"/>
                <w:position w:val="0"/>
              </w:rPr>
              <w:t>林红</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副总裁</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现任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color w:val="000000"/>
                <w:spacing w:val="0"/>
                <w:w w:val="100"/>
                <w:position w:val="0"/>
              </w:rPr>
              <w:t>女</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8"/>
                <w:szCs w:val="18"/>
              </w:rPr>
            </w:pPr>
            <w:r>
              <w:rPr>
                <w:rFonts w:ascii="Times New Roman" w:eastAsia="Times New Roman" w:hAnsi="Times New Roman" w:cs="Times New Roman"/>
                <w:color w:val="000000"/>
                <w:spacing w:val="0"/>
                <w:w w:val="100"/>
                <w:position w:val="0"/>
                <w:sz w:val="18"/>
                <w:szCs w:val="18"/>
              </w:rPr>
              <w:t>55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2016-05-27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2022-05-27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4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戈爱晶</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0"/>
              <w:jc w:val="center"/>
            </w:pPr>
            <w:r>
              <w:rPr>
                <w:color w:val="000000"/>
                <w:spacing w:val="0"/>
                <w:w w:val="100"/>
                <w:position w:val="0"/>
              </w:rPr>
              <w:t>副总裁、财 务总监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现任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color w:val="000000"/>
                <w:spacing w:val="0"/>
                <w:w w:val="100"/>
                <w:position w:val="0"/>
              </w:rPr>
              <w:t>女</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8"/>
                <w:szCs w:val="18"/>
              </w:rPr>
            </w:pPr>
            <w:r>
              <w:rPr>
                <w:rFonts w:ascii="Times New Roman" w:eastAsia="Times New Roman" w:hAnsi="Times New Roman" w:cs="Times New Roman"/>
                <w:color w:val="000000"/>
                <w:spacing w:val="0"/>
                <w:w w:val="100"/>
                <w:position w:val="0"/>
                <w:sz w:val="18"/>
                <w:szCs w:val="18"/>
              </w:rPr>
              <w:t>41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2020-09-10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2022-05-27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4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梁德兴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副总裁</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离任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color w:val="000000"/>
                <w:spacing w:val="0"/>
                <w:w w:val="100"/>
                <w:position w:val="0"/>
              </w:rPr>
              <w:t>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8"/>
                <w:szCs w:val="18"/>
              </w:rPr>
            </w:pPr>
            <w:r>
              <w:rPr>
                <w:rFonts w:ascii="Times New Roman" w:eastAsia="Times New Roman" w:hAnsi="Times New Roman" w:cs="Times New Roman"/>
                <w:color w:val="000000"/>
                <w:spacing w:val="0"/>
                <w:w w:val="100"/>
                <w:position w:val="0"/>
                <w:sz w:val="18"/>
                <w:szCs w:val="18"/>
              </w:rPr>
              <w:t>46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2016-05-27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2020-06-18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3,200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4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3,200</w:t>
            </w:r>
          </w:p>
        </w:tc>
      </w:tr>
      <w:tr>
        <w:trPr>
          <w:trHeight w:val="408"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180"/>
              <w:jc w:val="left"/>
            </w:pPr>
            <w:r>
              <w:rPr>
                <w:color w:val="000000"/>
                <w:spacing w:val="0"/>
                <w:w w:val="100"/>
                <w:position w:val="0"/>
              </w:rPr>
              <w:t>合计</w:t>
            </w:r>
          </w:p>
        </w:tc>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18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361,973,723</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72,000,000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4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289,973,723</w:t>
            </w:r>
          </w:p>
        </w:tc>
      </w:tr>
    </w:tbl>
    <w:p>
      <w:pPr>
        <w:widowControl w:val="0"/>
        <w:spacing w:after="319" w:line="1" w:lineRule="exact"/>
      </w:pPr>
    </w:p>
    <w:p>
      <w:pPr>
        <w:pStyle w:val="Style39"/>
        <w:keepNext/>
        <w:keepLines/>
        <w:widowControl w:val="0"/>
        <w:shd w:val="clear" w:color="auto" w:fill="auto"/>
        <w:bidi w:val="0"/>
        <w:spacing w:before="0" w:after="440" w:line="240" w:lineRule="auto"/>
        <w:ind w:left="0" w:right="0" w:firstLine="0"/>
        <w:jc w:val="left"/>
      </w:pPr>
      <w:bookmarkStart w:id="653" w:name="bookmark653"/>
      <w:bookmarkStart w:id="654" w:name="bookmark654"/>
      <w:bookmarkStart w:id="655" w:name="bookmark655"/>
      <w:bookmarkStart w:id="656" w:name="bookmark656"/>
      <w:r>
        <w:rPr>
          <w:color w:val="000000"/>
          <w:spacing w:val="0"/>
          <w:w w:val="100"/>
          <w:position w:val="0"/>
          <w:sz w:val="24"/>
          <w:szCs w:val="24"/>
        </w:rPr>
        <w:t>二</w:t>
      </w:r>
      <w:bookmarkEnd w:id="655"/>
      <w:r>
        <w:rPr>
          <w:color w:val="000000"/>
          <w:spacing w:val="0"/>
          <w:w w:val="100"/>
          <w:position w:val="0"/>
          <w:sz w:val="24"/>
          <w:szCs w:val="24"/>
        </w:rPr>
        <w:t>、公司董事、监事、高级管理人员变动情况</w:t>
      </w:r>
      <w:bookmarkEnd w:id="653"/>
      <w:bookmarkEnd w:id="654"/>
      <w:bookmarkEnd w:id="656"/>
    </w:p>
    <w:p>
      <w:pPr>
        <w:pStyle w:val="Style41"/>
        <w:keepNext w:val="0"/>
        <w:keepLines w:val="0"/>
        <w:widowControl w:val="0"/>
        <w:shd w:val="clear" w:color="auto" w:fill="auto"/>
        <w:bidi w:val="0"/>
        <w:spacing w:before="0" w:after="380" w:line="240" w:lineRule="auto"/>
        <w:ind w:left="0" w:right="0" w:firstLine="0"/>
        <w:jc w:val="left"/>
        <w:sectPr>
          <w:footnotePr>
            <w:pos w:val="pageBottom"/>
            <w:numFmt w:val="decimal"/>
            <w:numRestart w:val="continuous"/>
          </w:footnotePr>
          <w:pgSz w:w="11904" w:h="17375"/>
          <w:pgMar w:top="1665" w:right="1044" w:bottom="1940" w:left="1074" w:header="0" w:footer="3" w:gutter="0"/>
          <w:cols w:space="720"/>
          <w:noEndnote/>
          <w:rtlGutter w:val="0"/>
          <w:docGrid w:linePitch="360"/>
        </w:sectPr>
      </w:pPr>
      <w:r>
        <w:rPr>
          <w:b/>
          <w:bCs/>
          <w:color w:val="000000"/>
          <w:spacing w:val="0"/>
          <w:w w:val="100"/>
          <w:position w:val="0"/>
          <w:sz w:val="19"/>
          <w:szCs w:val="19"/>
        </w:rPr>
        <w:t>寸</w:t>
      </w:r>
      <w:r>
        <w:rPr>
          <w:b/>
          <w:bCs/>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tbl>
      <w:tblPr>
        <w:tblOverlap w:val="never"/>
        <w:jc w:val="center"/>
        <w:tblLayout w:type="fixed"/>
      </w:tblPr>
      <w:tblGrid>
        <w:gridCol w:w="1354"/>
        <w:gridCol w:w="2083"/>
        <w:gridCol w:w="989"/>
        <w:gridCol w:w="1560"/>
        <w:gridCol w:w="3725"/>
      </w:tblGrid>
      <w:tr>
        <w:trPr>
          <w:trHeight w:val="480"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姓名</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担任的职务</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300"/>
              <w:jc w:val="left"/>
            </w:pPr>
            <w:r>
              <w:rPr>
                <w:color w:val="000000"/>
                <w:spacing w:val="0"/>
                <w:w w:val="100"/>
                <w:position w:val="0"/>
              </w:rPr>
              <w:t>类型</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日期</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原因</w:t>
            </w: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梁德兴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副总裁</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pPr>
            <w:r>
              <w:rPr>
                <w:color w:val="000000"/>
                <w:spacing w:val="0"/>
                <w:w w:val="100"/>
                <w:position w:val="0"/>
              </w:rPr>
              <w:t>解聘</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06</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18</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工作调动，辞职后，梁德兴先生专职担任参股 公司中建智能技术有限公司总经理职务。</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林红</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财务总监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pPr>
            <w:r>
              <w:rPr>
                <w:color w:val="000000"/>
                <w:spacing w:val="0"/>
                <w:w w:val="100"/>
                <w:position w:val="0"/>
              </w:rPr>
              <w:t>任免</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09</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工作调整，林红女士辞去公司财务总监职务后， 继续担任公司副总裁职务。</w:t>
            </w:r>
          </w:p>
        </w:tc>
      </w:tr>
      <w:tr>
        <w:trPr>
          <w:trHeight w:val="41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戈爱晶</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副总裁兼财务总监</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pPr>
            <w:r>
              <w:rPr>
                <w:color w:val="000000"/>
                <w:spacing w:val="0"/>
                <w:w w:val="100"/>
                <w:position w:val="0"/>
              </w:rPr>
              <w:t>聘任</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09</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日</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聘任。</w:t>
            </w:r>
          </w:p>
        </w:tc>
      </w:tr>
    </w:tbl>
    <w:p>
      <w:pPr>
        <w:widowControl w:val="0"/>
        <w:spacing w:after="299" w:line="1" w:lineRule="exact"/>
      </w:pPr>
    </w:p>
    <w:p>
      <w:pPr>
        <w:pStyle w:val="Style39"/>
        <w:keepNext/>
        <w:keepLines/>
        <w:widowControl w:val="0"/>
        <w:shd w:val="clear" w:color="auto" w:fill="auto"/>
        <w:bidi w:val="0"/>
        <w:spacing w:before="0" w:after="120" w:line="240" w:lineRule="auto"/>
        <w:ind w:left="0" w:right="0" w:firstLine="0"/>
        <w:jc w:val="left"/>
      </w:pPr>
      <w:bookmarkStart w:id="657" w:name="bookmark657"/>
      <w:bookmarkStart w:id="658" w:name="bookmark658"/>
      <w:bookmarkStart w:id="659" w:name="bookmark659"/>
      <w:bookmarkStart w:id="660" w:name="bookmark660"/>
      <w:r>
        <w:rPr>
          <w:color w:val="000000"/>
          <w:spacing w:val="0"/>
          <w:w w:val="100"/>
          <w:position w:val="0"/>
          <w:sz w:val="24"/>
          <w:szCs w:val="24"/>
        </w:rPr>
        <w:t>三</w:t>
      </w:r>
      <w:bookmarkEnd w:id="659"/>
      <w:r>
        <w:rPr>
          <w:color w:val="000000"/>
          <w:spacing w:val="0"/>
          <w:w w:val="100"/>
          <w:position w:val="0"/>
          <w:sz w:val="24"/>
          <w:szCs w:val="24"/>
        </w:rPr>
        <w:t>、任职情况</w:t>
      </w:r>
      <w:bookmarkEnd w:id="657"/>
      <w:bookmarkEnd w:id="658"/>
      <w:bookmarkEnd w:id="660"/>
    </w:p>
    <w:p>
      <w:pPr>
        <w:pStyle w:val="Style41"/>
        <w:keepNext w:val="0"/>
        <w:keepLines w:val="0"/>
        <w:widowControl w:val="0"/>
        <w:shd w:val="clear" w:color="auto" w:fill="auto"/>
        <w:bidi w:val="0"/>
        <w:spacing w:before="0" w:after="240" w:line="467" w:lineRule="exact"/>
        <w:ind w:left="0" w:right="0" w:firstLine="0"/>
        <w:jc w:val="left"/>
      </w:pPr>
      <w:r>
        <w:rPr>
          <w:color w:val="000000"/>
          <w:spacing w:val="0"/>
          <w:w w:val="100"/>
          <w:position w:val="0"/>
        </w:rPr>
        <w:t>公司现任董事、监事、高级管理人员专业背景、主要工作经历以及目前在公司的主要职责</w:t>
      </w:r>
    </w:p>
    <w:p>
      <w:pPr>
        <w:pStyle w:val="Style41"/>
        <w:keepNext w:val="0"/>
        <w:keepLines w:val="0"/>
        <w:widowControl w:val="0"/>
        <w:shd w:val="clear" w:color="auto" w:fill="auto"/>
        <w:bidi w:val="0"/>
        <w:spacing w:before="0" w:after="0" w:line="542" w:lineRule="auto"/>
        <w:ind w:left="0" w:right="0"/>
        <w:jc w:val="both"/>
      </w:pPr>
      <w:bookmarkStart w:id="661" w:name="bookmark661"/>
      <w:r>
        <w:rPr>
          <w:rFonts w:ascii="Times New Roman" w:eastAsia="Times New Roman" w:hAnsi="Times New Roman" w:cs="Times New Roman"/>
          <w:b/>
          <w:bCs/>
          <w:color w:val="000000"/>
          <w:spacing w:val="0"/>
          <w:w w:val="100"/>
          <w:position w:val="0"/>
          <w:sz w:val="18"/>
          <w:szCs w:val="18"/>
        </w:rPr>
        <w:t>1</w:t>
      </w:r>
      <w:bookmarkEnd w:id="661"/>
      <w:r>
        <w:rPr>
          <w:b/>
          <w:bCs/>
          <w:color w:val="000000"/>
          <w:spacing w:val="0"/>
          <w:w w:val="100"/>
          <w:position w:val="0"/>
        </w:rPr>
        <w:t>、董事会成员简介</w:t>
      </w:r>
    </w:p>
    <w:p>
      <w:pPr>
        <w:pStyle w:val="Style41"/>
        <w:keepNext w:val="0"/>
        <w:keepLines w:val="0"/>
        <w:widowControl w:val="0"/>
        <w:shd w:val="clear" w:color="auto" w:fill="auto"/>
        <w:bidi w:val="0"/>
        <w:spacing w:before="0" w:after="0" w:line="467" w:lineRule="exact"/>
        <w:ind w:left="0" w:right="0"/>
        <w:jc w:val="both"/>
      </w:pPr>
      <w:r>
        <w:rPr>
          <w:b/>
          <w:bCs/>
          <w:color w:val="000000"/>
          <w:spacing w:val="0"/>
          <w:w w:val="100"/>
          <w:position w:val="0"/>
        </w:rPr>
        <w:t>公司董事会由八名董事组成，其中独立董事三名，具体如下：</w:t>
      </w:r>
    </w:p>
    <w:p>
      <w:pPr>
        <w:pStyle w:val="Style41"/>
        <w:keepNext w:val="0"/>
        <w:keepLines w:val="0"/>
        <w:widowControl w:val="0"/>
        <w:shd w:val="clear" w:color="auto" w:fill="auto"/>
        <w:bidi w:val="0"/>
        <w:spacing w:before="0" w:after="0" w:line="467" w:lineRule="exact"/>
        <w:ind w:left="0" w:right="0"/>
        <w:jc w:val="both"/>
      </w:pPr>
      <w:r>
        <w:rPr>
          <w:b/>
          <w:bCs/>
          <w:color w:val="000000"/>
          <w:spacing w:val="0"/>
          <w:w w:val="100"/>
          <w:position w:val="0"/>
        </w:rPr>
        <w:t>王宁先生，报告期内任北京神州泰岳软件股份有限公司董事长。</w:t>
      </w:r>
      <w:r>
        <w:rPr>
          <w:rFonts w:ascii="Times New Roman" w:eastAsia="Times New Roman" w:hAnsi="Times New Roman" w:cs="Times New Roman"/>
          <w:color w:val="000000"/>
          <w:spacing w:val="0"/>
          <w:w w:val="100"/>
          <w:position w:val="0"/>
          <w:sz w:val="18"/>
          <w:szCs w:val="18"/>
        </w:rPr>
        <w:t>1961</w:t>
      </w:r>
      <w:r>
        <w:rPr>
          <w:color w:val="000000"/>
          <w:spacing w:val="0"/>
          <w:w w:val="100"/>
          <w:position w:val="0"/>
        </w:rPr>
        <w:t>年出生，中国国籍，无永久境外居留权。毕业于 河北大学，理学、法学双学士，荣获</w:t>
      </w:r>
      <w:r>
        <w:rPr>
          <w:rFonts w:ascii="Times New Roman" w:eastAsia="Times New Roman" w:hAnsi="Times New Roman" w:cs="Times New Roman"/>
          <w:color w:val="000000"/>
          <w:spacing w:val="0"/>
          <w:w w:val="100"/>
          <w:position w:val="0"/>
          <w:sz w:val="18"/>
          <w:szCs w:val="18"/>
        </w:rPr>
        <w:t>2006</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中国软件企业十大领军人物</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2009</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中国软件产业发展功勋人物</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及</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中国软 件产业杰出企业家</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。曾任河北大学校团委书记、河北大学出版社社长、联想集团工控公司电脑部经理、北京新海拓科技公 司总经理，北京神州泰岳科技有限公司副总经理、总经理。</w:t>
      </w:r>
      <w:r>
        <w:rPr>
          <w:rFonts w:ascii="Times New Roman" w:eastAsia="Times New Roman" w:hAnsi="Times New Roman" w:cs="Times New Roman"/>
          <w:color w:val="000000"/>
          <w:spacing w:val="0"/>
          <w:w w:val="100"/>
          <w:position w:val="0"/>
          <w:sz w:val="18"/>
          <w:szCs w:val="18"/>
        </w:rPr>
        <w:t>2001</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月至</w:t>
      </w:r>
      <w:r>
        <w:rPr>
          <w:rFonts w:ascii="Times New Roman" w:eastAsia="Times New Roman" w:hAnsi="Times New Roman" w:cs="Times New Roman"/>
          <w:color w:val="000000"/>
          <w:spacing w:val="0"/>
          <w:w w:val="100"/>
          <w:position w:val="0"/>
          <w:sz w:val="18"/>
          <w:szCs w:val="18"/>
        </w:rPr>
        <w:t>2021</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月担任神州泰岳公司董事长，其中，</w:t>
      </w:r>
      <w:r>
        <w:rPr>
          <w:rFonts w:ascii="Times New Roman" w:eastAsia="Times New Roman" w:hAnsi="Times New Roman" w:cs="Times New Roman"/>
          <w:color w:val="000000"/>
          <w:spacing w:val="0"/>
          <w:w w:val="100"/>
          <w:position w:val="0"/>
          <w:sz w:val="18"/>
          <w:szCs w:val="18"/>
        </w:rPr>
        <w:t xml:space="preserve">2001 </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月至</w:t>
      </w:r>
      <w:r>
        <w:rPr>
          <w:rFonts w:ascii="Times New Roman" w:eastAsia="Times New Roman" w:hAnsi="Times New Roman" w:cs="Times New Roman"/>
          <w:color w:val="000000"/>
          <w:spacing w:val="0"/>
          <w:w w:val="100"/>
          <w:position w:val="0"/>
          <w:sz w:val="18"/>
          <w:szCs w:val="18"/>
        </w:rPr>
        <w:t>2007</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7</w:t>
      </w:r>
      <w:r>
        <w:rPr>
          <w:color w:val="000000"/>
          <w:spacing w:val="0"/>
          <w:w w:val="100"/>
          <w:position w:val="0"/>
        </w:rPr>
        <w:t>月，曾兼任公司财务负责人、总经理。</w:t>
      </w:r>
      <w:r>
        <w:rPr>
          <w:rFonts w:ascii="Times New Roman" w:eastAsia="Times New Roman" w:hAnsi="Times New Roman" w:cs="Times New Roman"/>
          <w:color w:val="000000"/>
          <w:spacing w:val="0"/>
          <w:w w:val="100"/>
          <w:position w:val="0"/>
          <w:sz w:val="18"/>
          <w:szCs w:val="18"/>
        </w:rPr>
        <w:t>2021</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月至今任公司董事。</w:t>
      </w:r>
    </w:p>
    <w:p>
      <w:pPr>
        <w:pStyle w:val="Style41"/>
        <w:keepNext w:val="0"/>
        <w:keepLines w:val="0"/>
        <w:widowControl w:val="0"/>
        <w:shd w:val="clear" w:color="auto" w:fill="auto"/>
        <w:bidi w:val="0"/>
        <w:spacing w:before="0" w:after="0" w:line="467" w:lineRule="exact"/>
        <w:ind w:left="0" w:right="0"/>
        <w:jc w:val="both"/>
      </w:pPr>
      <w:r>
        <w:rPr>
          <w:b/>
          <w:bCs/>
          <w:color w:val="000000"/>
          <w:spacing w:val="0"/>
          <w:w w:val="100"/>
          <w:position w:val="0"/>
        </w:rPr>
        <w:t>李力先生，现任北京神州泰岳软件股份有限公司副董事长。</w:t>
      </w:r>
      <w:r>
        <w:rPr>
          <w:rFonts w:ascii="Times New Roman" w:eastAsia="Times New Roman" w:hAnsi="Times New Roman" w:cs="Times New Roman"/>
          <w:color w:val="000000"/>
          <w:spacing w:val="0"/>
          <w:w w:val="100"/>
          <w:position w:val="0"/>
          <w:sz w:val="18"/>
          <w:szCs w:val="18"/>
        </w:rPr>
        <w:t>1971</w:t>
      </w:r>
      <w:r>
        <w:rPr>
          <w:color w:val="000000"/>
          <w:spacing w:val="0"/>
          <w:w w:val="100"/>
          <w:position w:val="0"/>
        </w:rPr>
        <w:t>年出生，中国国籍，新加坡永久居留权。毕业于首都 经贸大学，曾任北京力霸科技有限公司副总经理。李力先生作为主要创始人，历任神州泰岳公司董事、常务副总经理、总经 理。</w:t>
      </w:r>
      <w:r>
        <w:rPr>
          <w:rFonts w:ascii="Times New Roman" w:eastAsia="Times New Roman" w:hAnsi="Times New Roman" w:cs="Times New Roman"/>
          <w:color w:val="000000"/>
          <w:spacing w:val="0"/>
          <w:w w:val="100"/>
          <w:position w:val="0"/>
          <w:sz w:val="18"/>
          <w:szCs w:val="18"/>
        </w:rPr>
        <w:t>2018</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9</w:t>
      </w:r>
      <w:r>
        <w:rPr>
          <w:color w:val="000000"/>
          <w:spacing w:val="0"/>
          <w:w w:val="100"/>
          <w:position w:val="0"/>
        </w:rPr>
        <w:t>月至今任公司副董事长。</w:t>
      </w:r>
    </w:p>
    <w:p>
      <w:pPr>
        <w:pStyle w:val="Style41"/>
        <w:keepNext w:val="0"/>
        <w:keepLines w:val="0"/>
        <w:widowControl w:val="0"/>
        <w:shd w:val="clear" w:color="auto" w:fill="auto"/>
        <w:bidi w:val="0"/>
        <w:spacing w:before="0" w:after="0" w:line="467" w:lineRule="exact"/>
        <w:ind w:left="0" w:right="0"/>
        <w:jc w:val="both"/>
      </w:pPr>
      <w:r>
        <w:rPr>
          <w:b/>
          <w:bCs/>
          <w:color w:val="000000"/>
          <w:spacing w:val="0"/>
          <w:w w:val="100"/>
          <w:position w:val="0"/>
        </w:rPr>
        <w:t>冒大卫先生，报告期内任北京神州泰岳软件股份有限公司董事兼总裁</w:t>
      </w:r>
      <w:r>
        <w:rPr>
          <w:rFonts w:ascii="Arial" w:eastAsia="Arial" w:hAnsi="Arial" w:cs="Arial"/>
          <w:b/>
          <w:bCs/>
          <w:color w:val="000000"/>
          <w:spacing w:val="0"/>
          <w:w w:val="100"/>
          <w:position w:val="0"/>
          <w:sz w:val="8"/>
          <w:szCs w:val="8"/>
        </w:rPr>
        <w:t xml:space="preserve">o </w:t>
      </w:r>
      <w:r>
        <w:rPr>
          <w:rFonts w:ascii="Times New Roman" w:eastAsia="Times New Roman" w:hAnsi="Times New Roman" w:cs="Times New Roman"/>
          <w:color w:val="000000"/>
          <w:spacing w:val="0"/>
          <w:w w:val="100"/>
          <w:position w:val="0"/>
          <w:sz w:val="18"/>
          <w:szCs w:val="18"/>
        </w:rPr>
        <w:t>1980</w:t>
      </w:r>
      <w:r>
        <w:rPr>
          <w:color w:val="000000"/>
          <w:spacing w:val="0"/>
          <w:w w:val="100"/>
          <w:position w:val="0"/>
        </w:rPr>
        <w:t>年出生，中国国籍，无境外永久居留权。 毕业于北京大学，研究生学历，博士学位，副教授。曾任北京大学光华管理学院团委书记、北京大学光华管理学院党委副书 记、北京大学光华管理学院党委书记、北京大学财务部部长、后勤结算中心主任兼北京大学医学部副主任。</w:t>
      </w:r>
      <w:r>
        <w:rPr>
          <w:rFonts w:ascii="Times New Roman" w:eastAsia="Times New Roman" w:hAnsi="Times New Roman" w:cs="Times New Roman"/>
          <w:color w:val="000000"/>
          <w:spacing w:val="0"/>
          <w:w w:val="100"/>
          <w:position w:val="0"/>
          <w:sz w:val="18"/>
          <w:szCs w:val="18"/>
        </w:rPr>
        <w:t>2018</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月任神 州泰岳公司董事，</w:t>
      </w:r>
      <w:r>
        <w:rPr>
          <w:rFonts w:ascii="Times New Roman" w:eastAsia="Times New Roman" w:hAnsi="Times New Roman" w:cs="Times New Roman"/>
          <w:color w:val="000000"/>
          <w:spacing w:val="0"/>
          <w:w w:val="100"/>
          <w:position w:val="0"/>
          <w:sz w:val="18"/>
          <w:szCs w:val="18"/>
        </w:rPr>
        <w:t>2018</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9</w:t>
      </w:r>
      <w:r>
        <w:rPr>
          <w:color w:val="000000"/>
          <w:spacing w:val="0"/>
          <w:w w:val="100"/>
          <w:position w:val="0"/>
        </w:rPr>
        <w:t>月任神州泰岳公司总裁，</w:t>
      </w:r>
      <w:r>
        <w:rPr>
          <w:rFonts w:ascii="Times New Roman" w:eastAsia="Times New Roman" w:hAnsi="Times New Roman" w:cs="Times New Roman"/>
          <w:color w:val="000000"/>
          <w:spacing w:val="0"/>
          <w:w w:val="100"/>
          <w:position w:val="0"/>
          <w:sz w:val="18"/>
          <w:szCs w:val="18"/>
        </w:rPr>
        <w:t>2021</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月至今任公司董事长。</w:t>
      </w:r>
    </w:p>
    <w:p>
      <w:pPr>
        <w:pStyle w:val="Style41"/>
        <w:keepNext w:val="0"/>
        <w:keepLines w:val="0"/>
        <w:widowControl w:val="0"/>
        <w:shd w:val="clear" w:color="auto" w:fill="auto"/>
        <w:tabs>
          <w:tab w:pos="4997" w:val="left"/>
        </w:tabs>
        <w:bidi w:val="0"/>
        <w:spacing w:before="0" w:after="0" w:line="467" w:lineRule="exact"/>
        <w:ind w:left="0" w:right="0"/>
        <w:jc w:val="both"/>
        <w:rPr>
          <w:sz w:val="18"/>
          <w:szCs w:val="18"/>
        </w:rPr>
      </w:pPr>
      <w:r>
        <w:rPr>
          <w:b/>
          <w:bCs/>
          <w:color w:val="000000"/>
          <w:spacing w:val="0"/>
          <w:w w:val="100"/>
          <w:position w:val="0"/>
          <w:sz w:val="17"/>
          <w:szCs w:val="17"/>
        </w:rPr>
        <w:t>翟一兵先生，现任北京神州泰岳软件股份有限公司董事兼首席运营官。</w:t>
      </w:r>
      <w:r>
        <w:rPr>
          <w:rFonts w:ascii="Times New Roman" w:eastAsia="Times New Roman" w:hAnsi="Times New Roman" w:cs="Times New Roman"/>
          <w:color w:val="000000"/>
          <w:spacing w:val="0"/>
          <w:w w:val="100"/>
          <w:position w:val="0"/>
          <w:sz w:val="18"/>
          <w:szCs w:val="18"/>
        </w:rPr>
        <w:t>1963</w:t>
      </w:r>
      <w:r>
        <w:rPr>
          <w:color w:val="000000"/>
          <w:spacing w:val="0"/>
          <w:w w:val="100"/>
          <w:position w:val="0"/>
          <w:sz w:val="17"/>
          <w:szCs w:val="17"/>
        </w:rPr>
        <w:t>年出生，中国国籍，无永久境外居留权， 教授级高级工程师。</w:t>
      </w:r>
      <w:r>
        <w:rPr>
          <w:rFonts w:ascii="Times New Roman" w:eastAsia="Times New Roman" w:hAnsi="Times New Roman" w:cs="Times New Roman"/>
          <w:color w:val="000000"/>
          <w:spacing w:val="0"/>
          <w:w w:val="100"/>
          <w:position w:val="0"/>
          <w:sz w:val="18"/>
          <w:szCs w:val="18"/>
        </w:rPr>
        <w:t>1986</w:t>
      </w:r>
      <w:r>
        <w:rPr>
          <w:color w:val="000000"/>
          <w:spacing w:val="0"/>
          <w:w w:val="100"/>
          <w:position w:val="0"/>
          <w:sz w:val="17"/>
          <w:szCs w:val="17"/>
        </w:rPr>
        <w:t>年毕业于北京邮电学院无线电工程专业，同年留校任计算机工程系助教；先后获得挪威商学院硕士 学位和法国雷恩商学院博士学位。曾在邮电部电信总局工作，任科员、主任、局长助理；在地方挂职锻炼任职副市长；中国 移动通信集团公司筹备办公室主任、网络部副部长；在中国联合通信有限公司工作期间曾任移动部、增值业务部、营销部副 总经理、联通时科信息技术有限公司董事、首席执行官</w:t>
      </w:r>
      <w:r>
        <w:rPr>
          <w:rFonts w:ascii="Times New Roman" w:eastAsia="Times New Roman" w:hAnsi="Times New Roman" w:cs="Times New Roman"/>
          <w:color w:val="000000"/>
          <w:spacing w:val="0"/>
          <w:w w:val="100"/>
          <w:position w:val="0"/>
          <w:sz w:val="18"/>
          <w:szCs w:val="18"/>
        </w:rPr>
        <w:t>(CEO)</w:t>
      </w:r>
      <w:r>
        <w:rPr>
          <w:color w:val="000000"/>
          <w:spacing w:val="0"/>
          <w:w w:val="100"/>
          <w:position w:val="0"/>
          <w:sz w:val="17"/>
          <w:szCs w:val="17"/>
        </w:rPr>
        <w:t>；</w:t>
        <w:tab/>
      </w:r>
      <w:r>
        <w:rPr>
          <w:rFonts w:ascii="Times New Roman" w:eastAsia="Times New Roman" w:hAnsi="Times New Roman" w:cs="Times New Roman"/>
          <w:color w:val="000000"/>
          <w:spacing w:val="0"/>
          <w:w w:val="100"/>
          <w:position w:val="0"/>
          <w:sz w:val="18"/>
          <w:szCs w:val="18"/>
        </w:rPr>
        <w:t>2013</w:t>
      </w:r>
      <w:r>
        <w:rPr>
          <w:color w:val="000000"/>
          <w:spacing w:val="0"/>
          <w:w w:val="100"/>
          <w:position w:val="0"/>
          <w:sz w:val="17"/>
          <w:szCs w:val="17"/>
        </w:rPr>
        <w:t>年</w:t>
      </w:r>
      <w:r>
        <w:rPr>
          <w:rFonts w:ascii="Times New Roman" w:eastAsia="Times New Roman" w:hAnsi="Times New Roman" w:cs="Times New Roman"/>
          <w:color w:val="000000"/>
          <w:spacing w:val="0"/>
          <w:w w:val="100"/>
          <w:position w:val="0"/>
          <w:sz w:val="18"/>
          <w:szCs w:val="18"/>
        </w:rPr>
        <w:t>3</w:t>
      </w:r>
      <w:r>
        <w:rPr>
          <w:color w:val="000000"/>
          <w:spacing w:val="0"/>
          <w:w w:val="100"/>
          <w:position w:val="0"/>
          <w:sz w:val="17"/>
          <w:szCs w:val="17"/>
        </w:rPr>
        <w:t>月，担任神州泰岳公司首席运营官</w:t>
      </w:r>
      <w:r>
        <w:rPr>
          <w:rFonts w:ascii="Times New Roman" w:eastAsia="Times New Roman" w:hAnsi="Times New Roman" w:cs="Times New Roman"/>
          <w:color w:val="000000"/>
          <w:spacing w:val="0"/>
          <w:w w:val="100"/>
          <w:position w:val="0"/>
          <w:sz w:val="18"/>
          <w:szCs w:val="18"/>
        </w:rPr>
        <w:t>(COO)</w:t>
      </w:r>
      <w:r>
        <w:rPr>
          <w:color w:val="000000"/>
          <w:spacing w:val="0"/>
          <w:w w:val="100"/>
          <w:position w:val="0"/>
          <w:sz w:val="17"/>
          <w:szCs w:val="17"/>
        </w:rPr>
        <w:t>。</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sz w:val="17"/>
          <w:szCs w:val="17"/>
        </w:rPr>
        <w:t>年</w:t>
      </w:r>
      <w:r>
        <w:rPr>
          <w:rFonts w:ascii="Times New Roman" w:eastAsia="Times New Roman" w:hAnsi="Times New Roman" w:cs="Times New Roman"/>
          <w:color w:val="000000"/>
          <w:spacing w:val="0"/>
          <w:w w:val="100"/>
          <w:position w:val="0"/>
          <w:sz w:val="18"/>
          <w:szCs w:val="18"/>
        </w:rPr>
        <w:t>5</w:t>
      </w:r>
    </w:p>
    <w:p>
      <w:pPr>
        <w:pStyle w:val="Style41"/>
        <w:keepNext w:val="0"/>
        <w:keepLines w:val="0"/>
        <w:widowControl w:val="0"/>
        <w:shd w:val="clear" w:color="auto" w:fill="auto"/>
        <w:bidi w:val="0"/>
        <w:spacing w:before="0" w:after="0" w:line="467" w:lineRule="exact"/>
        <w:ind w:left="0" w:right="0" w:firstLine="0"/>
        <w:jc w:val="left"/>
      </w:pPr>
      <w:r>
        <w:rPr>
          <w:color w:val="000000"/>
          <w:spacing w:val="0"/>
          <w:w w:val="100"/>
          <w:position w:val="0"/>
        </w:rPr>
        <w:t>月至今担任公司董事兼首席运营官。</w:t>
      </w:r>
    </w:p>
    <w:p>
      <w:pPr>
        <w:pStyle w:val="Style41"/>
        <w:keepNext w:val="0"/>
        <w:keepLines w:val="0"/>
        <w:widowControl w:val="0"/>
        <w:shd w:val="clear" w:color="auto" w:fill="auto"/>
        <w:bidi w:val="0"/>
        <w:spacing w:before="0" w:after="60" w:line="467" w:lineRule="exact"/>
        <w:ind w:left="0" w:right="0"/>
        <w:jc w:val="both"/>
        <w:rPr>
          <w:sz w:val="18"/>
          <w:szCs w:val="18"/>
        </w:rPr>
        <w:sectPr>
          <w:headerReference w:type="default" r:id="rId223"/>
          <w:footerReference w:type="default" r:id="rId224"/>
          <w:headerReference w:type="even" r:id="rId225"/>
          <w:footerReference w:type="even" r:id="rId226"/>
          <w:footnotePr>
            <w:pos w:val="pageBottom"/>
            <w:numFmt w:val="decimal"/>
            <w:numRestart w:val="continuous"/>
          </w:footnotePr>
          <w:type w:val="continuous"/>
          <w:pgSz w:w="11904" w:h="17375"/>
          <w:pgMar w:top="1665" w:right="1044" w:bottom="1940" w:left="1074" w:header="0" w:footer="3" w:gutter="0"/>
          <w:cols w:space="720"/>
          <w:noEndnote/>
          <w:rtlGutter w:val="0"/>
          <w:docGrid w:linePitch="360"/>
        </w:sectPr>
      </w:pPr>
      <w:r>
        <w:rPr>
          <w:b/>
          <w:bCs/>
          <w:color w:val="000000"/>
          <w:spacing w:val="0"/>
          <w:w w:val="100"/>
          <w:position w:val="0"/>
          <w:sz w:val="17"/>
          <w:szCs w:val="17"/>
        </w:rPr>
        <w:t>易律先生，现任北京神州泰岳软件股份有限公司董事。</w:t>
      </w:r>
      <w:r>
        <w:rPr>
          <w:rFonts w:ascii="Times New Roman" w:eastAsia="Times New Roman" w:hAnsi="Times New Roman" w:cs="Times New Roman"/>
          <w:color w:val="000000"/>
          <w:spacing w:val="0"/>
          <w:w w:val="100"/>
          <w:position w:val="0"/>
          <w:sz w:val="18"/>
          <w:szCs w:val="18"/>
        </w:rPr>
        <w:t>1982</w:t>
      </w:r>
      <w:r>
        <w:rPr>
          <w:color w:val="000000"/>
          <w:spacing w:val="0"/>
          <w:w w:val="100"/>
          <w:position w:val="0"/>
          <w:sz w:val="17"/>
          <w:szCs w:val="17"/>
        </w:rPr>
        <w:t>年出生，中国国籍，无境外永久居留权。毕业于武汉大学, 本科学历。曾任朗新科技股份有限公司开发经理，北京银信长远科技股份有限公司软件事业部研发部门经理、技术总监；</w:t>
      </w:r>
      <w:r>
        <w:rPr>
          <w:rFonts w:ascii="Times New Roman" w:eastAsia="Times New Roman" w:hAnsi="Times New Roman" w:cs="Times New Roman"/>
          <w:color w:val="000000"/>
          <w:spacing w:val="0"/>
          <w:w w:val="100"/>
          <w:position w:val="0"/>
          <w:sz w:val="18"/>
          <w:szCs w:val="18"/>
        </w:rPr>
        <w:t>2011</w:t>
      </w:r>
    </w:p>
    <w:p>
      <w:pPr>
        <w:pStyle w:val="Style212"/>
        <w:keepNext w:val="0"/>
        <w:keepLines w:val="0"/>
        <w:widowControl w:val="0"/>
        <w:shd w:val="clear" w:color="auto" w:fill="auto"/>
        <w:bidi w:val="0"/>
        <w:spacing w:before="0" w:after="0" w:line="240" w:lineRule="auto"/>
        <w:ind w:left="0" w:right="0" w:firstLine="0"/>
        <w:jc w:val="left"/>
      </w:pPr>
      <w:r>
        <w:rPr>
          <w:spacing w:val="0"/>
          <w:w w:val="100"/>
          <w:position w:val="0"/>
        </w:rPr>
        <w:t>Ultrapoiuer</w:t>
      </w:r>
    </w:p>
    <w:p>
      <w:pPr>
        <w:pStyle w:val="Style41"/>
        <w:keepNext w:val="0"/>
        <w:keepLines w:val="0"/>
        <w:widowControl w:val="0"/>
        <w:shd w:val="clear" w:color="auto" w:fill="auto"/>
        <w:bidi w:val="0"/>
        <w:spacing w:before="0" w:after="0" w:line="467" w:lineRule="exact"/>
        <w:ind w:left="0" w:right="0" w:firstLine="820"/>
        <w:jc w:val="both"/>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 年加入天津壳木软件有限责任公司历任后端部门经理、技术总监、副总裁、首席执行官，现任天津壳木软件有限责任公司执 行董事、总经理；</w:t>
      </w:r>
      <w:r>
        <w:rPr>
          <w:rFonts w:ascii="Times New Roman" w:eastAsia="Times New Roman" w:hAnsi="Times New Roman" w:cs="Times New Roman"/>
          <w:color w:val="000000"/>
          <w:spacing w:val="0"/>
          <w:w w:val="100"/>
          <w:position w:val="0"/>
          <w:sz w:val="18"/>
          <w:szCs w:val="18"/>
        </w:rPr>
        <w:t>2019</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27</w:t>
      </w:r>
      <w:r>
        <w:rPr>
          <w:color w:val="000000"/>
          <w:spacing w:val="0"/>
          <w:w w:val="100"/>
          <w:position w:val="0"/>
        </w:rPr>
        <w:t>日至今担任公司董事。</w:t>
      </w:r>
    </w:p>
    <w:p>
      <w:pPr>
        <w:pStyle w:val="Style41"/>
        <w:keepNext w:val="0"/>
        <w:keepLines w:val="0"/>
        <w:widowControl w:val="0"/>
        <w:shd w:val="clear" w:color="auto" w:fill="auto"/>
        <w:bidi w:val="0"/>
        <w:spacing w:before="0" w:after="0" w:line="467" w:lineRule="exact"/>
        <w:ind w:left="0" w:right="0"/>
        <w:jc w:val="both"/>
      </w:pPr>
      <w:r>
        <w:rPr>
          <w:b/>
          <w:bCs/>
          <w:color w:val="000000"/>
          <w:spacing w:val="0"/>
          <w:w w:val="100"/>
          <w:position w:val="0"/>
        </w:rPr>
        <w:t>刘铁民先生，现任北京神州泰岳软件股份有限公司独立董事。</w:t>
      </w:r>
      <w:r>
        <w:rPr>
          <w:rFonts w:ascii="Times New Roman" w:eastAsia="Times New Roman" w:hAnsi="Times New Roman" w:cs="Times New Roman"/>
          <w:color w:val="000000"/>
          <w:spacing w:val="0"/>
          <w:w w:val="100"/>
          <w:position w:val="0"/>
          <w:sz w:val="18"/>
          <w:szCs w:val="18"/>
        </w:rPr>
        <w:t>1949</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月出生，中国国籍，无永久境外居留权。曾先 后任职中国医科大学讲师；煤炭部职业医学研究所室主任、讲师；比利时兰纳肯医学研究所访问学者；煤炭部职业医学研究 所室主任、副研；劳动部劳动保护科学技术研究所副所长、研究员；国家经贸委安全科学技术研究中心副主任、研究员；国 家经贸委安全科学技术研究中心主任、研究员；国家安全生产监督管理局安全科学技术研究中心主任、研究员；中国安全生 产科学研究院院长、研究员；</w:t>
      </w:r>
      <w:r>
        <w:rPr>
          <w:rFonts w:ascii="Times New Roman" w:eastAsia="Times New Roman" w:hAnsi="Times New Roman" w:cs="Times New Roman"/>
          <w:color w:val="000000"/>
          <w:spacing w:val="0"/>
          <w:w w:val="100"/>
          <w:position w:val="0"/>
          <w:sz w:val="18"/>
          <w:szCs w:val="18"/>
        </w:rPr>
        <w:t>2011</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7</w:t>
      </w:r>
      <w:r>
        <w:rPr>
          <w:color w:val="000000"/>
          <w:spacing w:val="0"/>
          <w:w w:val="100"/>
          <w:position w:val="0"/>
        </w:rPr>
        <w:t>月至今任中国安全生产协会副会长。</w:t>
      </w:r>
      <w:r>
        <w:rPr>
          <w:rFonts w:ascii="Times New Roman" w:eastAsia="Times New Roman" w:hAnsi="Times New Roman" w:cs="Times New Roman"/>
          <w:color w:val="000000"/>
          <w:spacing w:val="0"/>
          <w:w w:val="100"/>
          <w:position w:val="0"/>
          <w:sz w:val="18"/>
          <w:szCs w:val="18"/>
        </w:rPr>
        <w:t>2016</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月至今担任公司独立董事。</w:t>
      </w:r>
    </w:p>
    <w:p>
      <w:pPr>
        <w:pStyle w:val="Style41"/>
        <w:keepNext w:val="0"/>
        <w:keepLines w:val="0"/>
        <w:widowControl w:val="0"/>
        <w:shd w:val="clear" w:color="auto" w:fill="auto"/>
        <w:bidi w:val="0"/>
        <w:spacing w:before="0" w:after="0" w:line="467" w:lineRule="exact"/>
        <w:ind w:left="0" w:right="0"/>
        <w:jc w:val="both"/>
      </w:pPr>
      <w:r>
        <w:rPr>
          <w:b/>
          <w:bCs/>
          <w:color w:val="000000"/>
          <w:spacing w:val="0"/>
          <w:w w:val="100"/>
          <w:position w:val="0"/>
        </w:rPr>
        <w:t>王雪春先生，现任北京神州泰岳软件股份有限公司独立董事。</w:t>
      </w:r>
      <w:r>
        <w:rPr>
          <w:rFonts w:ascii="Times New Roman" w:eastAsia="Times New Roman" w:hAnsi="Times New Roman" w:cs="Times New Roman"/>
          <w:color w:val="000000"/>
          <w:spacing w:val="0"/>
          <w:w w:val="100"/>
          <w:position w:val="0"/>
          <w:sz w:val="18"/>
          <w:szCs w:val="18"/>
        </w:rPr>
        <w:t>1965</w:t>
      </w:r>
      <w:r>
        <w:rPr>
          <w:color w:val="000000"/>
          <w:spacing w:val="0"/>
          <w:w w:val="100"/>
          <w:position w:val="0"/>
        </w:rPr>
        <w:t>年出生，中国国籍、无永久境外居留权。</w:t>
      </w:r>
      <w:r>
        <w:rPr>
          <w:rFonts w:ascii="Times New Roman" w:eastAsia="Times New Roman" w:hAnsi="Times New Roman" w:cs="Times New Roman"/>
          <w:color w:val="000000"/>
          <w:spacing w:val="0"/>
          <w:w w:val="100"/>
          <w:position w:val="0"/>
          <w:sz w:val="18"/>
          <w:szCs w:val="18"/>
        </w:rPr>
        <w:t>1988</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7</w:t>
      </w:r>
      <w:r>
        <w:rPr>
          <w:color w:val="000000"/>
          <w:spacing w:val="0"/>
          <w:w w:val="100"/>
          <w:position w:val="0"/>
        </w:rPr>
        <w:t xml:space="preserve">月 </w:t>
      </w:r>
      <w:r>
        <w:rPr>
          <w:rFonts w:ascii="Times New Roman" w:eastAsia="Times New Roman" w:hAnsi="Times New Roman" w:cs="Times New Roman"/>
          <w:color w:val="000000"/>
          <w:spacing w:val="0"/>
          <w:w w:val="100"/>
          <w:position w:val="0"/>
          <w:sz w:val="18"/>
          <w:szCs w:val="18"/>
        </w:rPr>
        <w:t>-200</w:t>
      </w:r>
      <w:r>
        <w:rPr>
          <w:rFonts w:ascii="Times New Roman" w:eastAsia="Times New Roman" w:hAnsi="Times New Roman" w:cs="Times New Roman"/>
          <w:color w:val="000000"/>
          <w:spacing w:val="0"/>
          <w:w w:val="100"/>
          <w:position w:val="0"/>
          <w:sz w:val="18"/>
          <w:szCs w:val="18"/>
        </w:rPr>
        <w:t>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月，任东北财经大学职业技术学院教师；</w:t>
      </w:r>
      <w:r>
        <w:rPr>
          <w:rFonts w:ascii="Times New Roman" w:eastAsia="Times New Roman" w:hAnsi="Times New Roman" w:cs="Times New Roman"/>
          <w:color w:val="000000"/>
          <w:spacing w:val="0"/>
          <w:w w:val="100"/>
          <w:position w:val="0"/>
          <w:sz w:val="18"/>
          <w:szCs w:val="18"/>
        </w:rPr>
        <w:t>2000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-200</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月，任大连欣鑫会计师事务所审计经理；</w:t>
      </w:r>
      <w:r>
        <w:rPr>
          <w:rFonts w:ascii="Times New Roman" w:eastAsia="Times New Roman" w:hAnsi="Times New Roman" w:cs="Times New Roman"/>
          <w:color w:val="000000"/>
          <w:spacing w:val="0"/>
          <w:w w:val="100"/>
          <w:position w:val="0"/>
          <w:sz w:val="18"/>
          <w:szCs w:val="18"/>
        </w:rPr>
        <w:t>2001</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 xml:space="preserve">10 </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-2005</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月，任中国华录集团有限公司内审、子公司财务总监；</w:t>
      </w:r>
      <w:r>
        <w:rPr>
          <w:rFonts w:ascii="Times New Roman" w:eastAsia="Times New Roman" w:hAnsi="Times New Roman" w:cs="Times New Roman"/>
          <w:color w:val="000000"/>
          <w:spacing w:val="0"/>
          <w:w w:val="100"/>
          <w:position w:val="0"/>
          <w:sz w:val="18"/>
          <w:szCs w:val="18"/>
        </w:rPr>
        <w:t>2005</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-2018</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月，任北京博华百校教育投资集团有 限公司财务总监；</w:t>
      </w:r>
      <w:r>
        <w:rPr>
          <w:rFonts w:ascii="Times New Roman" w:eastAsia="Times New Roman" w:hAnsi="Times New Roman" w:cs="Times New Roman"/>
          <w:color w:val="000000"/>
          <w:spacing w:val="0"/>
          <w:w w:val="100"/>
          <w:position w:val="0"/>
          <w:sz w:val="18"/>
          <w:szCs w:val="18"/>
        </w:rPr>
        <w:t>2018</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4</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-11</w:t>
      </w:r>
      <w:r>
        <w:rPr>
          <w:color w:val="000000"/>
          <w:spacing w:val="0"/>
          <w:w w:val="100"/>
          <w:position w:val="0"/>
        </w:rPr>
        <w:t>月，任北京佳文映画文化传媒有限责任公司副总经理；</w:t>
      </w:r>
      <w:r>
        <w:rPr>
          <w:rFonts w:ascii="Times New Roman" w:eastAsia="Times New Roman" w:hAnsi="Times New Roman" w:cs="Times New Roman"/>
          <w:color w:val="000000"/>
          <w:spacing w:val="0"/>
          <w:w w:val="100"/>
          <w:position w:val="0"/>
          <w:sz w:val="18"/>
          <w:szCs w:val="18"/>
        </w:rPr>
        <w:t>2018</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11</w:t>
      </w:r>
      <w:r>
        <w:rPr>
          <w:color w:val="000000"/>
          <w:spacing w:val="0"/>
          <w:w w:val="100"/>
          <w:position w:val="0"/>
        </w:rPr>
        <w:t>月至今，任北京邮电大学世 纪学院总会计师。</w:t>
      </w:r>
      <w:r>
        <w:rPr>
          <w:rFonts w:ascii="Times New Roman" w:eastAsia="Times New Roman" w:hAnsi="Times New Roman" w:cs="Times New Roman"/>
          <w:color w:val="000000"/>
          <w:spacing w:val="0"/>
          <w:w w:val="100"/>
          <w:position w:val="0"/>
          <w:sz w:val="18"/>
          <w:szCs w:val="18"/>
        </w:rPr>
        <w:t>2016</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月至今担任公司独立董事。</w:t>
      </w:r>
    </w:p>
    <w:p>
      <w:pPr>
        <w:pStyle w:val="Style41"/>
        <w:keepNext w:val="0"/>
        <w:keepLines w:val="0"/>
        <w:widowControl w:val="0"/>
        <w:shd w:val="clear" w:color="auto" w:fill="auto"/>
        <w:bidi w:val="0"/>
        <w:spacing w:before="0" w:after="260" w:line="467" w:lineRule="exact"/>
        <w:ind w:left="0" w:right="0"/>
        <w:jc w:val="both"/>
      </w:pPr>
      <w:r>
        <w:rPr>
          <w:b/>
          <w:bCs/>
          <w:color w:val="000000"/>
          <w:spacing w:val="0"/>
          <w:w w:val="100"/>
          <w:position w:val="0"/>
        </w:rPr>
        <w:t>沈阳先生，现任北京神州泰岳软件股份有限公司独立董事。</w:t>
      </w:r>
      <w:r>
        <w:rPr>
          <w:rFonts w:ascii="Times New Roman" w:eastAsia="Times New Roman" w:hAnsi="Times New Roman" w:cs="Times New Roman"/>
          <w:color w:val="000000"/>
          <w:spacing w:val="0"/>
          <w:w w:val="100"/>
          <w:position w:val="0"/>
          <w:sz w:val="18"/>
          <w:szCs w:val="18"/>
        </w:rPr>
        <w:t>1974</w:t>
      </w:r>
      <w:r>
        <w:rPr>
          <w:color w:val="000000"/>
          <w:spacing w:val="0"/>
          <w:w w:val="100"/>
          <w:position w:val="0"/>
        </w:rPr>
        <w:t>年出生，中国国籍、无永久境外居留权，清华大学新 闻与传播学院教授，博士生导师，清华大学新闻研究中心研究员。曾任武汉大学、中国人民大学、新疆大学等校教授或兼职 教授。</w:t>
      </w:r>
      <w:r>
        <w:rPr>
          <w:rFonts w:ascii="Times New Roman" w:eastAsia="Times New Roman" w:hAnsi="Times New Roman" w:cs="Times New Roman"/>
          <w:color w:val="000000"/>
          <w:spacing w:val="0"/>
          <w:w w:val="100"/>
          <w:position w:val="0"/>
          <w:sz w:val="18"/>
          <w:szCs w:val="18"/>
        </w:rPr>
        <w:t>2016</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月至今担任公司独立董事。</w:t>
      </w:r>
    </w:p>
    <w:p>
      <w:pPr>
        <w:pStyle w:val="Style41"/>
        <w:keepNext w:val="0"/>
        <w:keepLines w:val="0"/>
        <w:widowControl w:val="0"/>
        <w:shd w:val="clear" w:color="auto" w:fill="auto"/>
        <w:tabs>
          <w:tab w:pos="693" w:val="left"/>
        </w:tabs>
        <w:bidi w:val="0"/>
        <w:spacing w:before="0" w:after="0" w:line="542" w:lineRule="auto"/>
        <w:ind w:left="0" w:right="0"/>
        <w:jc w:val="both"/>
      </w:pPr>
      <w:bookmarkStart w:id="662" w:name="bookmark662"/>
      <w:r>
        <w:rPr>
          <w:rFonts w:ascii="Times New Roman" w:eastAsia="Times New Roman" w:hAnsi="Times New Roman" w:cs="Times New Roman"/>
          <w:b/>
          <w:bCs/>
          <w:color w:val="000000"/>
          <w:spacing w:val="0"/>
          <w:w w:val="100"/>
          <w:position w:val="0"/>
          <w:sz w:val="18"/>
          <w:szCs w:val="18"/>
        </w:rPr>
        <w:t>2</w:t>
      </w:r>
      <w:bookmarkEnd w:id="662"/>
      <w:r>
        <w:rPr>
          <w:b/>
          <w:bCs/>
          <w:color w:val="000000"/>
          <w:spacing w:val="0"/>
          <w:w w:val="100"/>
          <w:position w:val="0"/>
        </w:rPr>
        <w:t>、</w:t>
        <w:tab/>
        <w:t>监事会成员简介</w:t>
      </w:r>
    </w:p>
    <w:p>
      <w:pPr>
        <w:pStyle w:val="Style41"/>
        <w:keepNext w:val="0"/>
        <w:keepLines w:val="0"/>
        <w:widowControl w:val="0"/>
        <w:shd w:val="clear" w:color="auto" w:fill="auto"/>
        <w:bidi w:val="0"/>
        <w:spacing w:before="0" w:after="0" w:line="467" w:lineRule="exact"/>
        <w:ind w:left="0" w:right="0"/>
        <w:jc w:val="both"/>
      </w:pPr>
      <w:r>
        <w:rPr>
          <w:b/>
          <w:bCs/>
          <w:color w:val="000000"/>
          <w:spacing w:val="0"/>
          <w:w w:val="100"/>
          <w:position w:val="0"/>
        </w:rPr>
        <w:t>公司监事会由三名监事组成，其中职工监事一名，具体如下：</w:t>
      </w:r>
    </w:p>
    <w:p>
      <w:pPr>
        <w:pStyle w:val="Style41"/>
        <w:keepNext w:val="0"/>
        <w:keepLines w:val="0"/>
        <w:widowControl w:val="0"/>
        <w:shd w:val="clear" w:color="auto" w:fill="auto"/>
        <w:bidi w:val="0"/>
        <w:spacing w:before="0" w:after="0" w:line="467" w:lineRule="exact"/>
        <w:ind w:left="0" w:right="0"/>
        <w:jc w:val="both"/>
      </w:pPr>
      <w:r>
        <w:rPr>
          <w:b/>
          <w:bCs/>
          <w:color w:val="000000"/>
          <w:spacing w:val="0"/>
          <w:w w:val="100"/>
          <w:position w:val="0"/>
        </w:rPr>
        <w:t>郝岩女士，公司监事会主席。</w:t>
      </w:r>
      <w:r>
        <w:rPr>
          <w:rFonts w:ascii="Times New Roman" w:eastAsia="Times New Roman" w:hAnsi="Times New Roman" w:cs="Times New Roman"/>
          <w:color w:val="000000"/>
          <w:spacing w:val="0"/>
          <w:w w:val="100"/>
          <w:position w:val="0"/>
          <w:sz w:val="18"/>
          <w:szCs w:val="18"/>
        </w:rPr>
        <w:t>1980</w:t>
      </w:r>
      <w:r>
        <w:rPr>
          <w:color w:val="000000"/>
          <w:spacing w:val="0"/>
          <w:w w:val="100"/>
          <w:position w:val="0"/>
        </w:rPr>
        <w:t>年出生，中国国籍，无永久境外居留权。毕业于北京林业大学；</w:t>
      </w:r>
      <w:r>
        <w:rPr>
          <w:rFonts w:ascii="Times New Roman" w:eastAsia="Times New Roman" w:hAnsi="Times New Roman" w:cs="Times New Roman"/>
          <w:color w:val="000000"/>
          <w:spacing w:val="0"/>
          <w:w w:val="100"/>
          <w:position w:val="0"/>
          <w:sz w:val="18"/>
          <w:szCs w:val="18"/>
        </w:rPr>
        <w:t>2004</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8</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 xml:space="preserve">7 </w:t>
      </w:r>
      <w:r>
        <w:rPr>
          <w:color w:val="000000"/>
          <w:spacing w:val="0"/>
          <w:w w:val="100"/>
          <w:position w:val="0"/>
        </w:rPr>
        <w:t>月，历任公司行政部经理助理、经理。现任公司监事会主席、人力行政中心行政总监。</w:t>
      </w:r>
    </w:p>
    <w:p>
      <w:pPr>
        <w:pStyle w:val="Style41"/>
        <w:keepNext w:val="0"/>
        <w:keepLines w:val="0"/>
        <w:widowControl w:val="0"/>
        <w:shd w:val="clear" w:color="auto" w:fill="auto"/>
        <w:bidi w:val="0"/>
        <w:spacing w:before="0" w:after="0" w:line="467" w:lineRule="exact"/>
        <w:ind w:left="0" w:right="0"/>
        <w:jc w:val="both"/>
      </w:pPr>
      <w:r>
        <w:rPr>
          <w:b/>
          <w:bCs/>
          <w:color w:val="000000"/>
          <w:spacing w:val="0"/>
          <w:w w:val="100"/>
          <w:position w:val="0"/>
        </w:rPr>
        <w:t>丁彦超先生，公司监事。</w:t>
      </w:r>
      <w:r>
        <w:rPr>
          <w:rFonts w:ascii="Times New Roman" w:eastAsia="Times New Roman" w:hAnsi="Times New Roman" w:cs="Times New Roman"/>
          <w:color w:val="000000"/>
          <w:spacing w:val="0"/>
          <w:w w:val="100"/>
          <w:position w:val="0"/>
          <w:sz w:val="18"/>
          <w:szCs w:val="18"/>
        </w:rPr>
        <w:t>1968</w:t>
      </w:r>
      <w:r>
        <w:rPr>
          <w:color w:val="000000"/>
          <w:spacing w:val="0"/>
          <w:w w:val="100"/>
          <w:position w:val="0"/>
        </w:rPr>
        <w:t>年出生，中国国籍，无永久境外居留权。毕业于西北大学计算机系；曾任天津石化公司 计算机中心软件工程师，</w:t>
      </w:r>
      <w:r>
        <w:rPr>
          <w:rFonts w:ascii="Times New Roman" w:eastAsia="Times New Roman" w:hAnsi="Times New Roman" w:cs="Times New Roman"/>
          <w:color w:val="000000"/>
          <w:spacing w:val="0"/>
          <w:w w:val="100"/>
          <w:position w:val="0"/>
          <w:sz w:val="18"/>
          <w:szCs w:val="18"/>
        </w:rPr>
        <w:t>2002</w:t>
      </w:r>
      <w:r>
        <w:rPr>
          <w:color w:val="000000"/>
          <w:spacing w:val="0"/>
          <w:w w:val="100"/>
          <w:position w:val="0"/>
        </w:rPr>
        <w:t>年加入神州泰岳，历任公司研发工程师、网管项目管理部技术主管、项目管理部技术主管。现 任公司监事、经营支撑中心运营部经理。</w:t>
      </w:r>
    </w:p>
    <w:p>
      <w:pPr>
        <w:pStyle w:val="Style41"/>
        <w:keepNext w:val="0"/>
        <w:keepLines w:val="0"/>
        <w:widowControl w:val="0"/>
        <w:shd w:val="clear" w:color="auto" w:fill="auto"/>
        <w:bidi w:val="0"/>
        <w:spacing w:before="0" w:after="180" w:line="467" w:lineRule="exact"/>
        <w:ind w:left="0" w:right="0"/>
        <w:jc w:val="both"/>
      </w:pPr>
      <w:r>
        <w:rPr>
          <w:b/>
          <w:bCs/>
          <w:color w:val="000000"/>
          <w:spacing w:val="0"/>
          <w:w w:val="100"/>
          <w:position w:val="0"/>
        </w:rPr>
        <w:t>陈伟先生，公司职工监事。</w:t>
      </w:r>
      <w:r>
        <w:rPr>
          <w:rFonts w:ascii="Times New Roman" w:eastAsia="Times New Roman" w:hAnsi="Times New Roman" w:cs="Times New Roman"/>
          <w:color w:val="000000"/>
          <w:spacing w:val="0"/>
          <w:w w:val="100"/>
          <w:position w:val="0"/>
          <w:sz w:val="18"/>
          <w:szCs w:val="18"/>
        </w:rPr>
        <w:t>1967</w:t>
      </w:r>
      <w:r>
        <w:rPr>
          <w:color w:val="000000"/>
          <w:spacing w:val="0"/>
          <w:w w:val="100"/>
          <w:position w:val="0"/>
        </w:rPr>
        <w:t>年出生，中国国籍，无永久境外居留权。毕业于北京大学；曾就职于石油地球物理勘 探局研究院处理中心系统管理员。</w:t>
      </w:r>
      <w:r>
        <w:rPr>
          <w:rFonts w:ascii="Times New Roman" w:eastAsia="Times New Roman" w:hAnsi="Times New Roman" w:cs="Times New Roman"/>
          <w:color w:val="000000"/>
          <w:spacing w:val="0"/>
          <w:w w:val="100"/>
          <w:position w:val="0"/>
          <w:sz w:val="18"/>
          <w:szCs w:val="18"/>
        </w:rPr>
        <w:t>2001</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月加入神州泰岳，历任公司项目经理、网络事业部副总经理等职。现任公司公司 职工监事、运营商事业群综合管理中心总经理。</w:t>
      </w:r>
    </w:p>
    <w:p>
      <w:pPr>
        <w:pStyle w:val="Style41"/>
        <w:keepNext w:val="0"/>
        <w:keepLines w:val="0"/>
        <w:widowControl w:val="0"/>
        <w:shd w:val="clear" w:color="auto" w:fill="auto"/>
        <w:tabs>
          <w:tab w:pos="693" w:val="left"/>
        </w:tabs>
        <w:bidi w:val="0"/>
        <w:spacing w:before="0" w:after="180" w:line="240" w:lineRule="auto"/>
        <w:ind w:left="0" w:right="0"/>
        <w:jc w:val="both"/>
      </w:pPr>
      <w:bookmarkStart w:id="663" w:name="bookmark663"/>
      <w:r>
        <w:rPr>
          <w:rFonts w:ascii="Times New Roman" w:eastAsia="Times New Roman" w:hAnsi="Times New Roman" w:cs="Times New Roman"/>
          <w:b/>
          <w:bCs/>
          <w:color w:val="000000"/>
          <w:spacing w:val="0"/>
          <w:w w:val="100"/>
          <w:position w:val="0"/>
          <w:sz w:val="18"/>
          <w:szCs w:val="18"/>
        </w:rPr>
        <w:t>3</w:t>
      </w:r>
      <w:bookmarkEnd w:id="663"/>
      <w:r>
        <w:rPr>
          <w:b/>
          <w:bCs/>
          <w:color w:val="000000"/>
          <w:spacing w:val="0"/>
          <w:w w:val="100"/>
          <w:position w:val="0"/>
        </w:rPr>
        <w:t>、</w:t>
        <w:tab/>
        <w:t>高级管理人员简介</w:t>
      </w:r>
    </w:p>
    <w:p>
      <w:pPr>
        <w:pStyle w:val="Style41"/>
        <w:keepNext w:val="0"/>
        <w:keepLines w:val="0"/>
        <w:widowControl w:val="0"/>
        <w:shd w:val="clear" w:color="auto" w:fill="auto"/>
        <w:bidi w:val="0"/>
        <w:spacing w:before="0" w:after="0" w:line="240" w:lineRule="auto"/>
        <w:ind w:left="0" w:right="0"/>
        <w:jc w:val="both"/>
      </w:pPr>
      <w:r>
        <w:rPr>
          <w:b/>
          <w:bCs/>
          <w:color w:val="000000"/>
          <w:spacing w:val="0"/>
          <w:w w:val="100"/>
          <w:position w:val="0"/>
        </w:rPr>
        <w:t>截至</w:t>
      </w:r>
      <w:r>
        <w:rPr>
          <w:rFonts w:ascii="Times New Roman" w:eastAsia="Times New Roman" w:hAnsi="Times New Roman" w:cs="Times New Roman"/>
          <w:b/>
          <w:bCs/>
          <w:color w:val="000000"/>
          <w:spacing w:val="0"/>
          <w:w w:val="100"/>
          <w:position w:val="0"/>
          <w:sz w:val="18"/>
          <w:szCs w:val="18"/>
        </w:rPr>
        <w:t>2020</w:t>
      </w:r>
      <w:r>
        <w:rPr>
          <w:b/>
          <w:bCs/>
          <w:color w:val="000000"/>
          <w:spacing w:val="0"/>
          <w:w w:val="100"/>
          <w:position w:val="0"/>
        </w:rPr>
        <w:t>年</w:t>
      </w:r>
      <w:r>
        <w:rPr>
          <w:rFonts w:ascii="Times New Roman" w:eastAsia="Times New Roman" w:hAnsi="Times New Roman" w:cs="Times New Roman"/>
          <w:b/>
          <w:bCs/>
          <w:color w:val="000000"/>
          <w:spacing w:val="0"/>
          <w:w w:val="100"/>
          <w:position w:val="0"/>
          <w:sz w:val="18"/>
          <w:szCs w:val="18"/>
        </w:rPr>
        <w:t>12</w:t>
      </w:r>
      <w:r>
        <w:rPr>
          <w:b/>
          <w:bCs/>
          <w:color w:val="000000"/>
          <w:spacing w:val="0"/>
          <w:w w:val="100"/>
          <w:position w:val="0"/>
        </w:rPr>
        <w:t>月</w:t>
      </w:r>
      <w:r>
        <w:rPr>
          <w:rFonts w:ascii="Times New Roman" w:eastAsia="Times New Roman" w:hAnsi="Times New Roman" w:cs="Times New Roman"/>
          <w:b/>
          <w:bCs/>
          <w:color w:val="000000"/>
          <w:spacing w:val="0"/>
          <w:w w:val="100"/>
          <w:position w:val="0"/>
          <w:sz w:val="18"/>
          <w:szCs w:val="18"/>
        </w:rPr>
        <w:t>31</w:t>
      </w:r>
      <w:r>
        <w:rPr>
          <w:b/>
          <w:bCs/>
          <w:color w:val="000000"/>
          <w:spacing w:val="0"/>
          <w:w w:val="100"/>
          <w:position w:val="0"/>
        </w:rPr>
        <w:t>日，公司高级管理人员具体如下：</w:t>
      </w:r>
    </w:p>
    <w:p>
      <w:pPr>
        <w:pStyle w:val="Style41"/>
        <w:keepNext w:val="0"/>
        <w:keepLines w:val="0"/>
        <w:widowControl w:val="0"/>
        <w:shd w:val="clear" w:color="auto" w:fill="auto"/>
        <w:bidi w:val="0"/>
        <w:spacing w:before="0" w:after="0" w:line="467" w:lineRule="exact"/>
        <w:ind w:left="0" w:right="0"/>
        <w:jc w:val="both"/>
      </w:pPr>
      <w:r>
        <w:rPr>
          <w:color w:val="000000"/>
          <w:spacing w:val="0"/>
          <w:w w:val="100"/>
          <w:position w:val="0"/>
        </w:rPr>
        <w:t>冒大卫先生，公司总裁，简历见本节之</w:t>
      </w:r>
      <w:r>
        <w:rPr>
          <w:color w:val="000000"/>
          <w:spacing w:val="0"/>
          <w:w w:val="100"/>
          <w:position w:val="0"/>
        </w:rPr>
        <w:t>T、</w:t>
      </w:r>
      <w:r>
        <w:rPr>
          <w:color w:val="000000"/>
          <w:spacing w:val="0"/>
          <w:w w:val="100"/>
          <w:position w:val="0"/>
        </w:rPr>
        <w:t>董事会成员简介</w:t>
      </w:r>
    </w:p>
    <w:p>
      <w:pPr>
        <w:pStyle w:val="Style41"/>
        <w:keepNext w:val="0"/>
        <w:keepLines w:val="0"/>
        <w:widowControl w:val="0"/>
        <w:shd w:val="clear" w:color="auto" w:fill="auto"/>
        <w:bidi w:val="0"/>
        <w:spacing w:before="0" w:after="0" w:line="467" w:lineRule="exact"/>
        <w:ind w:left="0" w:right="0"/>
        <w:jc w:val="both"/>
      </w:pPr>
      <w:r>
        <w:rPr>
          <w:color w:val="000000"/>
          <w:spacing w:val="0"/>
          <w:w w:val="100"/>
          <w:position w:val="0"/>
        </w:rPr>
        <w:t>翟一兵先生，首席运营官，简历见本节之</w:t>
      </w:r>
      <w:r>
        <w:rPr>
          <w:color w:val="000000"/>
          <w:spacing w:val="0"/>
          <w:w w:val="100"/>
          <w:position w:val="0"/>
        </w:rPr>
        <w:t>T、</w:t>
      </w:r>
      <w:r>
        <w:rPr>
          <w:color w:val="000000"/>
          <w:spacing w:val="0"/>
          <w:w w:val="100"/>
          <w:position w:val="0"/>
        </w:rPr>
        <w:t>董事会成员简介</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p>
      <w:pPr>
        <w:pStyle w:val="Style41"/>
        <w:keepNext w:val="0"/>
        <w:keepLines w:val="0"/>
        <w:widowControl w:val="0"/>
        <w:shd w:val="clear" w:color="auto" w:fill="auto"/>
        <w:bidi w:val="0"/>
        <w:spacing w:before="0" w:after="0" w:line="467" w:lineRule="exact"/>
        <w:ind w:left="0" w:right="0"/>
        <w:jc w:val="both"/>
      </w:pPr>
      <w:r>
        <w:rPr>
          <w:b/>
          <w:bCs/>
          <w:color w:val="000000"/>
          <w:spacing w:val="0"/>
          <w:w w:val="100"/>
          <w:position w:val="0"/>
        </w:rPr>
        <w:t>高峰先生，北京神州泰岳软件股份有限公司副总裁。</w:t>
      </w:r>
      <w:r>
        <w:rPr>
          <w:rFonts w:ascii="Times New Roman" w:eastAsia="Times New Roman" w:hAnsi="Times New Roman" w:cs="Times New Roman"/>
          <w:color w:val="000000"/>
          <w:spacing w:val="0"/>
          <w:w w:val="100"/>
          <w:position w:val="0"/>
          <w:sz w:val="18"/>
          <w:szCs w:val="18"/>
        </w:rPr>
        <w:t>1976</w:t>
      </w:r>
      <w:r>
        <w:rPr>
          <w:color w:val="000000"/>
          <w:spacing w:val="0"/>
          <w:w w:val="100"/>
          <w:position w:val="0"/>
        </w:rPr>
        <w:t>年出生，中国国籍，无永久境外居留权。毕业于沈阳航空工</w:t>
      </w:r>
    </w:p>
    <w:p>
      <w:pPr>
        <w:pStyle w:val="Style212"/>
        <w:keepNext w:val="0"/>
        <w:keepLines w:val="0"/>
        <w:widowControl w:val="0"/>
        <w:shd w:val="clear" w:color="auto" w:fill="auto"/>
        <w:bidi w:val="0"/>
        <w:spacing w:before="0" w:after="0" w:line="240" w:lineRule="auto"/>
        <w:ind w:left="0" w:right="0" w:firstLine="0"/>
        <w:jc w:val="left"/>
      </w:pPr>
      <w:r>
        <w:rPr>
          <w:spacing w:val="0"/>
          <w:w w:val="100"/>
          <w:position w:val="0"/>
        </w:rPr>
        <w:t>Ultrapoiuer</w:t>
      </w:r>
    </w:p>
    <w:p>
      <w:pPr>
        <w:pStyle w:val="Style41"/>
        <w:keepNext w:val="0"/>
        <w:keepLines w:val="0"/>
        <w:widowControl w:val="0"/>
        <w:shd w:val="clear" w:color="auto" w:fill="auto"/>
        <w:bidi w:val="0"/>
        <w:spacing w:before="0" w:after="0" w:line="469" w:lineRule="exact"/>
        <w:ind w:left="0" w:right="0" w:firstLine="82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 业学院；</w:t>
      </w:r>
      <w:r>
        <w:rPr>
          <w:rFonts w:ascii="Times New Roman" w:eastAsia="Times New Roman" w:hAnsi="Times New Roman" w:cs="Times New Roman"/>
          <w:color w:val="000000"/>
          <w:spacing w:val="0"/>
          <w:w w:val="100"/>
          <w:position w:val="0"/>
          <w:sz w:val="18"/>
          <w:szCs w:val="18"/>
        </w:rPr>
        <w:t>2002</w:t>
      </w:r>
      <w:r>
        <w:rPr>
          <w:color w:val="000000"/>
          <w:spacing w:val="0"/>
          <w:w w:val="100"/>
          <w:position w:val="0"/>
        </w:rPr>
        <w:t>年至今历任公司销售经理、高级销售经理、行业销售总监。现任公司副总裁、北京神州泰岳信息安全技术有限 公司总经理、执行董事。</w:t>
      </w:r>
    </w:p>
    <w:p>
      <w:pPr>
        <w:pStyle w:val="Style41"/>
        <w:keepNext w:val="0"/>
        <w:keepLines w:val="0"/>
        <w:widowControl w:val="0"/>
        <w:shd w:val="clear" w:color="auto" w:fill="auto"/>
        <w:bidi w:val="0"/>
        <w:spacing w:before="0" w:after="0" w:line="469" w:lineRule="exact"/>
        <w:ind w:left="0" w:right="0"/>
        <w:jc w:val="both"/>
      </w:pPr>
      <w:r>
        <w:rPr>
          <w:b/>
          <w:bCs/>
          <w:color w:val="000000"/>
          <w:spacing w:val="0"/>
          <w:w w:val="100"/>
          <w:position w:val="0"/>
        </w:rPr>
        <w:t>董越先生，北京神州泰岳软件股份有限公司副总裁。</w:t>
      </w:r>
      <w:r>
        <w:rPr>
          <w:rFonts w:ascii="Times New Roman" w:eastAsia="Times New Roman" w:hAnsi="Times New Roman" w:cs="Times New Roman"/>
          <w:color w:val="000000"/>
          <w:spacing w:val="0"/>
          <w:w w:val="100"/>
          <w:position w:val="0"/>
          <w:sz w:val="18"/>
          <w:szCs w:val="18"/>
        </w:rPr>
        <w:t>1970</w:t>
      </w:r>
      <w:r>
        <w:rPr>
          <w:color w:val="000000"/>
          <w:spacing w:val="0"/>
          <w:w w:val="100"/>
          <w:position w:val="0"/>
        </w:rPr>
        <w:t>年出生，中国国籍，无永久境外居留权。毕业于北京邮电大 学，通信与电子系统专业硕士学位，</w:t>
      </w:r>
      <w:r>
        <w:rPr>
          <w:rFonts w:ascii="Times New Roman" w:eastAsia="Times New Roman" w:hAnsi="Times New Roman" w:cs="Times New Roman"/>
          <w:color w:val="000000"/>
          <w:spacing w:val="0"/>
          <w:w w:val="100"/>
          <w:position w:val="0"/>
          <w:sz w:val="18"/>
          <w:szCs w:val="18"/>
        </w:rPr>
        <w:t>2005</w:t>
      </w:r>
      <w:r>
        <w:rPr>
          <w:color w:val="000000"/>
          <w:spacing w:val="0"/>
          <w:w w:val="100"/>
          <w:position w:val="0"/>
        </w:rPr>
        <w:t>年获挪威管理学院信息通信管理专业工商管理硕士学位；曾任中国电信信元公众信 息发展有限责任公司总经理助理、中国电信数据通信事业部规划计划处副处长、中国联通增值业务部移动互联网中心经理、 中国联通营销部一中心经理、联通时科信息技术有限公司总经理助理、副总经理。现任公司副总裁、运营商事业群总经理。</w:t>
      </w:r>
    </w:p>
    <w:p>
      <w:pPr>
        <w:pStyle w:val="Style41"/>
        <w:keepNext w:val="0"/>
        <w:keepLines w:val="0"/>
        <w:widowControl w:val="0"/>
        <w:shd w:val="clear" w:color="auto" w:fill="auto"/>
        <w:bidi w:val="0"/>
        <w:spacing w:before="0" w:after="0" w:line="469" w:lineRule="exact"/>
        <w:ind w:left="0" w:right="0"/>
        <w:jc w:val="both"/>
      </w:pPr>
      <w:r>
        <w:rPr>
          <w:b/>
          <w:bCs/>
          <w:color w:val="000000"/>
          <w:spacing w:val="0"/>
          <w:w w:val="100"/>
          <w:position w:val="0"/>
        </w:rPr>
        <w:t>刘洪宁先生，北京神州泰岳软件股份有限公司副总裁。</w:t>
      </w:r>
      <w:r>
        <w:rPr>
          <w:rFonts w:ascii="Times New Roman" w:eastAsia="Times New Roman" w:hAnsi="Times New Roman" w:cs="Times New Roman"/>
          <w:color w:val="000000"/>
          <w:spacing w:val="0"/>
          <w:w w:val="100"/>
          <w:position w:val="0"/>
          <w:sz w:val="18"/>
          <w:szCs w:val="18"/>
        </w:rPr>
        <w:t>1976</w:t>
      </w:r>
      <w:r>
        <w:rPr>
          <w:color w:val="000000"/>
          <w:spacing w:val="0"/>
          <w:w w:val="100"/>
          <w:position w:val="0"/>
        </w:rPr>
        <w:t>年出生，中国国籍，无永久境外居留权。</w:t>
      </w:r>
      <w:r>
        <w:rPr>
          <w:rFonts w:ascii="Times New Roman" w:eastAsia="Times New Roman" w:hAnsi="Times New Roman" w:cs="Times New Roman"/>
          <w:color w:val="000000"/>
          <w:spacing w:val="0"/>
          <w:w w:val="100"/>
          <w:position w:val="0"/>
          <w:sz w:val="18"/>
          <w:szCs w:val="18"/>
        </w:rPr>
        <w:t>2000</w:t>
      </w:r>
      <w:r>
        <w:rPr>
          <w:color w:val="000000"/>
          <w:spacing w:val="0"/>
          <w:w w:val="100"/>
          <w:position w:val="0"/>
        </w:rPr>
        <w:t>年毕业于西 安电子科技大学，硕士学位。曾任华为技术有限公司区域销售经理、中国移动通信集团公司项目经理、北京新媒传信科技有 限公司副总经理。现任公司副总裁、公司物联网与通信事业群副总经理、北京新媒传信科技有限公司总经理。</w:t>
      </w:r>
    </w:p>
    <w:p>
      <w:pPr>
        <w:pStyle w:val="Style41"/>
        <w:keepNext w:val="0"/>
        <w:keepLines w:val="0"/>
        <w:widowControl w:val="0"/>
        <w:shd w:val="clear" w:color="auto" w:fill="auto"/>
        <w:bidi w:val="0"/>
        <w:spacing w:before="0" w:after="0" w:line="469" w:lineRule="exact"/>
        <w:ind w:left="0" w:right="0"/>
        <w:jc w:val="both"/>
      </w:pPr>
      <w:r>
        <w:rPr>
          <w:b/>
          <w:bCs/>
          <w:color w:val="000000"/>
          <w:spacing w:val="0"/>
          <w:w w:val="100"/>
          <w:position w:val="0"/>
        </w:rPr>
        <w:t>胡加明先生，北京神州泰岳软件股份有限公司副总裁兼董事会秘书。</w:t>
      </w:r>
      <w:r>
        <w:rPr>
          <w:rFonts w:ascii="Times New Roman" w:eastAsia="Times New Roman" w:hAnsi="Times New Roman" w:cs="Times New Roman"/>
          <w:color w:val="000000"/>
          <w:spacing w:val="0"/>
          <w:w w:val="100"/>
          <w:position w:val="0"/>
          <w:sz w:val="18"/>
          <w:szCs w:val="18"/>
        </w:rPr>
        <w:t>1983</w:t>
      </w:r>
      <w:r>
        <w:rPr>
          <w:color w:val="000000"/>
          <w:spacing w:val="0"/>
          <w:w w:val="100"/>
          <w:position w:val="0"/>
        </w:rPr>
        <w:t>年出生，中国国籍，无境外永久居留权。毕 业于英国诺丁汉大学，制造工程管理硕士学位，</w:t>
      </w:r>
      <w:r>
        <w:rPr>
          <w:rFonts w:ascii="Times New Roman" w:eastAsia="Times New Roman" w:hAnsi="Times New Roman" w:cs="Times New Roman"/>
          <w:color w:val="000000"/>
          <w:spacing w:val="0"/>
          <w:w w:val="100"/>
          <w:position w:val="0"/>
          <w:sz w:val="18"/>
          <w:szCs w:val="18"/>
        </w:rPr>
        <w:t>2014</w:t>
      </w:r>
      <w:r>
        <w:rPr>
          <w:color w:val="000000"/>
          <w:spacing w:val="0"/>
          <w:w w:val="100"/>
          <w:position w:val="0"/>
        </w:rPr>
        <w:t>年获北京大学光华管理学院工商管理硕士学位；曾任阔地教育科技有限 公司董事长兼总裁、苏州贝昂科技有限公司执行总裁、北京神州泰岳软件股份有限公司总裁助理。现任公司副总裁兼董事会 秘书、鼎富智能科技有限公司董事兼总经理。</w:t>
      </w:r>
    </w:p>
    <w:p>
      <w:pPr>
        <w:pStyle w:val="Style41"/>
        <w:keepNext w:val="0"/>
        <w:keepLines w:val="0"/>
        <w:widowControl w:val="0"/>
        <w:shd w:val="clear" w:color="auto" w:fill="auto"/>
        <w:bidi w:val="0"/>
        <w:spacing w:before="0" w:after="0" w:line="469" w:lineRule="exact"/>
        <w:ind w:left="0" w:right="0"/>
        <w:jc w:val="both"/>
      </w:pPr>
      <w:r>
        <w:rPr>
          <w:b/>
          <w:bCs/>
          <w:color w:val="000000"/>
          <w:spacing w:val="0"/>
          <w:w w:val="100"/>
          <w:position w:val="0"/>
        </w:rPr>
        <w:t>艾东先生，北京神州泰岳软件股份有限公司副总裁。</w:t>
      </w:r>
      <w:r>
        <w:rPr>
          <w:rFonts w:ascii="Times New Roman" w:eastAsia="Times New Roman" w:hAnsi="Times New Roman" w:cs="Times New Roman"/>
          <w:color w:val="000000"/>
          <w:spacing w:val="0"/>
          <w:w w:val="100"/>
          <w:position w:val="0"/>
          <w:sz w:val="18"/>
          <w:szCs w:val="18"/>
        </w:rPr>
        <w:t>1969</w:t>
      </w:r>
      <w:r>
        <w:rPr>
          <w:color w:val="000000"/>
          <w:spacing w:val="0"/>
          <w:w w:val="100"/>
          <w:position w:val="0"/>
        </w:rPr>
        <w:t>年出生，中国国籍，无永久境外居留权。毕业于西北纺织工 学院，机械制造专业；曾任西安仪表厂销售处销售经理，北京高阳圣思园科技有限公司西南区总经理、西区总经理，北京神 州泰岳软件股份有限公司重庆销售经理、西区总经理。现任公司副总裁、西安分公司总经理。</w:t>
      </w:r>
    </w:p>
    <w:p>
      <w:pPr>
        <w:pStyle w:val="Style41"/>
        <w:keepNext w:val="0"/>
        <w:keepLines w:val="0"/>
        <w:widowControl w:val="0"/>
        <w:shd w:val="clear" w:color="auto" w:fill="auto"/>
        <w:bidi w:val="0"/>
        <w:spacing w:before="0" w:after="0" w:line="469" w:lineRule="exact"/>
        <w:ind w:left="0" w:right="0"/>
        <w:jc w:val="both"/>
      </w:pPr>
      <w:r>
        <w:rPr>
          <w:b/>
          <w:bCs/>
          <w:color w:val="000000"/>
          <w:spacing w:val="0"/>
          <w:w w:val="100"/>
          <w:position w:val="0"/>
        </w:rPr>
        <w:t>林红女士，北京神州泰岳软件股份有限公司副总裁。</w:t>
      </w:r>
      <w:r>
        <w:rPr>
          <w:rFonts w:ascii="Times New Roman" w:eastAsia="Times New Roman" w:hAnsi="Times New Roman" w:cs="Times New Roman"/>
          <w:color w:val="000000"/>
          <w:spacing w:val="0"/>
          <w:w w:val="100"/>
          <w:position w:val="0"/>
          <w:sz w:val="18"/>
          <w:szCs w:val="18"/>
        </w:rPr>
        <w:t>1965</w:t>
      </w:r>
      <w:r>
        <w:rPr>
          <w:color w:val="000000"/>
          <w:spacing w:val="0"/>
          <w:w w:val="100"/>
          <w:position w:val="0"/>
        </w:rPr>
        <w:t>年出生，中国国籍，无永久境外居留权。本科学历，高级会 计师职称。曾任北京市海淀区畜牧水产总公司出纳、主管会计，北京市直机动车检测场财务经理，北京神州泰岳计算机公司 财务部副经理，历任公司财务部总经理、财务管理中心总经理、公司财务总监。现任公司副总裁。</w:t>
      </w:r>
    </w:p>
    <w:p>
      <w:pPr>
        <w:pStyle w:val="Style41"/>
        <w:keepNext w:val="0"/>
        <w:keepLines w:val="0"/>
        <w:widowControl w:val="0"/>
        <w:shd w:val="clear" w:color="auto" w:fill="auto"/>
        <w:bidi w:val="0"/>
        <w:spacing w:before="0" w:after="0" w:line="469" w:lineRule="exact"/>
        <w:ind w:left="0" w:right="0"/>
        <w:jc w:val="both"/>
      </w:pPr>
      <w:r>
        <w:rPr>
          <w:b/>
          <w:bCs/>
          <w:color w:val="000000"/>
          <w:spacing w:val="0"/>
          <w:w w:val="100"/>
          <w:position w:val="0"/>
        </w:rPr>
        <w:t>戈爱晶女士，北京神州泰岳软件股份有限公司副总裁兼财务总监。</w:t>
      </w:r>
      <w:r>
        <w:rPr>
          <w:rFonts w:ascii="Times New Roman" w:eastAsia="Times New Roman" w:hAnsi="Times New Roman" w:cs="Times New Roman"/>
          <w:color w:val="000000"/>
          <w:spacing w:val="0"/>
          <w:w w:val="100"/>
          <w:position w:val="0"/>
          <w:sz w:val="18"/>
          <w:szCs w:val="18"/>
        </w:rPr>
        <w:t>1979</w:t>
      </w:r>
      <w:r>
        <w:rPr>
          <w:color w:val="000000"/>
          <w:spacing w:val="0"/>
          <w:w w:val="100"/>
          <w:position w:val="0"/>
        </w:rPr>
        <w:t>年出生，中国国籍，无永久境外居留权。毕业 于北京大学，研究生学历。曾任安永（中国）企业咨询有限公司高级经理、昆吾九鼎投资管理有限公司董事总经理、上海复 星高科技（集团）有限公司投资执行总经理。现任公司副总裁、财务总监、财务管理中心总经理。</w:t>
      </w:r>
    </w:p>
    <w:p>
      <w:pPr>
        <w:pStyle w:val="Style41"/>
        <w:keepNext w:val="0"/>
        <w:keepLines w:val="0"/>
        <w:widowControl w:val="0"/>
        <w:shd w:val="clear" w:color="auto" w:fill="auto"/>
        <w:bidi w:val="0"/>
        <w:spacing w:before="0" w:after="240" w:line="469" w:lineRule="exact"/>
        <w:ind w:left="0" w:right="0" w:firstLine="0"/>
        <w:jc w:val="left"/>
      </w:pPr>
      <w:r>
        <w:rPr>
          <w:b/>
          <w:bCs/>
          <w:color w:val="000000"/>
          <w:spacing w:val="0"/>
          <w:w w:val="100"/>
          <w:position w:val="0"/>
        </w:rPr>
        <w:t>在股东单位任职情况</w:t>
      </w:r>
    </w:p>
    <w:p>
      <w:pPr>
        <w:pStyle w:val="Style41"/>
        <w:keepNext w:val="0"/>
        <w:keepLines w:val="0"/>
        <w:widowControl w:val="0"/>
        <w:shd w:val="clear" w:color="auto" w:fill="auto"/>
        <w:bidi w:val="0"/>
        <w:spacing w:before="0" w:after="0" w:line="545"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b/>
          <w:bCs/>
          <w:color w:val="000000"/>
          <w:spacing w:val="0"/>
          <w:w w:val="100"/>
          <w:position w:val="0"/>
          <w:sz w:val="19"/>
          <w:szCs w:val="19"/>
        </w:rPr>
        <w:t>寸</w:t>
      </w:r>
      <w:r>
        <w:rPr>
          <w:b/>
          <w:bCs/>
          <w:color w:val="000000"/>
          <w:spacing w:val="0"/>
          <w:w w:val="100"/>
          <w:position w:val="0"/>
        </w:rPr>
        <w:t>不适用</w:t>
      </w:r>
    </w:p>
    <w:p>
      <w:pPr>
        <w:pStyle w:val="Style41"/>
        <w:keepNext w:val="0"/>
        <w:keepLines w:val="0"/>
        <w:widowControl w:val="0"/>
        <w:shd w:val="clear" w:color="auto" w:fill="auto"/>
        <w:bidi w:val="0"/>
        <w:spacing w:before="0" w:after="240" w:line="469" w:lineRule="exact"/>
        <w:ind w:left="0" w:right="0" w:firstLine="0"/>
        <w:jc w:val="left"/>
      </w:pPr>
      <w:r>
        <w:rPr>
          <w:b/>
          <w:bCs/>
          <w:color w:val="000000"/>
          <w:spacing w:val="0"/>
          <w:w w:val="100"/>
          <w:position w:val="0"/>
        </w:rPr>
        <w:t>在其他单位任职情况</w:t>
      </w:r>
    </w:p>
    <w:p>
      <w:pPr>
        <w:pStyle w:val="Style20"/>
        <w:keepNext w:val="0"/>
        <w:keepLines w:val="0"/>
        <w:widowControl w:val="0"/>
        <w:shd w:val="clear" w:color="auto" w:fill="auto"/>
        <w:bidi w:val="0"/>
        <w:spacing w:before="0" w:after="0" w:line="240" w:lineRule="auto"/>
        <w:ind w:left="14" w:right="0" w:firstLine="0"/>
        <w:jc w:val="left"/>
        <w:rPr>
          <w:sz w:val="17"/>
          <w:szCs w:val="17"/>
        </w:rPr>
      </w:pPr>
      <w:r>
        <w:rPr>
          <w:rFonts w:ascii="SimSun" w:eastAsia="SimSun" w:hAnsi="SimSun" w:cs="SimSun"/>
          <w:b/>
          <w:bCs/>
          <w:color w:val="000000"/>
          <w:spacing w:val="0"/>
          <w:w w:val="100"/>
          <w:position w:val="0"/>
          <w:sz w:val="19"/>
          <w:szCs w:val="19"/>
        </w:rPr>
        <w:t>寸</w:t>
      </w:r>
      <w:r>
        <w:rPr>
          <w:rFonts w:ascii="SimSun" w:eastAsia="SimSun" w:hAnsi="SimSun" w:cs="SimSun"/>
          <w:b/>
          <w:bCs/>
          <w:color w:val="000000"/>
          <w:spacing w:val="0"/>
          <w:w w:val="100"/>
          <w:position w:val="0"/>
          <w:sz w:val="17"/>
          <w:szCs w:val="17"/>
        </w:rPr>
        <w:t>适用</w:t>
      </w:r>
      <w:r>
        <w:rPr>
          <w:rFonts w:ascii="SimSun" w:eastAsia="SimSun" w:hAnsi="SimSun" w:cs="SimSun"/>
          <w:color w:val="000000"/>
          <w:spacing w:val="0"/>
          <w:w w:val="100"/>
          <w:position w:val="0"/>
          <w:sz w:val="18"/>
          <w:szCs w:val="18"/>
        </w:rPr>
        <w:t>口</w:t>
      </w:r>
      <w:r>
        <w:rPr>
          <w:rFonts w:ascii="SimSun" w:eastAsia="SimSun" w:hAnsi="SimSun" w:cs="SimSun"/>
          <w:color w:val="000000"/>
          <w:spacing w:val="0"/>
          <w:w w:val="100"/>
          <w:position w:val="0"/>
          <w:sz w:val="17"/>
          <w:szCs w:val="17"/>
        </w:rPr>
        <w:t>不适用</w:t>
      </w:r>
    </w:p>
    <w:tbl>
      <w:tblPr>
        <w:tblOverlap w:val="never"/>
        <w:jc w:val="center"/>
        <w:tblLayout w:type="fixed"/>
      </w:tblPr>
      <w:tblGrid>
        <w:gridCol w:w="749"/>
        <w:gridCol w:w="2971"/>
        <w:gridCol w:w="1421"/>
        <w:gridCol w:w="1560"/>
        <w:gridCol w:w="1555"/>
        <w:gridCol w:w="1454"/>
      </w:tblGrid>
      <w:tr>
        <w:trPr>
          <w:trHeight w:val="451"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任职人</w:t>
            </w:r>
          </w:p>
        </w:tc>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其他单位名称</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在其他单位担任</w:t>
            </w:r>
          </w:p>
        </w:tc>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任期起始日期</w:t>
            </w:r>
          </w:p>
        </w:tc>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任期终止日期</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在其他单位是否</w:t>
            </w:r>
          </w:p>
        </w:tc>
      </w:tr>
      <w:tr>
        <w:trPr>
          <w:trHeight w:val="269" w:hRule="exact"/>
        </w:trPr>
        <w:tc>
          <w:tcPr>
            <w:tcBorders>
              <w:left w:val="single" w:sz="4"/>
            </w:tcBorders>
            <w:shd w:val="clear" w:color="auto" w:fill="D7D7D7"/>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员姓名</w:t>
            </w:r>
          </w:p>
        </w:tc>
        <w:tc>
          <w:tcPr>
            <w:vMerge/>
            <w:tcBorders>
              <w:left w:val="single" w:sz="4"/>
            </w:tcBorders>
            <w:shd w:val="clear" w:color="auto" w:fill="D7D7D7"/>
            <w:vAlign w:val="center"/>
          </w:tcPr>
          <w:p>
            <w:pPr/>
          </w:p>
        </w:tc>
        <w:tc>
          <w:tcPr>
            <w:tcBorders>
              <w:left w:val="single" w:sz="4"/>
            </w:tcBorders>
            <w:shd w:val="clear" w:color="auto" w:fill="D7D7D7"/>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的职务</w:t>
            </w:r>
          </w:p>
        </w:tc>
        <w:tc>
          <w:tcPr>
            <w:vMerge/>
            <w:tcBorders>
              <w:left w:val="single" w:sz="4"/>
            </w:tcBorders>
            <w:shd w:val="clear" w:color="auto" w:fill="D7D7D7"/>
            <w:vAlign w:val="center"/>
          </w:tcPr>
          <w:p>
            <w:pPr/>
          </w:p>
        </w:tc>
        <w:tc>
          <w:tcPr>
            <w:vMerge/>
            <w:tcBorders>
              <w:left w:val="single" w:sz="4"/>
            </w:tcBorders>
            <w:shd w:val="clear" w:color="auto" w:fill="D7D7D7"/>
            <w:vAlign w:val="center"/>
          </w:tcPr>
          <w:p>
            <w:pPr/>
          </w:p>
        </w:tc>
        <w:tc>
          <w:tcPr>
            <w:tcBorders>
              <w:left w:val="single" w:sz="4"/>
              <w:right w:val="single" w:sz="4"/>
            </w:tcBorders>
            <w:shd w:val="clear" w:color="auto" w:fill="D7D7D7"/>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领取报酬津贴</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王宁</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北京互联时代通讯科技有限公司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董事长</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2002</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06</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14</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1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王宁</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北京启天同信科技有限公司</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董事</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2003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09</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日</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bl>
    <w:p>
      <w:pPr>
        <w:sectPr>
          <w:headerReference w:type="default" r:id="rId227"/>
          <w:footerReference w:type="default" r:id="rId228"/>
          <w:headerReference w:type="even" r:id="rId229"/>
          <w:footerReference w:type="even" r:id="rId230"/>
          <w:footnotePr>
            <w:pos w:val="pageBottom"/>
            <w:numFmt w:val="decimal"/>
            <w:numRestart w:val="continuous"/>
          </w:footnotePr>
          <w:pgSz w:w="11904" w:h="17375"/>
          <w:pgMar w:top="1070" w:right="1048" w:bottom="1686" w:left="1082" w:header="642" w:footer="3" w:gutter="0"/>
          <w:cols w:space="720"/>
          <w:noEndnote/>
          <w:rtlGutter w:val="0"/>
          <w:docGrid w:linePitch="360"/>
        </w:sectPr>
      </w:pPr>
    </w:p>
    <w:tbl>
      <w:tblPr>
        <w:tblOverlap w:val="never"/>
        <w:jc w:val="center"/>
        <w:tblLayout w:type="fixed"/>
      </w:tblPr>
      <w:tblGrid>
        <w:gridCol w:w="749"/>
        <w:gridCol w:w="2971"/>
        <w:gridCol w:w="1416"/>
        <w:gridCol w:w="1565"/>
        <w:gridCol w:w="1555"/>
        <w:gridCol w:w="1454"/>
      </w:tblGrid>
      <w:tr>
        <w:trPr>
          <w:trHeight w:val="792"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任职人 员姓名</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其他单位名称</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在其他单位担任 的职务</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任期起始日期</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任期终止日期</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307" w:lineRule="exact"/>
              <w:ind w:left="0" w:right="0" w:firstLine="0"/>
              <w:jc w:val="center"/>
            </w:pPr>
            <w:r>
              <w:rPr>
                <w:color w:val="000000"/>
                <w:spacing w:val="0"/>
                <w:w w:val="100"/>
                <w:position w:val="0"/>
              </w:rPr>
              <w:t>在其他单位是否 领取报酬津贴</w:t>
            </w: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color w:val="000000"/>
                <w:spacing w:val="0"/>
                <w:w w:val="100"/>
                <w:position w:val="0"/>
              </w:rPr>
              <w:t>王宁</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北京神州良品电子商务科技股份有限 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董事长</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18"/>
                <w:szCs w:val="18"/>
              </w:rPr>
              <w:t>2011</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27</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color w:val="000000"/>
                <w:spacing w:val="0"/>
                <w:w w:val="100"/>
                <w:position w:val="0"/>
              </w:rPr>
              <w:t>王宁</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both"/>
            </w:pPr>
            <w:r>
              <w:rPr>
                <w:color w:val="000000"/>
                <w:spacing w:val="0"/>
                <w:w w:val="100"/>
                <w:position w:val="0"/>
              </w:rPr>
              <w:t>北京华泰德丰技术有限公司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董事长</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18"/>
                <w:szCs w:val="18"/>
              </w:rPr>
              <w:t>2011</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11</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03</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color w:val="000000"/>
                <w:spacing w:val="0"/>
                <w:w w:val="100"/>
                <w:position w:val="0"/>
              </w:rPr>
              <w:t>王宁</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both"/>
            </w:pPr>
            <w:r>
              <w:rPr>
                <w:color w:val="000000"/>
                <w:spacing w:val="0"/>
                <w:w w:val="100"/>
                <w:position w:val="0"/>
              </w:rPr>
              <w:t>北京善聚投资管理有限公司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执行董事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06</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28</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color w:val="000000"/>
                <w:spacing w:val="0"/>
                <w:w w:val="100"/>
                <w:position w:val="0"/>
              </w:rPr>
              <w:t>王宁</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both"/>
            </w:pPr>
            <w:r>
              <w:rPr>
                <w:color w:val="000000"/>
                <w:spacing w:val="0"/>
                <w:w w:val="100"/>
                <w:position w:val="0"/>
              </w:rPr>
              <w:t>北京创董创新实业有限公司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董事长</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18"/>
                <w:szCs w:val="18"/>
              </w:rPr>
              <w:t>2017</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08</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11</w:t>
            </w:r>
            <w:r>
              <w:rPr>
                <w:color w:val="000000"/>
                <w:spacing w:val="0"/>
                <w:w w:val="100"/>
                <w:position w:val="0"/>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2021</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04</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06</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color w:val="000000"/>
                <w:spacing w:val="0"/>
                <w:w w:val="100"/>
                <w:position w:val="0"/>
              </w:rPr>
              <w:t>王宁</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北京德青源农业科技股份有限公司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18"/>
                <w:szCs w:val="18"/>
              </w:rPr>
              <w:t>2018</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02</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color w:val="000000"/>
                <w:spacing w:val="0"/>
                <w:w w:val="100"/>
                <w:position w:val="0"/>
              </w:rPr>
              <w:t>李力</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北京互联时代通讯科技有限公司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18"/>
                <w:szCs w:val="18"/>
              </w:rPr>
              <w:t>2002</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06</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14</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color w:val="000000"/>
                <w:spacing w:val="0"/>
                <w:w w:val="100"/>
                <w:position w:val="0"/>
              </w:rPr>
              <w:t>李力</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both"/>
            </w:pPr>
            <w:r>
              <w:rPr>
                <w:color w:val="000000"/>
                <w:spacing w:val="0"/>
                <w:w w:val="100"/>
                <w:position w:val="0"/>
              </w:rPr>
              <w:t>北京启天同信科技有限公司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18"/>
                <w:szCs w:val="18"/>
              </w:rPr>
              <w:t>2003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09</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color w:val="000000"/>
                <w:spacing w:val="0"/>
                <w:w w:val="100"/>
                <w:position w:val="0"/>
              </w:rPr>
              <w:t>李力</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both"/>
            </w:pPr>
            <w:r>
              <w:rPr>
                <w:color w:val="000000"/>
                <w:spacing w:val="0"/>
                <w:w w:val="100"/>
                <w:position w:val="0"/>
              </w:rPr>
              <w:t>神州泰岳（香港）有限公司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18"/>
                <w:szCs w:val="18"/>
              </w:rPr>
              <w:t>2011</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11</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23</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color w:val="000000"/>
                <w:spacing w:val="0"/>
                <w:w w:val="100"/>
                <w:position w:val="0"/>
              </w:rPr>
              <w:t>李力</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Bridge Minds Consulting Pte Ltd</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18"/>
                <w:szCs w:val="18"/>
              </w:rPr>
              <w:t>2015</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01</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color w:val="000000"/>
                <w:spacing w:val="0"/>
                <w:w w:val="100"/>
                <w:position w:val="0"/>
              </w:rPr>
              <w:t>李力</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神州泰岳（香港）发展有限公司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18"/>
                <w:szCs w:val="18"/>
              </w:rPr>
              <w:t>2017</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03</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21</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color w:val="000000"/>
                <w:spacing w:val="0"/>
                <w:w w:val="100"/>
                <w:position w:val="0"/>
              </w:rPr>
              <w:t>李力</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中建智能技术有限公司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18"/>
                <w:szCs w:val="18"/>
              </w:rPr>
              <w:t>2018</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29</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color w:val="000000"/>
                <w:spacing w:val="0"/>
                <w:w w:val="100"/>
                <w:position w:val="0"/>
              </w:rPr>
              <w:t>李力</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北京京雪庭餐饮服务有限公司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执行董事、总经理</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18"/>
                <w:szCs w:val="18"/>
              </w:rPr>
              <w:t>2019</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11</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26</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冒大卫</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三亚迈普乐科技有限公司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18"/>
                <w:szCs w:val="18"/>
              </w:rPr>
              <w:t>2018</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01</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03</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冒大卫</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中金基金管理有限公司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独立董事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18"/>
                <w:szCs w:val="18"/>
              </w:rPr>
              <w:t>2018</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09</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04</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冒大卫</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pPr>
            <w:r>
              <w:rPr>
                <w:color w:val="000000"/>
                <w:spacing w:val="0"/>
                <w:w w:val="100"/>
                <w:position w:val="0"/>
              </w:rPr>
              <w:t>北京新媒传信科技有限公司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执行董事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18"/>
                <w:szCs w:val="18"/>
              </w:rPr>
              <w:t>2019</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01</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28</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冒大卫</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北京神州泰岳智能数据技术有限公司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董事长</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18"/>
                <w:szCs w:val="18"/>
              </w:rPr>
              <w:t>2019</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03</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05</w:t>
            </w:r>
            <w:r>
              <w:rPr>
                <w:color w:val="000000"/>
                <w:spacing w:val="0"/>
                <w:w w:val="100"/>
                <w:position w:val="0"/>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09</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28</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冒大卫</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北京神州泰岳智能数据技术有限公司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09</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28</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冒大卫</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pPr>
            <w:r>
              <w:rPr>
                <w:color w:val="000000"/>
                <w:spacing w:val="0"/>
                <w:w w:val="100"/>
                <w:position w:val="0"/>
              </w:rPr>
              <w:t>北京启天同信科技有限公司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18"/>
                <w:szCs w:val="18"/>
              </w:rPr>
              <w:t>2019</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24</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冒大卫</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pPr>
            <w:r>
              <w:rPr>
                <w:color w:val="000000"/>
                <w:spacing w:val="0"/>
                <w:w w:val="100"/>
                <w:position w:val="0"/>
              </w:rPr>
              <w:t>北京科兴生物制品有限公司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03</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25</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冒大卫</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鼎富智能科技有限公司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董事长</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03</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19</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color w:val="000000"/>
                <w:spacing w:val="0"/>
                <w:w w:val="100"/>
                <w:position w:val="0"/>
              </w:rPr>
              <w:t>易律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北京安纳西互娱科技有限公司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执行董事、总经理</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18"/>
                <w:szCs w:val="18"/>
              </w:rPr>
              <w:t>2018</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01</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15</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color w:val="000000"/>
                <w:spacing w:val="0"/>
                <w:w w:val="100"/>
                <w:position w:val="0"/>
              </w:rPr>
              <w:t>易律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北京安纳西科技有限公司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执行董事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18"/>
                <w:szCs w:val="18"/>
              </w:rPr>
              <w:t>2018</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04</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02</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color w:val="000000"/>
                <w:spacing w:val="0"/>
                <w:w w:val="100"/>
                <w:position w:val="0"/>
              </w:rPr>
              <w:t>易律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天津安纳西科技有限公司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执行董事、总经理</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18"/>
                <w:szCs w:val="18"/>
              </w:rPr>
              <w:t>2018</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05</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06</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color w:val="000000"/>
                <w:spacing w:val="0"/>
                <w:w w:val="100"/>
                <w:position w:val="0"/>
              </w:rPr>
              <w:t>易律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霍尔果斯于艺网络科技有限公司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执行董事、总经理</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18"/>
                <w:szCs w:val="18"/>
              </w:rPr>
              <w:t>2018</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06</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25</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color w:val="000000"/>
                <w:spacing w:val="0"/>
                <w:w w:val="100"/>
                <w:position w:val="0"/>
              </w:rPr>
              <w:t>易律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pPr>
            <w:r>
              <w:rPr>
                <w:color w:val="000000"/>
                <w:spacing w:val="0"/>
                <w:w w:val="100"/>
                <w:position w:val="0"/>
              </w:rPr>
              <w:t>北京壳木软件有限责任公司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执行董事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18"/>
                <w:szCs w:val="18"/>
              </w:rPr>
              <w:t>2019</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04</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01</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color w:val="000000"/>
                <w:spacing w:val="0"/>
                <w:w w:val="100"/>
                <w:position w:val="0"/>
              </w:rPr>
              <w:t>易律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北京骆骆软件科技有限责任公司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执行董事、总经理</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18"/>
                <w:szCs w:val="18"/>
              </w:rPr>
              <w:t>2019</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04</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01</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color w:val="000000"/>
                <w:spacing w:val="0"/>
                <w:w w:val="100"/>
                <w:position w:val="0"/>
              </w:rPr>
              <w:t>易律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26" w:lineRule="exact"/>
              <w:ind w:left="0" w:right="0" w:firstLine="0"/>
              <w:jc w:val="center"/>
            </w:pPr>
            <w:r>
              <w:rPr>
                <w:color w:val="000000"/>
                <w:spacing w:val="0"/>
                <w:w w:val="100"/>
                <w:position w:val="0"/>
              </w:rPr>
              <w:t>霍尔果斯小小橙软件开发有限责任公 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执行董事、总经理</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18"/>
                <w:szCs w:val="18"/>
              </w:rPr>
              <w:t>2019</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05</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09</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color w:val="000000"/>
                <w:spacing w:val="0"/>
                <w:w w:val="100"/>
                <w:position w:val="0"/>
              </w:rPr>
              <w:t>易律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both"/>
            </w:pPr>
            <w:r>
              <w:rPr>
                <w:color w:val="000000"/>
                <w:spacing w:val="0"/>
                <w:w w:val="100"/>
                <w:position w:val="0"/>
              </w:rPr>
              <w:t>天津壳木软件有限责任公司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执行董事、总经理</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18"/>
                <w:szCs w:val="18"/>
              </w:rPr>
              <w:t>2019</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05</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22</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color w:val="000000"/>
                <w:spacing w:val="0"/>
                <w:w w:val="100"/>
                <w:position w:val="0"/>
              </w:rPr>
              <w:t>易律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both"/>
            </w:pPr>
            <w:r>
              <w:rPr>
                <w:color w:val="000000"/>
                <w:spacing w:val="0"/>
                <w:w w:val="100"/>
                <w:position w:val="0"/>
              </w:rPr>
              <w:t>海南壳木软件有限责任公司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执行董事、总经理</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16</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725"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刘铁民</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中国船舶重工集团应急预警与救援装 备股份有限公司</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独立董事</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18"/>
                <w:szCs w:val="18"/>
              </w:rPr>
              <w:t>2014</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26</w:t>
            </w:r>
            <w:r>
              <w:rPr>
                <w:color w:val="000000"/>
                <w:spacing w:val="0"/>
                <w:w w:val="100"/>
                <w:position w:val="0"/>
              </w:rPr>
              <w:t>日</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w:t>
            </w:r>
          </w:p>
        </w:tc>
      </w:tr>
    </w:tbl>
    <w:p>
      <w:pPr>
        <w:spacing w:lineRule="exact" w:line="1"/>
        <w:rPr>
          <w:sz w:val="2"/>
          <w:szCs w:val="2"/>
        </w:rPr>
      </w:pPr>
      <w:r>
        <w:br w:type="page"/>
      </w:r>
    </w:p>
    <w:tbl>
      <w:tblPr>
        <w:tblOverlap w:val="never"/>
        <w:jc w:val="center"/>
        <w:tblLayout w:type="fixed"/>
      </w:tblPr>
      <w:tblGrid>
        <w:gridCol w:w="749"/>
        <w:gridCol w:w="2971"/>
        <w:gridCol w:w="1416"/>
        <w:gridCol w:w="1565"/>
        <w:gridCol w:w="1555"/>
        <w:gridCol w:w="1454"/>
      </w:tblGrid>
      <w:tr>
        <w:trPr>
          <w:trHeight w:val="51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任职人</w:t>
            </w:r>
          </w:p>
        </w:tc>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其他单位名称</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在其他单位担任</w:t>
            </w:r>
          </w:p>
        </w:tc>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任期起始日期</w:t>
            </w:r>
          </w:p>
        </w:tc>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任期终止日期</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在其他单位是否</w:t>
            </w:r>
          </w:p>
        </w:tc>
      </w:tr>
      <w:tr>
        <w:trPr>
          <w:trHeight w:val="274" w:hRule="exact"/>
        </w:trPr>
        <w:tc>
          <w:tcPr>
            <w:tcBorders>
              <w:left w:val="single" w:sz="4"/>
            </w:tcBorders>
            <w:shd w:val="clear" w:color="auto" w:fill="D7D7D7"/>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员姓名</w:t>
            </w:r>
          </w:p>
        </w:tc>
        <w:tc>
          <w:tcPr>
            <w:vMerge/>
            <w:tcBorders>
              <w:left w:val="single" w:sz="4"/>
            </w:tcBorders>
            <w:shd w:val="clear" w:color="auto" w:fill="D7D7D7"/>
            <w:vAlign w:val="center"/>
          </w:tcPr>
          <w:p>
            <w:pPr/>
          </w:p>
        </w:tc>
        <w:tc>
          <w:tcPr>
            <w:tcBorders>
              <w:left w:val="single" w:sz="4"/>
            </w:tcBorders>
            <w:shd w:val="clear" w:color="auto" w:fill="D7D7D7"/>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的职务</w:t>
            </w:r>
          </w:p>
        </w:tc>
        <w:tc>
          <w:tcPr>
            <w:vMerge/>
            <w:tcBorders>
              <w:left w:val="single" w:sz="4"/>
            </w:tcBorders>
            <w:shd w:val="clear" w:color="auto" w:fill="D7D7D7"/>
            <w:vAlign w:val="center"/>
          </w:tcPr>
          <w:p>
            <w:pPr/>
          </w:p>
        </w:tc>
        <w:tc>
          <w:tcPr>
            <w:vMerge/>
            <w:tcBorders>
              <w:left w:val="single" w:sz="4"/>
            </w:tcBorders>
            <w:shd w:val="clear" w:color="auto" w:fill="D7D7D7"/>
            <w:vAlign w:val="center"/>
          </w:tcPr>
          <w:p>
            <w:pPr/>
          </w:p>
        </w:tc>
        <w:tc>
          <w:tcPr>
            <w:tcBorders>
              <w:left w:val="single" w:sz="4"/>
              <w:right w:val="single" w:sz="4"/>
            </w:tcBorders>
            <w:shd w:val="clear" w:color="auto" w:fill="D7D7D7"/>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领取报酬津贴</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王雪春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豆神教育科技（北京）股份有限公司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独立董事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2016</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25</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王雪春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pPr>
            <w:r>
              <w:rPr>
                <w:color w:val="000000"/>
                <w:spacing w:val="0"/>
                <w:w w:val="100"/>
                <w:position w:val="0"/>
              </w:rPr>
              <w:t>北京北陆药业股份有限公司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独立董事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2016</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11</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30</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王雪春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北京邮电大学世纪学院</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总会计师</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2018</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11</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09</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color w:val="000000"/>
                <w:spacing w:val="0"/>
                <w:w w:val="100"/>
                <w:position w:val="0"/>
              </w:rPr>
              <w:t>沈阳</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清华大学新闻学院</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教授</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2014</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06</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01</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color w:val="000000"/>
                <w:spacing w:val="0"/>
                <w:w w:val="100"/>
                <w:position w:val="0"/>
              </w:rPr>
              <w:t>高峰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北京神州泰岳信息安全技术有限公司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总经理</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2014</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04</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14</w:t>
            </w:r>
            <w:r>
              <w:rPr>
                <w:color w:val="000000"/>
                <w:spacing w:val="0"/>
                <w:w w:val="100"/>
                <w:position w:val="0"/>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27</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color w:val="000000"/>
                <w:spacing w:val="0"/>
                <w:w w:val="100"/>
                <w:position w:val="0"/>
              </w:rPr>
              <w:t>高峰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北京神州泰岳信息安全技术有限公司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执行董事、总经理</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27</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color w:val="000000"/>
                <w:spacing w:val="0"/>
                <w:w w:val="100"/>
                <w:position w:val="0"/>
              </w:rPr>
              <w:t>高峰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新疆神州泰岳智能科技有限公司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执行董事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2018</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01</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19</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color w:val="000000"/>
                <w:spacing w:val="0"/>
                <w:w w:val="100"/>
                <w:position w:val="0"/>
              </w:rPr>
              <w:t>高峰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北京泰岳宏光科技发展有限公司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执行董事、总经理</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2018</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04</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color w:val="000000"/>
                <w:spacing w:val="0"/>
                <w:w w:val="100"/>
                <w:position w:val="0"/>
              </w:rPr>
              <w:t>高峰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pPr>
            <w:r>
              <w:rPr>
                <w:color w:val="000000"/>
                <w:spacing w:val="0"/>
                <w:w w:val="100"/>
                <w:position w:val="0"/>
              </w:rPr>
              <w:t>北京慧联神州科技有限公司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执行董事、总经理</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color w:val="000000"/>
                <w:spacing w:val="0"/>
                <w:w w:val="100"/>
                <w:position w:val="0"/>
              </w:rPr>
              <w:t>董越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pPr>
            <w:r>
              <w:rPr>
                <w:color w:val="000000"/>
                <w:spacing w:val="0"/>
                <w:w w:val="100"/>
                <w:position w:val="0"/>
              </w:rPr>
              <w:t>北京泰岳天成科技有限公司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执行董事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2018</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04</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11</w:t>
            </w:r>
            <w:r>
              <w:rPr>
                <w:color w:val="000000"/>
                <w:spacing w:val="0"/>
                <w:w w:val="100"/>
                <w:position w:val="0"/>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2021</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02</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color w:val="000000"/>
                <w:spacing w:val="0"/>
                <w:w w:val="100"/>
                <w:position w:val="0"/>
              </w:rPr>
              <w:t>董越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pPr>
            <w:r>
              <w:rPr>
                <w:color w:val="000000"/>
                <w:spacing w:val="0"/>
                <w:w w:val="100"/>
                <w:position w:val="0"/>
              </w:rPr>
              <w:t>重庆新媒亿网科技有限公司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总经理</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2019</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01</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19</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color w:val="000000"/>
                <w:spacing w:val="0"/>
                <w:w w:val="100"/>
                <w:position w:val="0"/>
              </w:rPr>
              <w:t>董越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pPr>
            <w:r>
              <w:rPr>
                <w:color w:val="000000"/>
                <w:spacing w:val="0"/>
                <w:w w:val="100"/>
                <w:position w:val="0"/>
              </w:rPr>
              <w:t>重庆新媒农信科技有限公司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总经理</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2019</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09</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pPr>
            <w:r>
              <w:rPr>
                <w:color w:val="000000"/>
                <w:spacing w:val="0"/>
                <w:w w:val="100"/>
                <w:position w:val="0"/>
              </w:rPr>
              <w:t>董越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重庆新迈峰科技有限公司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总经理</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2019</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13</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刘洪宁</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pPr>
            <w:r>
              <w:rPr>
                <w:color w:val="000000"/>
                <w:spacing w:val="0"/>
                <w:w w:val="100"/>
                <w:position w:val="0"/>
              </w:rPr>
              <w:t>北京新媒传信科技有限公司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总经理</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2019</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01</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28</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刘洪宁</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北京互联时代通讯科技有限公司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总经理</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11</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17</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胡加明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鼎富智能科技有限公司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06</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05</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胡加明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苏州贝昂科技有限公司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06</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24</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36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在其他</w:t>
            </w:r>
          </w:p>
        </w:tc>
        <w:tc>
          <w:tcPr>
            <w:tcBorders>
              <w:top w:val="single" w:sz="4"/>
              <w:left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gridSpan w:val="2"/>
            <w:tcBorders>
              <w:top w:val="single" w:sz="4"/>
            </w:tcBorders>
            <w:shd w:val="clear" w:color="auto" w:fill="FFFFFF"/>
            <w:vAlign w:val="top"/>
          </w:tcPr>
          <w:p>
            <w:pPr>
              <w:widowControl w:val="0"/>
              <w:rPr>
                <w:sz w:val="10"/>
                <w:szCs w:val="10"/>
              </w:rPr>
            </w:pPr>
          </w:p>
        </w:tc>
        <w:tc>
          <w:tcPr>
            <w:tcBorders>
              <w:top w:val="single" w:sz="4"/>
              <w:right w:val="single" w:sz="4"/>
            </w:tcBorders>
            <w:shd w:val="clear" w:color="auto" w:fill="FFFFFF"/>
            <w:vAlign w:val="top"/>
          </w:tcPr>
          <w:p>
            <w:pPr>
              <w:widowControl w:val="0"/>
              <w:rPr>
                <w:sz w:val="10"/>
                <w:szCs w:val="10"/>
              </w:rPr>
            </w:pPr>
          </w:p>
        </w:tc>
      </w:tr>
      <w:tr>
        <w:trPr>
          <w:trHeight w:val="312" w:hRule="exact"/>
        </w:trPr>
        <w:tc>
          <w:tcPr>
            <w:tcBorders>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单位任</w:t>
            </w:r>
          </w:p>
        </w:tc>
        <w:tc>
          <w:tcPr>
            <w:vMerge w:val="restart"/>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无</w:t>
            </w:r>
          </w:p>
        </w:tc>
        <w:tc>
          <w:tcPr>
            <w:tcBorders/>
            <w:shd w:val="clear" w:color="auto" w:fill="FFFFFF"/>
            <w:vAlign w:val="top"/>
          </w:tcPr>
          <w:p>
            <w:pPr>
              <w:widowControl w:val="0"/>
              <w:rPr>
                <w:sz w:val="10"/>
                <w:szCs w:val="10"/>
              </w:rPr>
            </w:pPr>
          </w:p>
        </w:tc>
        <w:tc>
          <w:tcPr>
            <w:gridSpan w:val="2"/>
            <w:tcBorders/>
            <w:shd w:val="clear" w:color="auto" w:fill="FFFFFF"/>
            <w:vAlign w:val="top"/>
          </w:tcPr>
          <w:p>
            <w:pPr>
              <w:widowControl w:val="0"/>
              <w:rPr>
                <w:sz w:val="10"/>
                <w:szCs w:val="10"/>
              </w:rPr>
            </w:pPr>
          </w:p>
        </w:tc>
        <w:tc>
          <w:tcPr>
            <w:tcBorders>
              <w:right w:val="single" w:sz="4"/>
            </w:tcBorders>
            <w:shd w:val="clear" w:color="auto" w:fill="FFFFFF"/>
            <w:vAlign w:val="top"/>
          </w:tcPr>
          <w:p>
            <w:pPr>
              <w:widowControl w:val="0"/>
              <w:rPr>
                <w:sz w:val="10"/>
                <w:szCs w:val="10"/>
              </w:rPr>
            </w:pPr>
          </w:p>
        </w:tc>
      </w:tr>
      <w:tr>
        <w:trPr>
          <w:trHeight w:val="312" w:hRule="exact"/>
        </w:trPr>
        <w:tc>
          <w:tcPr>
            <w:tcBorders>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职情况</w:t>
            </w:r>
          </w:p>
        </w:tc>
        <w:tc>
          <w:tcPr>
            <w:vMerge/>
            <w:tcBorders>
              <w:left w:val="single" w:sz="4"/>
            </w:tcBorders>
            <w:shd w:val="clear" w:color="auto" w:fill="FFFFFF"/>
            <w:vAlign w:val="center"/>
          </w:tcPr>
          <w:p>
            <w:pPr/>
          </w:p>
        </w:tc>
        <w:tc>
          <w:tcPr>
            <w:tcBorders/>
            <w:shd w:val="clear" w:color="auto" w:fill="FFFFFF"/>
            <w:vAlign w:val="top"/>
          </w:tcPr>
          <w:p>
            <w:pPr>
              <w:widowControl w:val="0"/>
              <w:rPr>
                <w:sz w:val="10"/>
                <w:szCs w:val="10"/>
              </w:rPr>
            </w:pPr>
          </w:p>
        </w:tc>
        <w:tc>
          <w:tcPr>
            <w:gridSpan w:val="2"/>
            <w:tcBorders/>
            <w:shd w:val="clear" w:color="auto" w:fill="FFFFFF"/>
            <w:vAlign w:val="top"/>
          </w:tcPr>
          <w:p>
            <w:pPr>
              <w:widowControl w:val="0"/>
              <w:rPr>
                <w:sz w:val="10"/>
                <w:szCs w:val="10"/>
              </w:rPr>
            </w:pPr>
          </w:p>
        </w:tc>
        <w:tc>
          <w:tcPr>
            <w:tcBorders>
              <w:right w:val="single" w:sz="4"/>
            </w:tcBorders>
            <w:shd w:val="clear" w:color="auto" w:fill="FFFFFF"/>
            <w:vAlign w:val="top"/>
          </w:tcPr>
          <w:p>
            <w:pPr>
              <w:widowControl w:val="0"/>
              <w:rPr>
                <w:sz w:val="10"/>
                <w:szCs w:val="10"/>
              </w:rPr>
            </w:pPr>
          </w:p>
        </w:tc>
      </w:tr>
      <w:tr>
        <w:trPr>
          <w:trHeight w:val="360" w:hRule="exact"/>
        </w:trPr>
        <w:tc>
          <w:tcPr>
            <w:tcBorders>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的说明</w:t>
            </w:r>
          </w:p>
        </w:tc>
        <w:tc>
          <w:tcPr>
            <w:tcBorders>
              <w:left w:val="single" w:sz="4"/>
              <w:bottom w:val="single" w:sz="4"/>
            </w:tcBorders>
            <w:shd w:val="clear" w:color="auto" w:fill="FFFFFF"/>
            <w:vAlign w:val="top"/>
          </w:tcPr>
          <w:p>
            <w:pPr>
              <w:widowControl w:val="0"/>
              <w:rPr>
                <w:sz w:val="10"/>
                <w:szCs w:val="10"/>
              </w:rPr>
            </w:pPr>
          </w:p>
        </w:tc>
        <w:tc>
          <w:tcPr>
            <w:tcBorders>
              <w:bottom w:val="single" w:sz="4"/>
            </w:tcBorders>
            <w:shd w:val="clear" w:color="auto" w:fill="FFFFFF"/>
            <w:vAlign w:val="top"/>
          </w:tcPr>
          <w:p>
            <w:pPr>
              <w:widowControl w:val="0"/>
              <w:rPr>
                <w:sz w:val="10"/>
                <w:szCs w:val="10"/>
              </w:rPr>
            </w:pPr>
          </w:p>
        </w:tc>
        <w:tc>
          <w:tcPr>
            <w:gridSpan w:val="2"/>
            <w:tcBorders>
              <w:bottom w:val="single" w:sz="4"/>
            </w:tcBorders>
            <w:shd w:val="clear" w:color="auto" w:fill="FFFFFF"/>
            <w:vAlign w:val="top"/>
          </w:tcPr>
          <w:p>
            <w:pPr>
              <w:widowControl w:val="0"/>
              <w:rPr>
                <w:sz w:val="10"/>
                <w:szCs w:val="10"/>
              </w:rPr>
            </w:pPr>
          </w:p>
        </w:tc>
        <w:tc>
          <w:tcPr>
            <w:tcBorders>
              <w:bottom w:val="single" w:sz="4"/>
              <w:right w:val="single" w:sz="4"/>
            </w:tcBorders>
            <w:shd w:val="clear" w:color="auto" w:fill="FFFFFF"/>
            <w:vAlign w:val="top"/>
          </w:tcPr>
          <w:p>
            <w:pPr>
              <w:widowControl w:val="0"/>
              <w:rPr>
                <w:sz w:val="10"/>
                <w:szCs w:val="10"/>
              </w:rPr>
            </w:pPr>
          </w:p>
        </w:tc>
      </w:tr>
    </w:tbl>
    <w:p>
      <w:pPr>
        <w:widowControl w:val="0"/>
        <w:spacing w:after="159" w:line="1" w:lineRule="exact"/>
      </w:pPr>
    </w:p>
    <w:p>
      <w:pPr>
        <w:pStyle w:val="Style41"/>
        <w:keepNext w:val="0"/>
        <w:keepLines w:val="0"/>
        <w:widowControl w:val="0"/>
        <w:shd w:val="clear" w:color="auto" w:fill="auto"/>
        <w:bidi w:val="0"/>
        <w:spacing w:before="0" w:after="260" w:line="240" w:lineRule="auto"/>
        <w:ind w:left="0" w:right="0" w:firstLine="0"/>
        <w:jc w:val="both"/>
      </w:pPr>
      <w:r>
        <w:rPr>
          <w:b/>
          <w:bCs/>
          <w:color w:val="000000"/>
          <w:spacing w:val="0"/>
          <w:w w:val="100"/>
          <w:position w:val="0"/>
        </w:rPr>
        <w:t>公司现任及报告期内离任董事、监事和高级管理人员近三年证券监管机构处罚的情况</w:t>
      </w:r>
    </w:p>
    <w:p>
      <w:pPr>
        <w:pStyle w:val="Style4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b/>
          <w:bCs/>
          <w:color w:val="000000"/>
          <w:spacing w:val="0"/>
          <w:w w:val="100"/>
          <w:position w:val="0"/>
          <w:sz w:val="18"/>
          <w:szCs w:val="18"/>
        </w:rPr>
        <w:t>V</w:t>
      </w:r>
      <w:r>
        <w:rPr>
          <w:b/>
          <w:bCs/>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41"/>
        <w:keepNext w:val="0"/>
        <w:keepLines w:val="0"/>
        <w:widowControl w:val="0"/>
        <w:shd w:val="clear" w:color="auto" w:fill="auto"/>
        <w:bidi w:val="0"/>
        <w:spacing w:before="0" w:after="420" w:line="473" w:lineRule="exact"/>
        <w:ind w:left="0" w:right="0"/>
        <w:jc w:val="both"/>
      </w:pPr>
      <w:r>
        <w:rPr>
          <w:color w:val="000000"/>
          <w:spacing w:val="0"/>
          <w:w w:val="100"/>
          <w:position w:val="0"/>
        </w:rPr>
        <w:t>中国证监会北京监管局于</w:t>
      </w:r>
      <w:r>
        <w:rPr>
          <w:rFonts w:ascii="Times New Roman" w:eastAsia="Times New Roman" w:hAnsi="Times New Roman" w:cs="Times New Roman"/>
          <w:color w:val="000000"/>
          <w:spacing w:val="0"/>
          <w:w w:val="100"/>
          <w:position w:val="0"/>
          <w:sz w:val="18"/>
          <w:szCs w:val="18"/>
        </w:rPr>
        <w:t>2021</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11</w:t>
      </w:r>
      <w:r>
        <w:rPr>
          <w:color w:val="000000"/>
          <w:spacing w:val="0"/>
          <w:w w:val="100"/>
          <w:position w:val="0"/>
        </w:rPr>
        <w:t>日出具《关于对王宁、李力、万能、林红采取出具警示函监管措施的决定》， 认定发行人董事王宁、李力，副总裁林红未按照《上市公司信息披露管理办法》第三条和第五十八条的规定履行勤勉尽责义 务，并对王宁、李力、林红采取了出具警示函的行政监管措施，并记入证券期货市场诚信档案。</w:t>
      </w:r>
    </w:p>
    <w:p>
      <w:pPr>
        <w:pStyle w:val="Style39"/>
        <w:keepNext/>
        <w:keepLines/>
        <w:widowControl w:val="0"/>
        <w:shd w:val="clear" w:color="auto" w:fill="auto"/>
        <w:bidi w:val="0"/>
        <w:spacing w:before="0" w:after="160" w:line="240" w:lineRule="auto"/>
        <w:ind w:left="0" w:right="0" w:firstLine="0"/>
        <w:jc w:val="both"/>
      </w:pPr>
      <w:bookmarkStart w:id="664" w:name="bookmark664"/>
      <w:bookmarkStart w:id="665" w:name="bookmark665"/>
      <w:bookmarkStart w:id="666" w:name="bookmark666"/>
      <w:bookmarkStart w:id="667" w:name="bookmark667"/>
      <w:r>
        <w:rPr>
          <w:color w:val="000000"/>
          <w:spacing w:val="0"/>
          <w:w w:val="100"/>
          <w:position w:val="0"/>
          <w:sz w:val="24"/>
          <w:szCs w:val="24"/>
        </w:rPr>
        <w:t>四</w:t>
      </w:r>
      <w:bookmarkEnd w:id="666"/>
      <w:r>
        <w:rPr>
          <w:color w:val="000000"/>
          <w:spacing w:val="0"/>
          <w:w w:val="100"/>
          <w:position w:val="0"/>
          <w:sz w:val="24"/>
          <w:szCs w:val="24"/>
        </w:rPr>
        <w:t>、董事、监事、高级管理人员报酬情况</w:t>
      </w:r>
      <w:bookmarkEnd w:id="664"/>
      <w:bookmarkEnd w:id="665"/>
      <w:bookmarkEnd w:id="667"/>
    </w:p>
    <w:p>
      <w:pPr>
        <w:pStyle w:val="Style41"/>
        <w:keepNext w:val="0"/>
        <w:keepLines w:val="0"/>
        <w:widowControl w:val="0"/>
        <w:shd w:val="clear" w:color="auto" w:fill="auto"/>
        <w:bidi w:val="0"/>
        <w:spacing w:before="0" w:after="0" w:line="470" w:lineRule="exact"/>
        <w:ind w:left="0" w:right="0" w:firstLine="0"/>
        <w:jc w:val="both"/>
      </w:pPr>
      <w:r>
        <w:rPr>
          <w:b/>
          <w:bCs/>
          <w:color w:val="000000"/>
          <w:spacing w:val="0"/>
          <w:w w:val="100"/>
          <w:position w:val="0"/>
        </w:rPr>
        <w:t>董事、监事、高级管理人员报酬的决策程序、确定依据、实际支付情况</w:t>
      </w:r>
    </w:p>
    <w:p>
      <w:pPr>
        <w:pStyle w:val="Style41"/>
        <w:keepNext w:val="0"/>
        <w:keepLines w:val="0"/>
        <w:widowControl w:val="0"/>
        <w:shd w:val="clear" w:color="auto" w:fill="auto"/>
        <w:bidi w:val="0"/>
        <w:spacing w:before="0" w:after="200" w:line="470" w:lineRule="exact"/>
        <w:ind w:left="0" w:right="0"/>
        <w:jc w:val="both"/>
        <w:sectPr>
          <w:headerReference w:type="default" r:id="rId231"/>
          <w:footerReference w:type="default" r:id="rId232"/>
          <w:headerReference w:type="even" r:id="rId233"/>
          <w:footerReference w:type="even" r:id="rId234"/>
          <w:headerReference w:type="first" r:id="rId235"/>
          <w:footerReference w:type="first" r:id="rId236"/>
          <w:footnotePr>
            <w:pos w:val="pageBottom"/>
            <w:numFmt w:val="decimal"/>
            <w:numRestart w:val="continuous"/>
          </w:footnotePr>
          <w:pgSz w:w="11904" w:h="17375"/>
          <w:pgMar w:top="1670" w:right="1043" w:bottom="1751" w:left="1073" w:header="0" w:footer="3" w:gutter="0"/>
          <w:cols w:space="720"/>
          <w:noEndnote/>
          <w:titlePg/>
          <w:rtlGutter w:val="0"/>
          <w:docGrid w:linePitch="360"/>
        </w:sectPr>
      </w:pPr>
      <w:bookmarkStart w:id="668" w:name="bookmark668"/>
      <w:r>
        <w:rPr>
          <w:rFonts w:ascii="Times New Roman" w:eastAsia="Times New Roman" w:hAnsi="Times New Roman" w:cs="Times New Roman"/>
          <w:color w:val="000000"/>
          <w:spacing w:val="0"/>
          <w:w w:val="100"/>
          <w:position w:val="0"/>
          <w:sz w:val="18"/>
          <w:szCs w:val="18"/>
        </w:rPr>
        <w:t>1</w:t>
      </w:r>
      <w:bookmarkEnd w:id="668"/>
      <w:r>
        <w:rPr>
          <w:color w:val="000000"/>
          <w:spacing w:val="0"/>
          <w:w w:val="100"/>
          <w:position w:val="0"/>
        </w:rPr>
        <w:t>、董事、监事、高级管理人员报酬的决策程序：公司董事、监事报酬由股东大会决定，高级管理人员报酬由董事会决 定；在公司担任工作职务的董事、监事、高级管理人员报酬由公司支付，非独立董事、监事不另外支付津贴。独立董事津贴 根据股东大会所通过的决议来进行支付。</w:t>
      </w:r>
    </w:p>
    <w:p>
      <w:pPr>
        <w:pStyle w:val="Style41"/>
        <w:keepNext w:val="0"/>
        <w:keepLines w:val="0"/>
        <w:widowControl w:val="0"/>
        <w:shd w:val="clear" w:color="auto" w:fill="auto"/>
        <w:tabs>
          <w:tab w:pos="704" w:val="left"/>
        </w:tabs>
        <w:bidi w:val="0"/>
        <w:spacing w:before="0" w:after="0" w:line="475" w:lineRule="exact"/>
        <w:ind w:left="0" w:right="0"/>
        <w:jc w:val="left"/>
      </w:pPr>
      <w:bookmarkStart w:id="669" w:name="bookmark669"/>
      <w:r>
        <w:rPr>
          <w:rFonts w:ascii="Times New Roman" w:eastAsia="Times New Roman" w:hAnsi="Times New Roman" w:cs="Times New Roman"/>
          <w:color w:val="000000"/>
          <w:spacing w:val="0"/>
          <w:w w:val="100"/>
          <w:position w:val="0"/>
          <w:sz w:val="18"/>
          <w:szCs w:val="18"/>
        </w:rPr>
        <w:t>2</w:t>
      </w:r>
      <w:bookmarkEnd w:id="669"/>
      <w:r>
        <w:rPr>
          <w:color w:val="000000"/>
          <w:spacing w:val="0"/>
          <w:w w:val="100"/>
          <w:position w:val="0"/>
        </w:rPr>
        <w:t>、</w:t>
        <w:tab/>
        <w:t>董事、监事、高级管理人员报酬的确定依据：依据公司盈利水平及各董事、监事、高级管理人员的分工及履职情况 确定。</w:t>
      </w:r>
    </w:p>
    <w:p>
      <w:pPr>
        <w:pStyle w:val="Style41"/>
        <w:keepNext w:val="0"/>
        <w:keepLines w:val="0"/>
        <w:widowControl w:val="0"/>
        <w:shd w:val="clear" w:color="auto" w:fill="auto"/>
        <w:tabs>
          <w:tab w:pos="709" w:val="left"/>
        </w:tabs>
        <w:bidi w:val="0"/>
        <w:spacing w:before="0" w:after="0" w:line="475" w:lineRule="exact"/>
        <w:ind w:left="0" w:right="0"/>
        <w:jc w:val="left"/>
      </w:pPr>
      <w:bookmarkStart w:id="670" w:name="bookmark670"/>
      <w:r>
        <w:rPr>
          <w:rFonts w:ascii="Times New Roman" w:eastAsia="Times New Roman" w:hAnsi="Times New Roman" w:cs="Times New Roman"/>
          <w:color w:val="000000"/>
          <w:spacing w:val="0"/>
          <w:w w:val="100"/>
          <w:position w:val="0"/>
          <w:sz w:val="18"/>
          <w:szCs w:val="18"/>
        </w:rPr>
        <w:t>3</w:t>
      </w:r>
      <w:bookmarkEnd w:id="670"/>
      <w:r>
        <w:rPr>
          <w:color w:val="000000"/>
          <w:spacing w:val="0"/>
          <w:w w:val="100"/>
          <w:position w:val="0"/>
        </w:rPr>
        <w:t>、</w:t>
        <w:tab/>
        <w:t>董事、监事、高级管理人员报酬的实际支付情况：公司严格按照董事、监事、高级管理人员薪酬的决策程序与确定 依据支付薪酬。</w:t>
      </w:r>
    </w:p>
    <w:p>
      <w:pPr>
        <w:pStyle w:val="Style41"/>
        <w:keepNext w:val="0"/>
        <w:keepLines w:val="0"/>
        <w:widowControl w:val="0"/>
        <w:shd w:val="clear" w:color="auto" w:fill="auto"/>
        <w:bidi w:val="0"/>
        <w:spacing w:before="0" w:after="200" w:line="475" w:lineRule="exact"/>
        <w:ind w:left="0" w:right="0" w:firstLine="0"/>
        <w:jc w:val="left"/>
      </w:pPr>
      <w:r>
        <w:rPr>
          <w:b/>
          <w:bCs/>
          <w:color w:val="000000"/>
          <w:spacing w:val="0"/>
          <w:w w:val="100"/>
          <w:position w:val="0"/>
        </w:rPr>
        <w:t>公司报告期内董事、监事和高级管理人员报酬情况</w:t>
      </w:r>
    </w:p>
    <w:p>
      <w:pPr>
        <w:pStyle w:val="Style20"/>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单位：万元</w:t>
      </w:r>
    </w:p>
    <w:tbl>
      <w:tblPr>
        <w:tblOverlap w:val="never"/>
        <w:jc w:val="center"/>
        <w:tblLayout w:type="fixed"/>
      </w:tblPr>
      <w:tblGrid>
        <w:gridCol w:w="1392"/>
        <w:gridCol w:w="1618"/>
        <w:gridCol w:w="1152"/>
        <w:gridCol w:w="1387"/>
        <w:gridCol w:w="1382"/>
        <w:gridCol w:w="1382"/>
        <w:gridCol w:w="1397"/>
      </w:tblGrid>
      <w:tr>
        <w:trPr>
          <w:trHeight w:val="720"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500"/>
              <w:jc w:val="left"/>
            </w:pPr>
            <w:r>
              <w:rPr>
                <w:color w:val="000000"/>
                <w:spacing w:val="0"/>
                <w:w w:val="100"/>
                <w:position w:val="0"/>
              </w:rPr>
              <w:t>姓名</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职务</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性别</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年龄</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任职状态</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22" w:lineRule="exact"/>
              <w:ind w:left="0" w:right="0" w:firstLine="0"/>
              <w:jc w:val="center"/>
            </w:pPr>
            <w:r>
              <w:rPr>
                <w:color w:val="000000"/>
                <w:spacing w:val="0"/>
                <w:w w:val="100"/>
                <w:position w:val="0"/>
              </w:rPr>
              <w:t>从公司获得的税 前报酬总额</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是否在公司关联 方获取报酬</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left"/>
            </w:pPr>
            <w:r>
              <w:rPr>
                <w:color w:val="000000"/>
                <w:spacing w:val="0"/>
                <w:w w:val="100"/>
                <w:position w:val="0"/>
              </w:rPr>
              <w:t>王宁</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59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left"/>
            </w:pPr>
            <w:r>
              <w:rPr>
                <w:color w:val="000000"/>
                <w:spacing w:val="0"/>
                <w:w w:val="100"/>
                <w:position w:val="0"/>
              </w:rPr>
              <w:t>现任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108.66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pPr>
            <w:r>
              <w:rPr>
                <w:color w:val="000000"/>
                <w:spacing w:val="0"/>
                <w:w w:val="100"/>
                <w:position w:val="0"/>
              </w:rPr>
              <w:t>否</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left"/>
            </w:pPr>
            <w:r>
              <w:rPr>
                <w:color w:val="000000"/>
                <w:spacing w:val="0"/>
                <w:w w:val="100"/>
                <w:position w:val="0"/>
              </w:rPr>
              <w:t>李力</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副董事长</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50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left"/>
            </w:pPr>
            <w:r>
              <w:rPr>
                <w:color w:val="000000"/>
                <w:spacing w:val="0"/>
                <w:w w:val="100"/>
                <w:position w:val="0"/>
              </w:rPr>
              <w:t>现任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108.66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pPr>
            <w:r>
              <w:rPr>
                <w:color w:val="000000"/>
                <w:spacing w:val="0"/>
                <w:w w:val="100"/>
                <w:position w:val="0"/>
              </w:rPr>
              <w:t>否</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left"/>
            </w:pPr>
            <w:r>
              <w:rPr>
                <w:color w:val="000000"/>
                <w:spacing w:val="0"/>
                <w:w w:val="100"/>
                <w:position w:val="0"/>
              </w:rPr>
              <w:t>冒大卫</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董事长、总裁</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40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left"/>
            </w:pPr>
            <w:r>
              <w:rPr>
                <w:color w:val="000000"/>
                <w:spacing w:val="0"/>
                <w:w w:val="100"/>
                <w:position w:val="0"/>
              </w:rPr>
              <w:t>现任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201.82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pPr>
            <w:r>
              <w:rPr>
                <w:color w:val="000000"/>
                <w:spacing w:val="0"/>
                <w:w w:val="100"/>
                <w:position w:val="0"/>
              </w:rPr>
              <w:t>否</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left"/>
            </w:pPr>
            <w:r>
              <w:rPr>
                <w:color w:val="000000"/>
                <w:spacing w:val="0"/>
                <w:w w:val="100"/>
                <w:position w:val="0"/>
              </w:rPr>
              <w:t>翟一兵</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董事、首席运营官</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57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left"/>
            </w:pPr>
            <w:r>
              <w:rPr>
                <w:color w:val="000000"/>
                <w:spacing w:val="0"/>
                <w:w w:val="100"/>
                <w:position w:val="0"/>
              </w:rPr>
              <w:t>现任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60"/>
              <w:jc w:val="both"/>
              <w:rPr>
                <w:sz w:val="18"/>
                <w:szCs w:val="18"/>
              </w:rPr>
            </w:pPr>
            <w:r>
              <w:rPr>
                <w:rFonts w:ascii="Times New Roman" w:eastAsia="Times New Roman" w:hAnsi="Times New Roman" w:cs="Times New Roman"/>
                <w:color w:val="000000"/>
                <w:spacing w:val="0"/>
                <w:w w:val="100"/>
                <w:position w:val="0"/>
                <w:sz w:val="18"/>
                <w:szCs w:val="18"/>
              </w:rPr>
              <w:t>96.54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pPr>
            <w:r>
              <w:rPr>
                <w:color w:val="000000"/>
                <w:spacing w:val="0"/>
                <w:w w:val="100"/>
                <w:position w:val="0"/>
              </w:rPr>
              <w:t>否</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left"/>
            </w:pPr>
            <w:r>
              <w:rPr>
                <w:color w:val="000000"/>
                <w:spacing w:val="0"/>
                <w:w w:val="100"/>
                <w:position w:val="0"/>
              </w:rPr>
              <w:t>易律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39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left"/>
            </w:pPr>
            <w:r>
              <w:rPr>
                <w:color w:val="000000"/>
                <w:spacing w:val="0"/>
                <w:w w:val="100"/>
                <w:position w:val="0"/>
              </w:rPr>
              <w:t>现任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20"/>
              <w:jc w:val="both"/>
              <w:rPr>
                <w:sz w:val="18"/>
                <w:szCs w:val="18"/>
              </w:rPr>
            </w:pPr>
            <w:r>
              <w:rPr>
                <w:rFonts w:ascii="Times New Roman" w:eastAsia="Times New Roman" w:hAnsi="Times New Roman" w:cs="Times New Roman"/>
                <w:color w:val="000000"/>
                <w:spacing w:val="0"/>
                <w:w w:val="100"/>
                <w:position w:val="0"/>
                <w:sz w:val="18"/>
                <w:szCs w:val="18"/>
              </w:rPr>
              <w:t>1,328.98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pPr>
            <w:r>
              <w:rPr>
                <w:color w:val="000000"/>
                <w:spacing w:val="0"/>
                <w:w w:val="100"/>
                <w:position w:val="0"/>
              </w:rPr>
              <w:t>否</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left"/>
            </w:pPr>
            <w:r>
              <w:rPr>
                <w:color w:val="000000"/>
                <w:spacing w:val="0"/>
                <w:w w:val="100"/>
                <w:position w:val="0"/>
              </w:rPr>
              <w:t>刘铁民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独立董事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71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left"/>
            </w:pPr>
            <w:r>
              <w:rPr>
                <w:color w:val="000000"/>
                <w:spacing w:val="0"/>
                <w:w w:val="100"/>
                <w:position w:val="0"/>
              </w:rPr>
              <w:t>现任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60"/>
              <w:jc w:val="both"/>
              <w:rPr>
                <w:sz w:val="18"/>
                <w:szCs w:val="18"/>
              </w:rPr>
            </w:pPr>
            <w:r>
              <w:rPr>
                <w:rFonts w:ascii="Times New Roman" w:eastAsia="Times New Roman" w:hAnsi="Times New Roman" w:cs="Times New Roman"/>
                <w:color w:val="000000"/>
                <w:spacing w:val="0"/>
                <w:w w:val="100"/>
                <w:position w:val="0"/>
                <w:sz w:val="18"/>
                <w:szCs w:val="18"/>
              </w:rPr>
              <w:t>12.00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pPr>
            <w:r>
              <w:rPr>
                <w:color w:val="000000"/>
                <w:spacing w:val="0"/>
                <w:w w:val="100"/>
                <w:position w:val="0"/>
              </w:rPr>
              <w:t>否</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left"/>
            </w:pPr>
            <w:r>
              <w:rPr>
                <w:color w:val="000000"/>
                <w:spacing w:val="0"/>
                <w:w w:val="100"/>
                <w:position w:val="0"/>
              </w:rPr>
              <w:t>王雪春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独立董事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55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left"/>
            </w:pPr>
            <w:r>
              <w:rPr>
                <w:color w:val="000000"/>
                <w:spacing w:val="0"/>
                <w:w w:val="100"/>
                <w:position w:val="0"/>
              </w:rPr>
              <w:t>现任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60"/>
              <w:jc w:val="both"/>
              <w:rPr>
                <w:sz w:val="18"/>
                <w:szCs w:val="18"/>
              </w:rPr>
            </w:pPr>
            <w:r>
              <w:rPr>
                <w:rFonts w:ascii="Times New Roman" w:eastAsia="Times New Roman" w:hAnsi="Times New Roman" w:cs="Times New Roman"/>
                <w:color w:val="000000"/>
                <w:spacing w:val="0"/>
                <w:w w:val="100"/>
                <w:position w:val="0"/>
                <w:sz w:val="18"/>
                <w:szCs w:val="18"/>
              </w:rPr>
              <w:t>12.00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pPr>
            <w:r>
              <w:rPr>
                <w:color w:val="000000"/>
                <w:spacing w:val="0"/>
                <w:w w:val="100"/>
                <w:position w:val="0"/>
              </w:rPr>
              <w:t>否</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left"/>
            </w:pPr>
            <w:r>
              <w:rPr>
                <w:color w:val="000000"/>
                <w:spacing w:val="0"/>
                <w:w w:val="100"/>
                <w:position w:val="0"/>
              </w:rPr>
              <w:t>沈阳</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独立董事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46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现任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60"/>
              <w:jc w:val="both"/>
              <w:rPr>
                <w:sz w:val="18"/>
                <w:szCs w:val="18"/>
              </w:rPr>
            </w:pPr>
            <w:r>
              <w:rPr>
                <w:rFonts w:ascii="Times New Roman" w:eastAsia="Times New Roman" w:hAnsi="Times New Roman" w:cs="Times New Roman"/>
                <w:color w:val="000000"/>
                <w:spacing w:val="0"/>
                <w:w w:val="100"/>
                <w:position w:val="0"/>
                <w:sz w:val="18"/>
                <w:szCs w:val="18"/>
              </w:rPr>
              <w:t>12.00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pPr>
            <w:r>
              <w:rPr>
                <w:color w:val="000000"/>
                <w:spacing w:val="0"/>
                <w:w w:val="100"/>
                <w:position w:val="0"/>
              </w:rPr>
              <w:t>否</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left"/>
            </w:pPr>
            <w:r>
              <w:rPr>
                <w:color w:val="000000"/>
                <w:spacing w:val="0"/>
                <w:w w:val="100"/>
                <w:position w:val="0"/>
              </w:rPr>
              <w:t>郝岩</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监事会主席</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女</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40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现任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60"/>
              <w:jc w:val="both"/>
              <w:rPr>
                <w:sz w:val="18"/>
                <w:szCs w:val="18"/>
              </w:rPr>
            </w:pPr>
            <w:r>
              <w:rPr>
                <w:rFonts w:ascii="Times New Roman" w:eastAsia="Times New Roman" w:hAnsi="Times New Roman" w:cs="Times New Roman"/>
                <w:color w:val="000000"/>
                <w:spacing w:val="0"/>
                <w:w w:val="100"/>
                <w:position w:val="0"/>
                <w:sz w:val="18"/>
                <w:szCs w:val="18"/>
              </w:rPr>
              <w:t>37.98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pPr>
            <w:r>
              <w:rPr>
                <w:color w:val="000000"/>
                <w:spacing w:val="0"/>
                <w:w w:val="100"/>
                <w:position w:val="0"/>
              </w:rPr>
              <w:t>否</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left"/>
            </w:pPr>
            <w:r>
              <w:rPr>
                <w:color w:val="000000"/>
                <w:spacing w:val="0"/>
                <w:w w:val="100"/>
                <w:position w:val="0"/>
              </w:rPr>
              <w:t>丁彦超</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监事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52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现任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60"/>
              <w:jc w:val="both"/>
              <w:rPr>
                <w:sz w:val="18"/>
                <w:szCs w:val="18"/>
              </w:rPr>
            </w:pPr>
            <w:r>
              <w:rPr>
                <w:rFonts w:ascii="Times New Roman" w:eastAsia="Times New Roman" w:hAnsi="Times New Roman" w:cs="Times New Roman"/>
                <w:color w:val="000000"/>
                <w:spacing w:val="0"/>
                <w:w w:val="100"/>
                <w:position w:val="0"/>
                <w:sz w:val="18"/>
                <w:szCs w:val="18"/>
              </w:rPr>
              <w:t>41.85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pPr>
            <w:r>
              <w:rPr>
                <w:color w:val="000000"/>
                <w:spacing w:val="0"/>
                <w:w w:val="100"/>
                <w:position w:val="0"/>
              </w:rPr>
              <w:t>否</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left"/>
            </w:pPr>
            <w:r>
              <w:rPr>
                <w:color w:val="000000"/>
                <w:spacing w:val="0"/>
                <w:w w:val="100"/>
                <w:position w:val="0"/>
              </w:rPr>
              <w:t>陈伟</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职工监事</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54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现任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60"/>
              <w:jc w:val="both"/>
              <w:rPr>
                <w:sz w:val="18"/>
                <w:szCs w:val="18"/>
              </w:rPr>
            </w:pPr>
            <w:r>
              <w:rPr>
                <w:rFonts w:ascii="Times New Roman" w:eastAsia="Times New Roman" w:hAnsi="Times New Roman" w:cs="Times New Roman"/>
                <w:color w:val="000000"/>
                <w:spacing w:val="0"/>
                <w:w w:val="100"/>
                <w:position w:val="0"/>
                <w:sz w:val="18"/>
                <w:szCs w:val="18"/>
              </w:rPr>
              <w:t>50.85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pPr>
            <w:r>
              <w:rPr>
                <w:color w:val="000000"/>
                <w:spacing w:val="0"/>
                <w:w w:val="100"/>
                <w:position w:val="0"/>
              </w:rPr>
              <w:t>否</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left"/>
            </w:pPr>
            <w:r>
              <w:rPr>
                <w:color w:val="000000"/>
                <w:spacing w:val="0"/>
                <w:w w:val="100"/>
                <w:position w:val="0"/>
              </w:rPr>
              <w:t>高峰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副总裁</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45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现任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60"/>
              <w:jc w:val="both"/>
              <w:rPr>
                <w:sz w:val="18"/>
                <w:szCs w:val="18"/>
              </w:rPr>
            </w:pPr>
            <w:r>
              <w:rPr>
                <w:rFonts w:ascii="Times New Roman" w:eastAsia="Times New Roman" w:hAnsi="Times New Roman" w:cs="Times New Roman"/>
                <w:color w:val="000000"/>
                <w:spacing w:val="0"/>
                <w:w w:val="100"/>
                <w:position w:val="0"/>
                <w:sz w:val="18"/>
                <w:szCs w:val="18"/>
              </w:rPr>
              <w:t>78.67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pPr>
            <w:r>
              <w:rPr>
                <w:color w:val="000000"/>
                <w:spacing w:val="0"/>
                <w:w w:val="100"/>
                <w:position w:val="0"/>
              </w:rPr>
              <w:t>否</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left"/>
            </w:pPr>
            <w:r>
              <w:rPr>
                <w:color w:val="000000"/>
                <w:spacing w:val="0"/>
                <w:w w:val="100"/>
                <w:position w:val="0"/>
              </w:rPr>
              <w:t>董越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副总裁</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50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现任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60"/>
              <w:jc w:val="both"/>
              <w:rPr>
                <w:sz w:val="18"/>
                <w:szCs w:val="18"/>
              </w:rPr>
            </w:pPr>
            <w:r>
              <w:rPr>
                <w:rFonts w:ascii="Times New Roman" w:eastAsia="Times New Roman" w:hAnsi="Times New Roman" w:cs="Times New Roman"/>
                <w:color w:val="000000"/>
                <w:spacing w:val="0"/>
                <w:w w:val="100"/>
                <w:position w:val="0"/>
                <w:sz w:val="18"/>
                <w:szCs w:val="18"/>
              </w:rPr>
              <w:t>99.99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pPr>
            <w:r>
              <w:rPr>
                <w:color w:val="000000"/>
                <w:spacing w:val="0"/>
                <w:w w:val="100"/>
                <w:position w:val="0"/>
              </w:rPr>
              <w:t>否</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left"/>
            </w:pPr>
            <w:r>
              <w:rPr>
                <w:color w:val="000000"/>
                <w:spacing w:val="0"/>
                <w:w w:val="100"/>
                <w:position w:val="0"/>
              </w:rPr>
              <w:t>刘洪宁</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副总裁</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44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现任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60"/>
              <w:jc w:val="both"/>
              <w:rPr>
                <w:sz w:val="18"/>
                <w:szCs w:val="18"/>
              </w:rPr>
            </w:pPr>
            <w:r>
              <w:rPr>
                <w:rFonts w:ascii="Times New Roman" w:eastAsia="Times New Roman" w:hAnsi="Times New Roman" w:cs="Times New Roman"/>
                <w:color w:val="000000"/>
                <w:spacing w:val="0"/>
                <w:w w:val="100"/>
                <w:position w:val="0"/>
                <w:sz w:val="18"/>
                <w:szCs w:val="18"/>
              </w:rPr>
              <w:t>50.72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pPr>
            <w:r>
              <w:rPr>
                <w:color w:val="000000"/>
                <w:spacing w:val="0"/>
                <w:w w:val="100"/>
                <w:position w:val="0"/>
              </w:rPr>
              <w:t>否</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left"/>
            </w:pPr>
            <w:r>
              <w:rPr>
                <w:color w:val="000000"/>
                <w:spacing w:val="0"/>
                <w:w w:val="100"/>
                <w:position w:val="0"/>
              </w:rPr>
              <w:t>胡加明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副总裁、董事会秘书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38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现任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115.74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pPr>
            <w:r>
              <w:rPr>
                <w:color w:val="000000"/>
                <w:spacing w:val="0"/>
                <w:w w:val="100"/>
                <w:position w:val="0"/>
              </w:rPr>
              <w:t>否</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left"/>
            </w:pPr>
            <w:r>
              <w:rPr>
                <w:color w:val="000000"/>
                <w:spacing w:val="0"/>
                <w:w w:val="100"/>
                <w:position w:val="0"/>
              </w:rPr>
              <w:t>艾东</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副总裁</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51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现任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60"/>
              <w:jc w:val="both"/>
              <w:rPr>
                <w:sz w:val="18"/>
                <w:szCs w:val="18"/>
              </w:rPr>
            </w:pPr>
            <w:r>
              <w:rPr>
                <w:rFonts w:ascii="Times New Roman" w:eastAsia="Times New Roman" w:hAnsi="Times New Roman" w:cs="Times New Roman"/>
                <w:color w:val="000000"/>
                <w:spacing w:val="0"/>
                <w:w w:val="100"/>
                <w:position w:val="0"/>
                <w:sz w:val="18"/>
                <w:szCs w:val="18"/>
              </w:rPr>
              <w:t>81.83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pPr>
            <w:r>
              <w:rPr>
                <w:color w:val="000000"/>
                <w:spacing w:val="0"/>
                <w:w w:val="100"/>
                <w:position w:val="0"/>
              </w:rPr>
              <w:t>否</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left"/>
            </w:pPr>
            <w:r>
              <w:rPr>
                <w:color w:val="000000"/>
                <w:spacing w:val="0"/>
                <w:w w:val="100"/>
                <w:position w:val="0"/>
              </w:rPr>
              <w:t>林红</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副总裁</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女</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55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现任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60"/>
              <w:jc w:val="both"/>
              <w:rPr>
                <w:sz w:val="18"/>
                <w:szCs w:val="18"/>
              </w:rPr>
            </w:pPr>
            <w:r>
              <w:rPr>
                <w:rFonts w:ascii="Times New Roman" w:eastAsia="Times New Roman" w:hAnsi="Times New Roman" w:cs="Times New Roman"/>
                <w:color w:val="000000"/>
                <w:spacing w:val="0"/>
                <w:w w:val="100"/>
                <w:position w:val="0"/>
                <w:sz w:val="18"/>
                <w:szCs w:val="18"/>
              </w:rPr>
              <w:t>52.54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pPr>
            <w:r>
              <w:rPr>
                <w:color w:val="000000"/>
                <w:spacing w:val="0"/>
                <w:w w:val="100"/>
                <w:position w:val="0"/>
              </w:rPr>
              <w:t>否</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left"/>
            </w:pPr>
            <w:r>
              <w:rPr>
                <w:color w:val="000000"/>
                <w:spacing w:val="0"/>
                <w:w w:val="100"/>
                <w:position w:val="0"/>
              </w:rPr>
              <w:t>戈爱晶</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副总裁、财务总监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女</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41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现任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60"/>
              <w:jc w:val="both"/>
              <w:rPr>
                <w:sz w:val="18"/>
                <w:szCs w:val="18"/>
              </w:rPr>
            </w:pPr>
            <w:r>
              <w:rPr>
                <w:rFonts w:ascii="Times New Roman" w:eastAsia="Times New Roman" w:hAnsi="Times New Roman" w:cs="Times New Roman"/>
                <w:color w:val="000000"/>
                <w:spacing w:val="0"/>
                <w:w w:val="100"/>
                <w:position w:val="0"/>
                <w:sz w:val="18"/>
                <w:szCs w:val="18"/>
              </w:rPr>
              <w:t>78.34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pPr>
            <w:r>
              <w:rPr>
                <w:color w:val="000000"/>
                <w:spacing w:val="0"/>
                <w:w w:val="100"/>
                <w:position w:val="0"/>
              </w:rPr>
              <w:t>否</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left"/>
            </w:pPr>
            <w:r>
              <w:rPr>
                <w:color w:val="000000"/>
                <w:spacing w:val="0"/>
                <w:w w:val="100"/>
                <w:position w:val="0"/>
              </w:rPr>
              <w:t>梁德兴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副总裁</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46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离任</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60"/>
              <w:jc w:val="both"/>
              <w:rPr>
                <w:sz w:val="18"/>
                <w:szCs w:val="18"/>
              </w:rPr>
            </w:pPr>
            <w:r>
              <w:rPr>
                <w:rFonts w:ascii="Times New Roman" w:eastAsia="Times New Roman" w:hAnsi="Times New Roman" w:cs="Times New Roman"/>
                <w:color w:val="000000"/>
                <w:spacing w:val="0"/>
                <w:w w:val="100"/>
                <w:position w:val="0"/>
                <w:sz w:val="18"/>
                <w:szCs w:val="18"/>
              </w:rPr>
              <w:t>23.89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pPr>
            <w:r>
              <w:rPr>
                <w:color w:val="000000"/>
                <w:spacing w:val="0"/>
                <w:w w:val="100"/>
                <w:position w:val="0"/>
              </w:rPr>
              <w:t>否</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500"/>
              <w:jc w:val="left"/>
            </w:pPr>
            <w:r>
              <w:rPr>
                <w:color w:val="000000"/>
                <w:spacing w:val="0"/>
                <w:w w:val="100"/>
                <w:position w:val="0"/>
              </w:rPr>
              <w:t>合计</w:t>
            </w:r>
          </w:p>
        </w:tc>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20"/>
              <w:jc w:val="both"/>
              <w:rPr>
                <w:sz w:val="18"/>
                <w:szCs w:val="18"/>
              </w:rPr>
            </w:pPr>
            <w:r>
              <w:rPr>
                <w:rFonts w:ascii="Times New Roman" w:eastAsia="Times New Roman" w:hAnsi="Times New Roman" w:cs="Times New Roman"/>
                <w:color w:val="000000"/>
                <w:spacing w:val="0"/>
                <w:w w:val="100"/>
                <w:position w:val="0"/>
                <w:sz w:val="18"/>
                <w:szCs w:val="18"/>
              </w:rPr>
              <w:t>2,593.06</w:t>
            </w:r>
          </w:p>
        </w:tc>
        <w:tc>
          <w:tcPr>
            <w:tcBorders>
              <w:top w:val="single" w:sz="4"/>
              <w:left w:val="single" w:sz="4"/>
              <w:bottom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r>
    </w:tbl>
    <w:p>
      <w:pPr>
        <w:widowControl w:val="0"/>
        <w:spacing w:after="139" w:line="1" w:lineRule="exact"/>
      </w:pPr>
    </w:p>
    <w:p>
      <w:pPr>
        <w:pStyle w:val="Style41"/>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rPr>
        <w:t>公司董事、高级管理人员报告期内被授予的股权激励情况</w:t>
      </w:r>
    </w:p>
    <w:p>
      <w:pPr>
        <w:pStyle w:val="Style41"/>
        <w:keepNext w:val="0"/>
        <w:keepLines w:val="0"/>
        <w:widowControl w:val="0"/>
        <w:shd w:val="clear" w:color="auto" w:fill="auto"/>
        <w:bidi w:val="0"/>
        <w:spacing w:before="0" w:after="20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b/>
          <w:bCs/>
          <w:color w:val="000000"/>
          <w:spacing w:val="0"/>
          <w:w w:val="100"/>
          <w:position w:val="0"/>
          <w:sz w:val="19"/>
          <w:szCs w:val="19"/>
        </w:rPr>
        <w:t>寸</w:t>
      </w:r>
      <w:r>
        <w:rPr>
          <w:b/>
          <w:bCs/>
          <w:color w:val="000000"/>
          <w:spacing w:val="0"/>
          <w:w w:val="100"/>
          <w:position w:val="0"/>
        </w:rPr>
        <w:t>不适用</w:t>
      </w:r>
      <w:r>
        <w:br w:type="page"/>
      </w:r>
    </w:p>
    <w:p>
      <w:pPr>
        <w:pStyle w:val="Style39"/>
        <w:keepNext/>
        <w:keepLines/>
        <w:widowControl w:val="0"/>
        <w:shd w:val="clear" w:color="auto" w:fill="auto"/>
        <w:bidi w:val="0"/>
        <w:spacing w:before="0" w:after="360" w:line="240" w:lineRule="auto"/>
        <w:ind w:left="0" w:right="0" w:firstLine="0"/>
        <w:jc w:val="left"/>
      </w:pPr>
      <w:bookmarkStart w:id="671" w:name="bookmark671"/>
      <w:bookmarkStart w:id="672" w:name="bookmark672"/>
      <w:bookmarkStart w:id="673" w:name="bookmark673"/>
      <w:bookmarkStart w:id="674" w:name="bookmark674"/>
      <w:r>
        <w:rPr>
          <w:color w:val="000000"/>
          <w:spacing w:val="0"/>
          <w:w w:val="100"/>
          <w:position w:val="0"/>
          <w:sz w:val="24"/>
          <w:szCs w:val="24"/>
        </w:rPr>
        <w:t>五</w:t>
      </w:r>
      <w:bookmarkEnd w:id="673"/>
      <w:r>
        <w:rPr>
          <w:color w:val="000000"/>
          <w:spacing w:val="0"/>
          <w:w w:val="100"/>
          <w:position w:val="0"/>
          <w:sz w:val="24"/>
          <w:szCs w:val="24"/>
        </w:rPr>
        <w:t>、公司员工情况</w:t>
      </w:r>
      <w:bookmarkEnd w:id="671"/>
      <w:bookmarkEnd w:id="672"/>
      <w:bookmarkEnd w:id="674"/>
    </w:p>
    <w:p>
      <w:pPr>
        <w:pStyle w:val="Style47"/>
        <w:keepNext/>
        <w:keepLines/>
        <w:widowControl w:val="0"/>
        <w:shd w:val="clear" w:color="auto" w:fill="auto"/>
        <w:bidi w:val="0"/>
        <w:spacing w:before="0" w:after="320" w:line="240" w:lineRule="auto"/>
        <w:ind w:left="0" w:right="0" w:firstLine="0"/>
        <w:jc w:val="left"/>
      </w:pPr>
      <w:bookmarkStart w:id="675" w:name="bookmark675"/>
      <w:bookmarkStart w:id="676" w:name="bookmark676"/>
      <w:bookmarkStart w:id="677" w:name="bookmark677"/>
      <w:bookmarkStart w:id="678" w:name="bookmark678"/>
      <w:r>
        <w:rPr>
          <w:color w:val="000000"/>
          <w:spacing w:val="0"/>
          <w:w w:val="100"/>
          <w:position w:val="0"/>
        </w:rPr>
        <w:t>1</w:t>
      </w:r>
      <w:bookmarkEnd w:id="677"/>
      <w:r>
        <w:rPr>
          <w:color w:val="000000"/>
          <w:spacing w:val="0"/>
          <w:w w:val="100"/>
          <w:position w:val="0"/>
        </w:rPr>
        <w:t>、员工数量、专业构成及教育程度</w:t>
      </w:r>
      <w:bookmarkEnd w:id="675"/>
      <w:bookmarkEnd w:id="676"/>
      <w:bookmarkEnd w:id="678"/>
    </w:p>
    <w:tbl>
      <w:tblPr>
        <w:tblOverlap w:val="never"/>
        <w:jc w:val="center"/>
        <w:tblLayout w:type="fixed"/>
      </w:tblPr>
      <w:tblGrid>
        <w:gridCol w:w="4858"/>
        <w:gridCol w:w="4853"/>
      </w:tblGrid>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母公司在职员工的数量（人）</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4400" w:right="0" w:firstLine="0"/>
              <w:jc w:val="both"/>
              <w:rPr>
                <w:sz w:val="18"/>
                <w:szCs w:val="18"/>
              </w:rPr>
            </w:pPr>
            <w:r>
              <w:rPr>
                <w:rFonts w:ascii="Times New Roman" w:eastAsia="Times New Roman" w:hAnsi="Times New Roman" w:cs="Times New Roman"/>
                <w:color w:val="000000"/>
                <w:spacing w:val="0"/>
                <w:w w:val="100"/>
                <w:position w:val="0"/>
                <w:sz w:val="18"/>
                <w:szCs w:val="18"/>
              </w:rPr>
              <w:t>1,764</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主要子公司在职员工的数量（人）</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4400" w:right="0" w:firstLine="0"/>
              <w:jc w:val="both"/>
              <w:rPr>
                <w:sz w:val="18"/>
                <w:szCs w:val="18"/>
              </w:rPr>
            </w:pPr>
            <w:r>
              <w:rPr>
                <w:rFonts w:ascii="Times New Roman" w:eastAsia="Times New Roman" w:hAnsi="Times New Roman" w:cs="Times New Roman"/>
                <w:color w:val="000000"/>
                <w:spacing w:val="0"/>
                <w:w w:val="100"/>
                <w:position w:val="0"/>
                <w:sz w:val="18"/>
                <w:szCs w:val="18"/>
              </w:rPr>
              <w:t>1,298</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在职员工的数量合计（人）</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4400" w:right="0" w:firstLine="0"/>
              <w:jc w:val="both"/>
              <w:rPr>
                <w:sz w:val="18"/>
                <w:szCs w:val="18"/>
              </w:rPr>
            </w:pPr>
            <w:r>
              <w:rPr>
                <w:rFonts w:ascii="Times New Roman" w:eastAsia="Times New Roman" w:hAnsi="Times New Roman" w:cs="Times New Roman"/>
                <w:color w:val="000000"/>
                <w:spacing w:val="0"/>
                <w:w w:val="100"/>
                <w:position w:val="0"/>
                <w:sz w:val="18"/>
                <w:szCs w:val="18"/>
              </w:rPr>
              <w:t>3,062</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当期领取薪酬员工总人数（人）</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4400" w:right="0" w:firstLine="0"/>
              <w:jc w:val="both"/>
              <w:rPr>
                <w:sz w:val="18"/>
                <w:szCs w:val="18"/>
              </w:rPr>
            </w:pPr>
            <w:r>
              <w:rPr>
                <w:rFonts w:ascii="Times New Roman" w:eastAsia="Times New Roman" w:hAnsi="Times New Roman" w:cs="Times New Roman"/>
                <w:color w:val="000000"/>
                <w:spacing w:val="0"/>
                <w:w w:val="100"/>
                <w:position w:val="0"/>
                <w:sz w:val="18"/>
                <w:szCs w:val="18"/>
              </w:rPr>
              <w:t>3,062</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母公司及主要子公司需承担费用的离退休职工人数（人）</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403" w:hRule="exact"/>
        </w:trPr>
        <w:tc>
          <w:tcPr>
            <w:gridSpan w:val="2"/>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专业构成</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专业构成类别</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专业构成人数（人）</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生产人员</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40</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销售人员</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4540" w:right="0" w:firstLine="0"/>
              <w:jc w:val="both"/>
              <w:rPr>
                <w:sz w:val="18"/>
                <w:szCs w:val="18"/>
              </w:rPr>
            </w:pPr>
            <w:r>
              <w:rPr>
                <w:rFonts w:ascii="Times New Roman" w:eastAsia="Times New Roman" w:hAnsi="Times New Roman" w:cs="Times New Roman"/>
                <w:color w:val="000000"/>
                <w:spacing w:val="0"/>
                <w:w w:val="100"/>
                <w:position w:val="0"/>
                <w:sz w:val="18"/>
                <w:szCs w:val="18"/>
              </w:rPr>
              <w:t>157</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技术人员</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4400" w:right="0" w:firstLine="0"/>
              <w:jc w:val="both"/>
              <w:rPr>
                <w:sz w:val="18"/>
                <w:szCs w:val="18"/>
              </w:rPr>
            </w:pPr>
            <w:r>
              <w:rPr>
                <w:rFonts w:ascii="Times New Roman" w:eastAsia="Times New Roman" w:hAnsi="Times New Roman" w:cs="Times New Roman"/>
                <w:color w:val="000000"/>
                <w:spacing w:val="0"/>
                <w:w w:val="100"/>
                <w:position w:val="0"/>
                <w:sz w:val="18"/>
                <w:szCs w:val="18"/>
              </w:rPr>
              <w:t>2,295</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财务人员</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53</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行政人员</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4540" w:right="0" w:firstLine="0"/>
              <w:jc w:val="both"/>
              <w:rPr>
                <w:sz w:val="18"/>
                <w:szCs w:val="18"/>
              </w:rPr>
            </w:pPr>
            <w:r>
              <w:rPr>
                <w:rFonts w:ascii="Times New Roman" w:eastAsia="Times New Roman" w:hAnsi="Times New Roman" w:cs="Times New Roman"/>
                <w:color w:val="000000"/>
                <w:spacing w:val="0"/>
                <w:w w:val="100"/>
                <w:position w:val="0"/>
                <w:sz w:val="18"/>
                <w:szCs w:val="18"/>
              </w:rPr>
              <w:t>374</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管理人员</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4540" w:right="0" w:firstLine="0"/>
              <w:jc w:val="both"/>
              <w:rPr>
                <w:sz w:val="18"/>
                <w:szCs w:val="18"/>
              </w:rPr>
            </w:pPr>
            <w:r>
              <w:rPr>
                <w:rFonts w:ascii="Times New Roman" w:eastAsia="Times New Roman" w:hAnsi="Times New Roman" w:cs="Times New Roman"/>
                <w:color w:val="000000"/>
                <w:spacing w:val="0"/>
                <w:w w:val="100"/>
                <w:position w:val="0"/>
                <w:sz w:val="18"/>
                <w:szCs w:val="18"/>
              </w:rPr>
              <w:t>143</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合计</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4400" w:right="0" w:firstLine="0"/>
              <w:jc w:val="both"/>
              <w:rPr>
                <w:sz w:val="18"/>
                <w:szCs w:val="18"/>
              </w:rPr>
            </w:pPr>
            <w:r>
              <w:rPr>
                <w:rFonts w:ascii="Times New Roman" w:eastAsia="Times New Roman" w:hAnsi="Times New Roman" w:cs="Times New Roman"/>
                <w:b/>
                <w:bCs/>
                <w:color w:val="000000"/>
                <w:spacing w:val="0"/>
                <w:w w:val="100"/>
                <w:position w:val="0"/>
                <w:sz w:val="18"/>
                <w:szCs w:val="18"/>
              </w:rPr>
              <w:t>3,062</w:t>
            </w:r>
          </w:p>
        </w:tc>
      </w:tr>
      <w:tr>
        <w:trPr>
          <w:trHeight w:val="403" w:hRule="exact"/>
        </w:trPr>
        <w:tc>
          <w:tcPr>
            <w:gridSpan w:val="2"/>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教育程度</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教育程度类别</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数量（人）</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研究生及以上</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4540" w:right="0" w:firstLine="0"/>
              <w:jc w:val="both"/>
              <w:rPr>
                <w:sz w:val="18"/>
                <w:szCs w:val="18"/>
              </w:rPr>
            </w:pPr>
            <w:r>
              <w:rPr>
                <w:rFonts w:ascii="Times New Roman" w:eastAsia="Times New Roman" w:hAnsi="Times New Roman" w:cs="Times New Roman"/>
                <w:color w:val="000000"/>
                <w:spacing w:val="0"/>
                <w:w w:val="100"/>
                <w:position w:val="0"/>
                <w:sz w:val="18"/>
                <w:szCs w:val="18"/>
              </w:rPr>
              <w:t>196</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大学本科</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4400" w:right="0" w:firstLine="0"/>
              <w:jc w:val="both"/>
              <w:rPr>
                <w:sz w:val="18"/>
                <w:szCs w:val="18"/>
              </w:rPr>
            </w:pPr>
            <w:r>
              <w:rPr>
                <w:rFonts w:ascii="Times New Roman" w:eastAsia="Times New Roman" w:hAnsi="Times New Roman" w:cs="Times New Roman"/>
                <w:color w:val="000000"/>
                <w:spacing w:val="0"/>
                <w:w w:val="100"/>
                <w:position w:val="0"/>
                <w:sz w:val="18"/>
                <w:szCs w:val="18"/>
              </w:rPr>
              <w:t>2,050</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大学专科</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4540" w:right="0" w:firstLine="0"/>
              <w:jc w:val="both"/>
              <w:rPr>
                <w:sz w:val="18"/>
                <w:szCs w:val="18"/>
              </w:rPr>
            </w:pPr>
            <w:r>
              <w:rPr>
                <w:rFonts w:ascii="Times New Roman" w:eastAsia="Times New Roman" w:hAnsi="Times New Roman" w:cs="Times New Roman"/>
                <w:color w:val="000000"/>
                <w:spacing w:val="0"/>
                <w:w w:val="100"/>
                <w:position w:val="0"/>
                <w:sz w:val="18"/>
                <w:szCs w:val="18"/>
              </w:rPr>
              <w:t>674</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大专以下</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4540" w:right="0" w:firstLine="0"/>
              <w:jc w:val="both"/>
              <w:rPr>
                <w:sz w:val="18"/>
                <w:szCs w:val="18"/>
              </w:rPr>
            </w:pPr>
            <w:r>
              <w:rPr>
                <w:rFonts w:ascii="Times New Roman" w:eastAsia="Times New Roman" w:hAnsi="Times New Roman" w:cs="Times New Roman"/>
                <w:color w:val="000000"/>
                <w:spacing w:val="0"/>
                <w:w w:val="100"/>
                <w:position w:val="0"/>
                <w:sz w:val="18"/>
                <w:szCs w:val="18"/>
              </w:rPr>
              <w:t>142</w:t>
            </w:r>
          </w:p>
        </w:tc>
      </w:tr>
      <w:tr>
        <w:trPr>
          <w:trHeight w:val="408"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合计</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4400" w:right="0" w:firstLine="0"/>
              <w:jc w:val="both"/>
              <w:rPr>
                <w:sz w:val="18"/>
                <w:szCs w:val="18"/>
              </w:rPr>
            </w:pPr>
            <w:r>
              <w:rPr>
                <w:rFonts w:ascii="Times New Roman" w:eastAsia="Times New Roman" w:hAnsi="Times New Roman" w:cs="Times New Roman"/>
                <w:b/>
                <w:bCs/>
                <w:color w:val="000000"/>
                <w:spacing w:val="0"/>
                <w:w w:val="100"/>
                <w:position w:val="0"/>
                <w:sz w:val="18"/>
                <w:szCs w:val="18"/>
              </w:rPr>
              <w:t>3,062</w:t>
            </w:r>
          </w:p>
        </w:tc>
      </w:tr>
    </w:tbl>
    <w:p>
      <w:pPr>
        <w:widowControl w:val="0"/>
        <w:spacing w:after="319" w:line="1" w:lineRule="exact"/>
      </w:pPr>
    </w:p>
    <w:p>
      <w:pPr>
        <w:pStyle w:val="Style47"/>
        <w:keepNext/>
        <w:keepLines/>
        <w:widowControl w:val="0"/>
        <w:shd w:val="clear" w:color="auto" w:fill="auto"/>
        <w:bidi w:val="0"/>
        <w:spacing w:before="0" w:after="220" w:line="240" w:lineRule="auto"/>
        <w:ind w:left="0" w:right="0" w:firstLine="0"/>
        <w:jc w:val="left"/>
      </w:pPr>
      <w:bookmarkStart w:id="679" w:name="bookmark679"/>
      <w:bookmarkStart w:id="680" w:name="bookmark680"/>
      <w:bookmarkStart w:id="681" w:name="bookmark681"/>
      <w:bookmarkStart w:id="682" w:name="bookmark682"/>
      <w:r>
        <w:rPr>
          <w:color w:val="000000"/>
          <w:spacing w:val="0"/>
          <w:w w:val="100"/>
          <w:position w:val="0"/>
        </w:rPr>
        <w:t>2</w:t>
      </w:r>
      <w:bookmarkEnd w:id="681"/>
      <w:r>
        <w:rPr>
          <w:color w:val="000000"/>
          <w:spacing w:val="0"/>
          <w:w w:val="100"/>
          <w:position w:val="0"/>
        </w:rPr>
        <w:t>、薪酬政策</w:t>
      </w:r>
      <w:bookmarkEnd w:id="679"/>
      <w:bookmarkEnd w:id="680"/>
      <w:bookmarkEnd w:id="682"/>
    </w:p>
    <w:p>
      <w:pPr>
        <w:pStyle w:val="Style41"/>
        <w:keepNext w:val="0"/>
        <w:keepLines w:val="0"/>
        <w:widowControl w:val="0"/>
        <w:shd w:val="clear" w:color="auto" w:fill="auto"/>
        <w:bidi w:val="0"/>
        <w:spacing w:before="0" w:after="320" w:line="467" w:lineRule="exact"/>
        <w:ind w:left="0" w:right="0"/>
        <w:jc w:val="left"/>
      </w:pPr>
      <w:r>
        <w:rPr>
          <w:color w:val="000000"/>
          <w:spacing w:val="0"/>
          <w:w w:val="100"/>
          <w:position w:val="0"/>
        </w:rPr>
        <w:t>公司根据国家人力资源和社会劳动保障的相关政策，结合地区、行业和公司的实际情况，制订了具有竞争力的薪酬策略。 公司本着</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以人为本</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的一贯宗旨，推行职位、职等管理模式，成立了薪酬与考核委员会来完成员工职等、薪酬的确定和评审， 为员工设立专业及管理的双重职业发展路径，同时为员工薪酬确定、培训发展、绩效考核提供相关信息、依据。公司以</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高 贡献、高绩效、高回报</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为指导思想，实行</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宽带薪酬</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 xml:space="preserve">制度，即：将工作性质、工作内容和管理内容相似或者相同职类集合 成为序列，员工薪酬的确定和调整，依据序列对应的薪酬区间进行管理和控制，为员工的晋级、晋升明确了方向和路径，更 好地帮助员工实现自己的职业生涯规划。对于骨干员工，公司实行结构化薪酬策略，兼顾短期收益和长期收益，绩效工资、 </w:t>
      </w:r>
      <w:r>
        <w:rPr>
          <w:color w:val="000000"/>
          <w:spacing w:val="0"/>
          <w:w w:val="100"/>
          <w:position w:val="0"/>
        </w:rPr>
        <w:t>股权激励、多样化福利多管齐下，全方位的激励员工，从而实现提升公司核心竞争力的目标。</w:t>
      </w:r>
    </w:p>
    <w:p>
      <w:pPr>
        <w:pStyle w:val="Style41"/>
        <w:keepNext w:val="0"/>
        <w:keepLines w:val="0"/>
        <w:widowControl w:val="0"/>
        <w:shd w:val="clear" w:color="auto" w:fill="auto"/>
        <w:bidi w:val="0"/>
        <w:spacing w:before="0" w:after="0" w:line="469" w:lineRule="exact"/>
        <w:ind w:left="0" w:right="0"/>
        <w:jc w:val="both"/>
      </w:pPr>
      <w:r>
        <w:rPr>
          <w:b/>
          <w:bCs/>
          <w:color w:val="000000"/>
          <w:spacing w:val="0"/>
          <w:w w:val="100"/>
          <w:position w:val="0"/>
        </w:rPr>
        <w:t>公司需遵守《深圳证券交易所行业信息披露指引第</w:t>
      </w:r>
      <w:r>
        <w:rPr>
          <w:rFonts w:ascii="Times New Roman" w:eastAsia="Times New Roman" w:hAnsi="Times New Roman" w:cs="Times New Roman"/>
          <w:b/>
          <w:bCs/>
          <w:color w:val="000000"/>
          <w:spacing w:val="0"/>
          <w:w w:val="100"/>
          <w:position w:val="0"/>
          <w:sz w:val="18"/>
          <w:szCs w:val="18"/>
        </w:rPr>
        <w:t>12</w:t>
      </w:r>
      <w:r>
        <w:rPr>
          <w:b/>
          <w:bCs/>
          <w:color w:val="000000"/>
          <w:spacing w:val="0"/>
          <w:w w:val="100"/>
          <w:position w:val="0"/>
        </w:rPr>
        <w:t>号——上市公司从事软件与信息技术服务业务》的披露要求</w:t>
      </w:r>
    </w:p>
    <w:p>
      <w:pPr>
        <w:pStyle w:val="Style41"/>
        <w:keepNext w:val="0"/>
        <w:keepLines w:val="0"/>
        <w:widowControl w:val="0"/>
        <w:shd w:val="clear" w:color="auto" w:fill="auto"/>
        <w:bidi w:val="0"/>
        <w:spacing w:before="0" w:after="460" w:line="469" w:lineRule="exact"/>
        <w:ind w:left="0" w:right="0"/>
        <w:jc w:val="both"/>
      </w:pPr>
      <w:r>
        <w:rPr>
          <w:color w:val="000000"/>
          <w:spacing w:val="0"/>
          <w:w w:val="100"/>
          <w:position w:val="0"/>
        </w:rPr>
        <w:t>本报告期内职工薪酬总额（计入成本部分）为</w:t>
      </w:r>
      <w:r>
        <w:rPr>
          <w:rFonts w:ascii="Times New Roman" w:eastAsia="Times New Roman" w:hAnsi="Times New Roman" w:cs="Times New Roman"/>
          <w:color w:val="000000"/>
          <w:spacing w:val="0"/>
          <w:w w:val="100"/>
          <w:position w:val="0"/>
          <w:sz w:val="18"/>
          <w:szCs w:val="18"/>
        </w:rPr>
        <w:t>8.41</w:t>
      </w:r>
      <w:r>
        <w:rPr>
          <w:color w:val="000000"/>
          <w:spacing w:val="0"/>
          <w:w w:val="100"/>
          <w:position w:val="0"/>
        </w:rPr>
        <w:t>亿元，占公司营业总成本的</w:t>
      </w:r>
      <w:r>
        <w:rPr>
          <w:rFonts w:ascii="Times New Roman" w:eastAsia="Times New Roman" w:hAnsi="Times New Roman" w:cs="Times New Roman"/>
          <w:color w:val="000000"/>
          <w:spacing w:val="0"/>
          <w:w w:val="100"/>
          <w:position w:val="0"/>
          <w:sz w:val="18"/>
          <w:szCs w:val="18"/>
        </w:rPr>
        <w:t>22.50%</w:t>
      </w:r>
      <w:r>
        <w:rPr>
          <w:color w:val="000000"/>
          <w:spacing w:val="0"/>
          <w:w w:val="100"/>
          <w:position w:val="0"/>
        </w:rPr>
        <w:t>。公司所处软件与信息技术服务行 业，人才是技术进步、业务发展的动力来源，人工成本占总成本比重较高，故净利润对职工薪酬总额的变化较为敏感，随着 本期游戏业务规模迅速增长，敏感度有所下降。报告期内，核心技术人员占公司员工人数的</w:t>
      </w:r>
      <w:r>
        <w:rPr>
          <w:rFonts w:ascii="Times New Roman" w:eastAsia="Times New Roman" w:hAnsi="Times New Roman" w:cs="Times New Roman"/>
          <w:color w:val="000000"/>
          <w:spacing w:val="0"/>
          <w:w w:val="100"/>
          <w:position w:val="0"/>
          <w:sz w:val="18"/>
          <w:szCs w:val="18"/>
        </w:rPr>
        <w:t>14.79%</w:t>
      </w:r>
      <w:r>
        <w:rPr>
          <w:color w:val="000000"/>
          <w:spacing w:val="0"/>
          <w:w w:val="100"/>
          <w:position w:val="0"/>
        </w:rPr>
        <w:t>，核心技术人员薪酬占 公司薪酬总额的</w:t>
      </w:r>
      <w:r>
        <w:rPr>
          <w:rFonts w:ascii="Times New Roman" w:eastAsia="Times New Roman" w:hAnsi="Times New Roman" w:cs="Times New Roman"/>
          <w:color w:val="000000"/>
          <w:spacing w:val="0"/>
          <w:w w:val="100"/>
          <w:position w:val="0"/>
          <w:sz w:val="18"/>
          <w:szCs w:val="18"/>
        </w:rPr>
        <w:t>16.45%</w:t>
      </w:r>
      <w:r>
        <w:rPr>
          <w:color w:val="000000"/>
          <w:spacing w:val="0"/>
          <w:w w:val="100"/>
          <w:position w:val="0"/>
        </w:rPr>
        <w:t>。</w:t>
      </w:r>
    </w:p>
    <w:p>
      <w:pPr>
        <w:pStyle w:val="Style47"/>
        <w:keepNext/>
        <w:keepLines/>
        <w:widowControl w:val="0"/>
        <w:shd w:val="clear" w:color="auto" w:fill="auto"/>
        <w:bidi w:val="0"/>
        <w:spacing w:before="0" w:after="200" w:line="240" w:lineRule="auto"/>
        <w:ind w:left="0" w:right="0" w:firstLine="0"/>
        <w:jc w:val="left"/>
      </w:pPr>
      <w:bookmarkStart w:id="683" w:name="bookmark683"/>
      <w:bookmarkStart w:id="684" w:name="bookmark684"/>
      <w:bookmarkStart w:id="685" w:name="bookmark685"/>
      <w:bookmarkStart w:id="686" w:name="bookmark686"/>
      <w:r>
        <w:rPr>
          <w:color w:val="000000"/>
          <w:spacing w:val="0"/>
          <w:w w:val="100"/>
          <w:position w:val="0"/>
        </w:rPr>
        <w:t>3</w:t>
      </w:r>
      <w:bookmarkEnd w:id="685"/>
      <w:r>
        <w:rPr>
          <w:color w:val="000000"/>
          <w:spacing w:val="0"/>
          <w:w w:val="100"/>
          <w:position w:val="0"/>
        </w:rPr>
        <w:t>、培训计划</w:t>
      </w:r>
      <w:bookmarkEnd w:id="683"/>
      <w:bookmarkEnd w:id="684"/>
      <w:bookmarkEnd w:id="686"/>
    </w:p>
    <w:p>
      <w:pPr>
        <w:pStyle w:val="Style41"/>
        <w:keepNext w:val="0"/>
        <w:keepLines w:val="0"/>
        <w:widowControl w:val="0"/>
        <w:shd w:val="clear" w:color="auto" w:fill="auto"/>
        <w:bidi w:val="0"/>
        <w:spacing w:before="0" w:after="0" w:line="472" w:lineRule="exact"/>
        <w:ind w:left="0" w:right="0"/>
        <w:jc w:val="both"/>
      </w:pPr>
      <w:r>
        <w:rPr>
          <w:color w:val="000000"/>
          <w:spacing w:val="0"/>
          <w:w w:val="100"/>
          <w:position w:val="0"/>
        </w:rPr>
        <w:t>根据公司战略发展方向，并结合业务要求，</w:t>
      </w:r>
      <w:r>
        <w:rPr>
          <w:rFonts w:ascii="Times New Roman" w:eastAsia="Times New Roman" w:hAnsi="Times New Roman" w:cs="Times New Roman"/>
          <w:color w:val="000000"/>
          <w:spacing w:val="0"/>
          <w:w w:val="100"/>
          <w:position w:val="0"/>
          <w:sz w:val="18"/>
          <w:szCs w:val="18"/>
        </w:rPr>
        <w:t>2021</w:t>
      </w:r>
      <w:r>
        <w:rPr>
          <w:color w:val="000000"/>
          <w:spacing w:val="0"/>
          <w:w w:val="100"/>
          <w:position w:val="0"/>
        </w:rPr>
        <w:t>年公司围绕全体员工，根据不同层级制定全面的人才培养方案，实现针 对不同岗位的核心人才培养规划。</w:t>
      </w:r>
    </w:p>
    <w:p>
      <w:pPr>
        <w:pStyle w:val="Style41"/>
        <w:keepNext w:val="0"/>
        <w:keepLines w:val="0"/>
        <w:widowControl w:val="0"/>
        <w:shd w:val="clear" w:color="auto" w:fill="auto"/>
        <w:bidi w:val="0"/>
        <w:spacing w:before="0" w:after="0" w:line="472" w:lineRule="exact"/>
        <w:ind w:left="0" w:right="0"/>
        <w:jc w:val="both"/>
      </w:pPr>
      <w:r>
        <w:rPr>
          <w:rFonts w:ascii="Times New Roman" w:eastAsia="Times New Roman" w:hAnsi="Times New Roman" w:cs="Times New Roman"/>
          <w:color w:val="000000"/>
          <w:spacing w:val="0"/>
          <w:w w:val="100"/>
          <w:position w:val="0"/>
          <w:sz w:val="18"/>
          <w:szCs w:val="18"/>
        </w:rPr>
        <w:t>2021</w:t>
      </w:r>
      <w:r>
        <w:rPr>
          <w:color w:val="000000"/>
          <w:spacing w:val="0"/>
          <w:w w:val="100"/>
          <w:position w:val="0"/>
        </w:rPr>
        <w:t>年计划针对公司核心人才围绕</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创新、经营、管理、技术</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四个主题词进行相关培养。拟定组织内训与外训、线上与 线下相结合的培训模式，并借助相关平台进行互动。采取培训项目积分制的方式提升参与的积极性，保证激励措施。通过相 关培训，全面提升管理干部的经营管理意识、管理思维及管理实践水平；提升核心技术骨干创新思维能力、掌握前言技术应 用到公司项目当中；强化项目经理的成本分析与控制能力、提升目标与计划管理的相关思维。提升核心人才的综合素质与岗 位能力及管理水平。</w:t>
      </w:r>
    </w:p>
    <w:p>
      <w:pPr>
        <w:pStyle w:val="Style41"/>
        <w:keepNext w:val="0"/>
        <w:keepLines w:val="0"/>
        <w:widowControl w:val="0"/>
        <w:shd w:val="clear" w:color="auto" w:fill="auto"/>
        <w:bidi w:val="0"/>
        <w:spacing w:before="0" w:after="0" w:line="472" w:lineRule="exact"/>
        <w:ind w:left="0" w:right="0"/>
        <w:jc w:val="both"/>
      </w:pPr>
      <w:r>
        <w:rPr>
          <w:rFonts w:ascii="Times New Roman" w:eastAsia="Times New Roman" w:hAnsi="Times New Roman" w:cs="Times New Roman"/>
          <w:color w:val="000000"/>
          <w:spacing w:val="0"/>
          <w:w w:val="100"/>
          <w:position w:val="0"/>
          <w:sz w:val="18"/>
          <w:szCs w:val="18"/>
        </w:rPr>
        <w:t>2021</w:t>
      </w:r>
      <w:r>
        <w:rPr>
          <w:color w:val="000000"/>
          <w:spacing w:val="0"/>
          <w:w w:val="100"/>
          <w:position w:val="0"/>
        </w:rPr>
        <w:t>年为加强人才梯队建设，针对新入职员工、实习生、管培生，公司采取内部培养、校企合作等多种方式，通过职业 发展规划、推行导师制、绩效考核跟踪等措施，加速潜力员工成长，强化后备力量。为公司人才发展持续赋能，保证人才的 持续供给，保证业务发展。</w:t>
      </w:r>
    </w:p>
    <w:p>
      <w:pPr>
        <w:pStyle w:val="Style41"/>
        <w:keepNext w:val="0"/>
        <w:keepLines w:val="0"/>
        <w:widowControl w:val="0"/>
        <w:shd w:val="clear" w:color="auto" w:fill="auto"/>
        <w:bidi w:val="0"/>
        <w:spacing w:before="0" w:after="260" w:line="472" w:lineRule="exact"/>
        <w:ind w:left="0" w:right="0"/>
        <w:jc w:val="both"/>
      </w:pPr>
      <w:r>
        <w:rPr>
          <w:rFonts w:ascii="Times New Roman" w:eastAsia="Times New Roman" w:hAnsi="Times New Roman" w:cs="Times New Roman"/>
          <w:color w:val="000000"/>
          <w:spacing w:val="0"/>
          <w:w w:val="100"/>
          <w:position w:val="0"/>
          <w:sz w:val="18"/>
          <w:szCs w:val="18"/>
        </w:rPr>
        <w:t>2021</w:t>
      </w:r>
      <w:r>
        <w:rPr>
          <w:color w:val="000000"/>
          <w:spacing w:val="0"/>
          <w:w w:val="100"/>
          <w:position w:val="0"/>
        </w:rPr>
        <w:t>年为了加强与各业务单元的人文关怀，定期走访项目组，针对各项目组或各办事处进行</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走进项目组</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的主题活动， 促进相互交流，提升人员归属感，保证人员对公司及工作的认同，提升积极性。</w:t>
      </w:r>
    </w:p>
    <w:p>
      <w:pPr>
        <w:pStyle w:val="Style41"/>
        <w:keepNext w:val="0"/>
        <w:keepLines w:val="0"/>
        <w:widowControl w:val="0"/>
        <w:shd w:val="clear" w:color="auto" w:fill="auto"/>
        <w:bidi w:val="0"/>
        <w:spacing w:before="0" w:after="460" w:line="240" w:lineRule="auto"/>
        <w:ind w:left="0" w:right="0"/>
        <w:jc w:val="both"/>
      </w:pPr>
      <w:r>
        <w:rPr>
          <w:color w:val="000000"/>
          <w:spacing w:val="0"/>
          <w:w w:val="100"/>
          <w:position w:val="0"/>
        </w:rPr>
        <w:t>后续，公司将依据实际情况不断丰富课程内容，创新培训解决方案，完善人才梯队建设。</w:t>
      </w:r>
    </w:p>
    <w:p>
      <w:pPr>
        <w:pStyle w:val="Style47"/>
        <w:keepNext/>
        <w:keepLines/>
        <w:widowControl w:val="0"/>
        <w:shd w:val="clear" w:color="auto" w:fill="auto"/>
        <w:bidi w:val="0"/>
        <w:spacing w:before="0" w:after="460" w:line="240" w:lineRule="auto"/>
        <w:ind w:left="0" w:right="0" w:firstLine="0"/>
        <w:jc w:val="left"/>
      </w:pPr>
      <w:bookmarkStart w:id="687" w:name="bookmark687"/>
      <w:bookmarkStart w:id="688" w:name="bookmark688"/>
      <w:bookmarkStart w:id="689" w:name="bookmark689"/>
      <w:bookmarkStart w:id="690" w:name="bookmark690"/>
      <w:r>
        <w:rPr>
          <w:color w:val="000000"/>
          <w:spacing w:val="0"/>
          <w:w w:val="100"/>
          <w:position w:val="0"/>
        </w:rPr>
        <w:t>4</w:t>
      </w:r>
      <w:bookmarkEnd w:id="689"/>
      <w:r>
        <w:rPr>
          <w:color w:val="000000"/>
          <w:spacing w:val="0"/>
          <w:w w:val="100"/>
          <w:position w:val="0"/>
        </w:rPr>
        <w:t>、劳务外包情况</w:t>
      </w:r>
      <w:bookmarkEnd w:id="687"/>
      <w:bookmarkEnd w:id="688"/>
      <w:bookmarkEnd w:id="690"/>
    </w:p>
    <w:p>
      <w:pPr>
        <w:pStyle w:val="Style41"/>
        <w:keepNext w:val="0"/>
        <w:keepLines w:val="0"/>
        <w:widowControl w:val="0"/>
        <w:shd w:val="clear" w:color="auto" w:fill="auto"/>
        <w:bidi w:val="0"/>
        <w:spacing w:before="0" w:after="120" w:line="240" w:lineRule="auto"/>
        <w:ind w:left="0" w:right="0" w:firstLine="0"/>
        <w:jc w:val="left"/>
      </w:pPr>
      <w:r>
        <w:rPr>
          <w:rFonts w:ascii="Times New Roman" w:eastAsia="Times New Roman" w:hAnsi="Times New Roman" w:cs="Times New Roman"/>
          <w:b/>
          <w:bCs/>
          <w:color w:val="000000"/>
          <w:spacing w:val="0"/>
          <w:w w:val="100"/>
          <w:position w:val="0"/>
          <w:sz w:val="18"/>
          <w:szCs w:val="18"/>
        </w:rPr>
        <w:t>V</w:t>
      </w:r>
      <w:r>
        <w:rPr>
          <w:b/>
          <w:bCs/>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tbl>
      <w:tblPr>
        <w:tblOverlap w:val="never"/>
        <w:jc w:val="center"/>
        <w:tblLayout w:type="fixed"/>
      </w:tblPr>
      <w:tblGrid>
        <w:gridCol w:w="4853"/>
        <w:gridCol w:w="4858"/>
      </w:tblGrid>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劳务外包的工时总数（小时）</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522,196</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劳务外包支付的报酬总额（元）</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48,270,046.54</w:t>
            </w:r>
          </w:p>
        </w:tc>
      </w:tr>
    </w:tbl>
    <w:p>
      <w:pPr>
        <w:sectPr>
          <w:headerReference w:type="default" r:id="rId237"/>
          <w:footerReference w:type="default" r:id="rId238"/>
          <w:headerReference w:type="even" r:id="rId239"/>
          <w:footerReference w:type="even" r:id="rId240"/>
          <w:footnotePr>
            <w:pos w:val="pageBottom"/>
            <w:numFmt w:val="decimal"/>
            <w:numRestart w:val="continuous"/>
          </w:footnotePr>
          <w:pgSz w:w="11904" w:h="17375"/>
          <w:pgMar w:top="1670" w:right="1043" w:bottom="1751" w:left="1073" w:header="0" w:footer="3" w:gutter="0"/>
          <w:cols w:space="720"/>
          <w:noEndnote/>
          <w:rtlGutter w:val="0"/>
          <w:docGrid w:linePitch="360"/>
        </w:sectPr>
      </w:pPr>
    </w:p>
    <w:p>
      <w:pPr>
        <w:pStyle w:val="Style7"/>
        <w:keepNext/>
        <w:keepLines/>
        <w:widowControl w:val="0"/>
        <w:shd w:val="clear" w:color="auto" w:fill="auto"/>
        <w:bidi w:val="0"/>
        <w:spacing w:before="0" w:after="540" w:line="240" w:lineRule="auto"/>
        <w:ind w:left="0" w:right="0" w:firstLine="0"/>
        <w:jc w:val="center"/>
      </w:pPr>
      <w:bookmarkStart w:id="691" w:name="bookmark691"/>
      <w:bookmarkStart w:id="692" w:name="bookmark692"/>
      <w:bookmarkStart w:id="693" w:name="bookmark693"/>
      <w:r>
        <w:rPr>
          <w:color w:val="000000"/>
          <w:spacing w:val="0"/>
          <w:w w:val="100"/>
          <w:position w:val="0"/>
        </w:rPr>
        <w:t>第十节公司治理</w:t>
      </w:r>
      <w:bookmarkEnd w:id="691"/>
      <w:bookmarkEnd w:id="692"/>
      <w:bookmarkEnd w:id="693"/>
    </w:p>
    <w:p>
      <w:pPr>
        <w:pStyle w:val="Style39"/>
        <w:keepNext/>
        <w:keepLines/>
        <w:widowControl w:val="0"/>
        <w:shd w:val="clear" w:color="auto" w:fill="auto"/>
        <w:bidi w:val="0"/>
        <w:spacing w:before="0" w:after="180" w:line="240" w:lineRule="auto"/>
        <w:ind w:left="0" w:right="0" w:firstLine="0"/>
        <w:jc w:val="left"/>
      </w:pPr>
      <w:bookmarkStart w:id="694" w:name="bookmark694"/>
      <w:bookmarkStart w:id="695" w:name="bookmark695"/>
      <w:bookmarkStart w:id="696" w:name="bookmark696"/>
      <w:bookmarkStart w:id="697" w:name="bookmark697"/>
      <w:r>
        <w:rPr>
          <w:color w:val="000000"/>
          <w:spacing w:val="0"/>
          <w:w w:val="100"/>
          <w:position w:val="0"/>
          <w:sz w:val="24"/>
          <w:szCs w:val="24"/>
        </w:rPr>
        <w:t>一</w:t>
      </w:r>
      <w:bookmarkEnd w:id="696"/>
      <w:r>
        <w:rPr>
          <w:color w:val="000000"/>
          <w:spacing w:val="0"/>
          <w:w w:val="100"/>
          <w:position w:val="0"/>
          <w:sz w:val="24"/>
          <w:szCs w:val="24"/>
        </w:rPr>
        <w:t>、公司治理的基本状况</w:t>
      </w:r>
      <w:bookmarkEnd w:id="694"/>
      <w:bookmarkEnd w:id="695"/>
      <w:bookmarkEnd w:id="697"/>
    </w:p>
    <w:p>
      <w:pPr>
        <w:pStyle w:val="Style41"/>
        <w:keepNext w:val="0"/>
        <w:keepLines w:val="0"/>
        <w:widowControl w:val="0"/>
        <w:shd w:val="clear" w:color="auto" w:fill="auto"/>
        <w:bidi w:val="0"/>
        <w:spacing w:before="0" w:after="0" w:line="470" w:lineRule="exact"/>
        <w:ind w:left="0" w:right="0"/>
        <w:jc w:val="both"/>
      </w:pPr>
      <w:r>
        <w:rPr>
          <w:color w:val="000000"/>
          <w:spacing w:val="0"/>
          <w:w w:val="100"/>
          <w:position w:val="0"/>
        </w:rPr>
        <w:t>公司严格按照《公司法》、《证券法》、《上市公司治理准则》、《深圳证券交易所创业板股票上市规则》、《深圳证 券交易所创业板上市公司规范运作指引》及中国证监会有关法律法规等的要求，确立了股东大会、董事会、监事会及经营管 理层的分层治理结构，并在公司董事会下设立了战略、审计、提名、薪酬与考核等专门委员会。报告期内，公司不断完善法 人治理结构，提高公司治理水平，建立健全各项内部管控制度，规范公司日常经营和整体运作，严格按照相关规定对公司重 大事项进行信息披露，确保真实、准确、完整、及时、公平披露原则，有效保护广大投资者利益。公司实际治理状况基本符 合《上市公司治理准则》的要求。</w:t>
      </w:r>
    </w:p>
    <w:p>
      <w:pPr>
        <w:pStyle w:val="Style41"/>
        <w:keepNext w:val="0"/>
        <w:keepLines w:val="0"/>
        <w:widowControl w:val="0"/>
        <w:shd w:val="clear" w:color="auto" w:fill="auto"/>
        <w:tabs>
          <w:tab w:pos="667" w:val="left"/>
        </w:tabs>
        <w:bidi w:val="0"/>
        <w:spacing w:before="0" w:after="0" w:line="470" w:lineRule="exact"/>
        <w:ind w:left="0" w:right="0"/>
        <w:jc w:val="both"/>
      </w:pPr>
      <w:bookmarkStart w:id="698" w:name="bookmark698"/>
      <w:r>
        <w:rPr>
          <w:rFonts w:ascii="Times New Roman" w:eastAsia="Times New Roman" w:hAnsi="Times New Roman" w:cs="Times New Roman"/>
          <w:b/>
          <w:bCs/>
          <w:color w:val="000000"/>
          <w:spacing w:val="0"/>
          <w:w w:val="100"/>
          <w:position w:val="0"/>
          <w:sz w:val="18"/>
          <w:szCs w:val="18"/>
        </w:rPr>
        <w:t>1</w:t>
      </w:r>
      <w:bookmarkEnd w:id="698"/>
      <w:r>
        <w:rPr>
          <w:b/>
          <w:bCs/>
          <w:color w:val="000000"/>
          <w:spacing w:val="0"/>
          <w:w w:val="100"/>
          <w:position w:val="0"/>
        </w:rPr>
        <w:t>、</w:t>
        <w:tab/>
        <w:t>股东与股东大会</w:t>
      </w:r>
    </w:p>
    <w:p>
      <w:pPr>
        <w:pStyle w:val="Style41"/>
        <w:keepNext w:val="0"/>
        <w:keepLines w:val="0"/>
        <w:widowControl w:val="0"/>
        <w:shd w:val="clear" w:color="auto" w:fill="auto"/>
        <w:bidi w:val="0"/>
        <w:spacing w:before="0" w:after="0" w:line="470" w:lineRule="exact"/>
        <w:ind w:left="0" w:right="0"/>
        <w:jc w:val="both"/>
      </w:pPr>
      <w:r>
        <w:rPr>
          <w:color w:val="000000"/>
          <w:spacing w:val="0"/>
          <w:w w:val="100"/>
          <w:position w:val="0"/>
        </w:rPr>
        <w:t>公司严格按照《上市公司股东大会规则》、《公司章程》、《股东大会议事规则》等规定的要求，召集、召开股东大会， 并为股东参加会议提供便利，使其充分行使股东权利。公司股东大会在审议每项议案过程中设有议事程序，能够平等对待所 有股东，就股东的质询作出解释和说明，听取股东的建议与意见，保证了中小股东的话语权，并通过聘请律师出席见证保证 了会议的召集、召开和表决程序的合法性。</w:t>
      </w:r>
    </w:p>
    <w:p>
      <w:pPr>
        <w:pStyle w:val="Style41"/>
        <w:keepNext w:val="0"/>
        <w:keepLines w:val="0"/>
        <w:widowControl w:val="0"/>
        <w:shd w:val="clear" w:color="auto" w:fill="auto"/>
        <w:tabs>
          <w:tab w:pos="682" w:val="left"/>
        </w:tabs>
        <w:bidi w:val="0"/>
        <w:spacing w:before="0" w:after="0" w:line="470" w:lineRule="exact"/>
        <w:ind w:left="0" w:right="0"/>
        <w:jc w:val="both"/>
      </w:pPr>
      <w:bookmarkStart w:id="699" w:name="bookmark699"/>
      <w:r>
        <w:rPr>
          <w:rFonts w:ascii="Times New Roman" w:eastAsia="Times New Roman" w:hAnsi="Times New Roman" w:cs="Times New Roman"/>
          <w:b/>
          <w:bCs/>
          <w:color w:val="000000"/>
          <w:spacing w:val="0"/>
          <w:w w:val="100"/>
          <w:position w:val="0"/>
          <w:sz w:val="18"/>
          <w:szCs w:val="18"/>
        </w:rPr>
        <w:t>2</w:t>
      </w:r>
      <w:bookmarkEnd w:id="699"/>
      <w:r>
        <w:rPr>
          <w:b/>
          <w:bCs/>
          <w:color w:val="000000"/>
          <w:spacing w:val="0"/>
          <w:w w:val="100"/>
          <w:position w:val="0"/>
        </w:rPr>
        <w:t>、</w:t>
        <w:tab/>
        <w:t>控股股东与上市公司</w:t>
      </w:r>
    </w:p>
    <w:p>
      <w:pPr>
        <w:pStyle w:val="Style41"/>
        <w:keepNext w:val="0"/>
        <w:keepLines w:val="0"/>
        <w:widowControl w:val="0"/>
        <w:shd w:val="clear" w:color="auto" w:fill="auto"/>
        <w:bidi w:val="0"/>
        <w:spacing w:before="0" w:after="0" w:line="470" w:lineRule="exact"/>
        <w:ind w:left="0" w:right="0"/>
        <w:jc w:val="both"/>
      </w:pPr>
      <w:r>
        <w:rPr>
          <w:color w:val="000000"/>
          <w:spacing w:val="0"/>
          <w:w w:val="100"/>
          <w:position w:val="0"/>
        </w:rPr>
        <w:t>公司严格按照《公司法》、《证券法》、《公司章程》及证券监管部门的有关规定正确处理与控股股东的关系。公司控 股股东严格规范自身行为，依法行使其权利并承担相应义务，没有超越股东大会直接或间接干预本公司的决策和生产经营活 动。公司拥有独立完整的业务和自主经营能力，董事会、监事会和其他内部机构独立运作。报告期内，未发生超越股东大会 和董事会的授权权限、直接或间接干预公司决策和经营活动及利用其控制地位侵害其他股东利益的行为。</w:t>
      </w:r>
    </w:p>
    <w:p>
      <w:pPr>
        <w:pStyle w:val="Style41"/>
        <w:keepNext w:val="0"/>
        <w:keepLines w:val="0"/>
        <w:widowControl w:val="0"/>
        <w:shd w:val="clear" w:color="auto" w:fill="auto"/>
        <w:tabs>
          <w:tab w:pos="682" w:val="left"/>
        </w:tabs>
        <w:bidi w:val="0"/>
        <w:spacing w:before="0" w:after="0" w:line="470" w:lineRule="exact"/>
        <w:ind w:left="0" w:right="0"/>
        <w:jc w:val="both"/>
      </w:pPr>
      <w:bookmarkStart w:id="700" w:name="bookmark700"/>
      <w:r>
        <w:rPr>
          <w:rFonts w:ascii="Times New Roman" w:eastAsia="Times New Roman" w:hAnsi="Times New Roman" w:cs="Times New Roman"/>
          <w:b/>
          <w:bCs/>
          <w:color w:val="000000"/>
          <w:spacing w:val="0"/>
          <w:w w:val="100"/>
          <w:position w:val="0"/>
          <w:sz w:val="18"/>
          <w:szCs w:val="18"/>
        </w:rPr>
        <w:t>3</w:t>
      </w:r>
      <w:bookmarkEnd w:id="700"/>
      <w:r>
        <w:rPr>
          <w:b/>
          <w:bCs/>
          <w:color w:val="000000"/>
          <w:spacing w:val="0"/>
          <w:w w:val="100"/>
          <w:position w:val="0"/>
        </w:rPr>
        <w:t>、</w:t>
        <w:tab/>
        <w:t>董事和董事会</w:t>
      </w:r>
    </w:p>
    <w:p>
      <w:pPr>
        <w:pStyle w:val="Style41"/>
        <w:keepNext w:val="0"/>
        <w:keepLines w:val="0"/>
        <w:widowControl w:val="0"/>
        <w:shd w:val="clear" w:color="auto" w:fill="auto"/>
        <w:bidi w:val="0"/>
        <w:spacing w:before="0" w:after="0" w:line="470" w:lineRule="exact"/>
        <w:ind w:left="0" w:right="0"/>
        <w:jc w:val="both"/>
      </w:pPr>
      <w:r>
        <w:rPr>
          <w:color w:val="000000"/>
          <w:spacing w:val="0"/>
          <w:w w:val="100"/>
          <w:position w:val="0"/>
        </w:rPr>
        <w:t>公司董事会设董事</w:t>
      </w:r>
      <w:r>
        <w:rPr>
          <w:rFonts w:ascii="Times New Roman" w:eastAsia="Times New Roman" w:hAnsi="Times New Roman" w:cs="Times New Roman"/>
          <w:color w:val="000000"/>
          <w:spacing w:val="0"/>
          <w:w w:val="100"/>
          <w:position w:val="0"/>
          <w:sz w:val="18"/>
          <w:szCs w:val="18"/>
        </w:rPr>
        <w:t>8</w:t>
      </w:r>
      <w:r>
        <w:rPr>
          <w:color w:val="000000"/>
          <w:spacing w:val="0"/>
          <w:w w:val="100"/>
          <w:position w:val="0"/>
        </w:rPr>
        <w:t>名，其中独立董事</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名，董事会的人数及人员构成符合法律、法规和《公司章程》的要求。任职期间， 公司全体董事勤勉尽责开展工作，持续关注公司经营状况，主动参加相关培训，提高规范运作水平；积极参加董事会会议， 充分发挥各自的专业特长，审慎决策，维护公司和广大股东的利益。公司董事会会议的召集、召开等程序均符合相关规定的 要求；历次董事会会议记录内容真实、准确、完整，保存安全；会议决议做到充分准确且及时披露。董事会下设战略委员会、 审计委员会、薪酬与考核委员会、提名委员会。</w:t>
      </w:r>
    </w:p>
    <w:p>
      <w:pPr>
        <w:pStyle w:val="Style41"/>
        <w:keepNext w:val="0"/>
        <w:keepLines w:val="0"/>
        <w:widowControl w:val="0"/>
        <w:shd w:val="clear" w:color="auto" w:fill="auto"/>
        <w:tabs>
          <w:tab w:pos="682" w:val="left"/>
        </w:tabs>
        <w:bidi w:val="0"/>
        <w:spacing w:before="0" w:after="0" w:line="470" w:lineRule="exact"/>
        <w:ind w:left="0" w:right="0"/>
        <w:jc w:val="both"/>
      </w:pPr>
      <w:bookmarkStart w:id="701" w:name="bookmark701"/>
      <w:r>
        <w:rPr>
          <w:rFonts w:ascii="Times New Roman" w:eastAsia="Times New Roman" w:hAnsi="Times New Roman" w:cs="Times New Roman"/>
          <w:b/>
          <w:bCs/>
          <w:color w:val="000000"/>
          <w:spacing w:val="0"/>
          <w:w w:val="100"/>
          <w:position w:val="0"/>
          <w:sz w:val="18"/>
          <w:szCs w:val="18"/>
        </w:rPr>
        <w:t>4</w:t>
      </w:r>
      <w:bookmarkEnd w:id="701"/>
      <w:r>
        <w:rPr>
          <w:b/>
          <w:bCs/>
          <w:color w:val="000000"/>
          <w:spacing w:val="0"/>
          <w:w w:val="100"/>
          <w:position w:val="0"/>
        </w:rPr>
        <w:t>、</w:t>
        <w:tab/>
        <w:t>监事和监事会</w:t>
      </w:r>
    </w:p>
    <w:p>
      <w:pPr>
        <w:pStyle w:val="Style41"/>
        <w:keepNext w:val="0"/>
        <w:keepLines w:val="0"/>
        <w:widowControl w:val="0"/>
        <w:shd w:val="clear" w:color="auto" w:fill="auto"/>
        <w:bidi w:val="0"/>
        <w:spacing w:before="0" w:after="100" w:line="470" w:lineRule="exact"/>
        <w:ind w:left="0" w:right="0"/>
        <w:jc w:val="both"/>
        <w:sectPr>
          <w:headerReference w:type="default" r:id="rId241"/>
          <w:footerReference w:type="default" r:id="rId242"/>
          <w:headerReference w:type="even" r:id="rId243"/>
          <w:footerReference w:type="even" r:id="rId244"/>
          <w:footnotePr>
            <w:pos w:val="pageBottom"/>
            <w:numFmt w:val="decimal"/>
            <w:numRestart w:val="continuous"/>
          </w:footnotePr>
          <w:pgSz w:w="11904" w:h="17375"/>
          <w:pgMar w:top="2188" w:right="1018" w:bottom="2083" w:left="1109" w:header="0" w:footer="3" w:gutter="0"/>
          <w:cols w:space="720"/>
          <w:noEndnote/>
          <w:rtlGutter w:val="0"/>
          <w:docGrid w:linePitch="360"/>
        </w:sectPr>
      </w:pPr>
      <w:r>
        <w:rPr>
          <w:color w:val="000000"/>
          <w:spacing w:val="0"/>
          <w:w w:val="100"/>
          <w:position w:val="0"/>
        </w:rPr>
        <w:t>公司监事会设监事</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名，其中职工监事</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名，监事会的人数和构成符合法律、法规的要求。公司监事能够按照《监事会议 事规则》的要求，认真履行自己的职责，对公司重大事项、关联交易、财务状况以及董事、高管人员履行职责的合法合规性</w:t>
      </w:r>
    </w:p>
    <w:p>
      <w:pPr>
        <w:pStyle w:val="Style212"/>
        <w:keepNext w:val="0"/>
        <w:keepLines w:val="0"/>
        <w:widowControl w:val="0"/>
        <w:shd w:val="clear" w:color="auto" w:fill="auto"/>
        <w:bidi w:val="0"/>
        <w:spacing w:before="0" w:after="0" w:line="240" w:lineRule="auto"/>
        <w:ind w:left="0" w:right="0" w:firstLine="0"/>
        <w:jc w:val="left"/>
      </w:pPr>
      <w:r>
        <w:rPr>
          <w:spacing w:val="0"/>
          <w:w w:val="100"/>
          <w:position w:val="0"/>
        </w:rPr>
        <w:t>Ultrapoiuer</w:t>
      </w:r>
    </w:p>
    <w:p>
      <w:pPr>
        <w:pStyle w:val="Style41"/>
        <w:keepNext w:val="0"/>
        <w:keepLines w:val="0"/>
        <w:widowControl w:val="0"/>
        <w:pBdr>
          <w:top w:val="single" w:sz="4" w:space="0" w:color="auto"/>
        </w:pBdr>
        <w:shd w:val="clear" w:color="auto" w:fill="auto"/>
        <w:bidi w:val="0"/>
        <w:spacing w:before="0" w:after="0" w:line="466" w:lineRule="exact"/>
        <w:ind w:left="0" w:right="0" w:firstLine="820"/>
        <w:jc w:val="both"/>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 进行监督。</w:t>
      </w:r>
    </w:p>
    <w:p>
      <w:pPr>
        <w:pStyle w:val="Style41"/>
        <w:keepNext w:val="0"/>
        <w:keepLines w:val="0"/>
        <w:widowControl w:val="0"/>
        <w:shd w:val="clear" w:color="auto" w:fill="auto"/>
        <w:tabs>
          <w:tab w:pos="729" w:val="left"/>
        </w:tabs>
        <w:bidi w:val="0"/>
        <w:spacing w:before="0" w:after="0" w:line="466" w:lineRule="exact"/>
        <w:ind w:left="0" w:right="0"/>
        <w:jc w:val="both"/>
      </w:pPr>
      <w:bookmarkStart w:id="702" w:name="bookmark702"/>
      <w:r>
        <w:rPr>
          <w:rFonts w:ascii="Times New Roman" w:eastAsia="Times New Roman" w:hAnsi="Times New Roman" w:cs="Times New Roman"/>
          <w:b/>
          <w:bCs/>
          <w:color w:val="000000"/>
          <w:spacing w:val="0"/>
          <w:w w:val="100"/>
          <w:position w:val="0"/>
          <w:sz w:val="18"/>
          <w:szCs w:val="18"/>
        </w:rPr>
        <w:t>5</w:t>
      </w:r>
      <w:bookmarkEnd w:id="702"/>
      <w:r>
        <w:rPr>
          <w:b/>
          <w:bCs/>
          <w:color w:val="000000"/>
          <w:spacing w:val="0"/>
          <w:w w:val="100"/>
          <w:position w:val="0"/>
        </w:rPr>
        <w:t>、</w:t>
        <w:tab/>
        <w:t>绩效评价与激励约束机制</w:t>
      </w:r>
    </w:p>
    <w:p>
      <w:pPr>
        <w:pStyle w:val="Style41"/>
        <w:keepNext w:val="0"/>
        <w:keepLines w:val="0"/>
        <w:widowControl w:val="0"/>
        <w:shd w:val="clear" w:color="auto" w:fill="auto"/>
        <w:bidi w:val="0"/>
        <w:spacing w:before="0" w:after="0" w:line="466" w:lineRule="exact"/>
        <w:ind w:left="0" w:right="0"/>
        <w:jc w:val="both"/>
      </w:pPr>
      <w:r>
        <w:rPr>
          <w:color w:val="000000"/>
          <w:spacing w:val="0"/>
          <w:w w:val="100"/>
          <w:position w:val="0"/>
        </w:rPr>
        <w:t>公司已建立企业绩效评价激励体系，并在报告期内不断完善。董事、监事和高级管理人员的绩效评价标准和激励约束机 制公开、透明，符合法律、法规的规定。</w:t>
      </w:r>
    </w:p>
    <w:p>
      <w:pPr>
        <w:pStyle w:val="Style41"/>
        <w:keepNext w:val="0"/>
        <w:keepLines w:val="0"/>
        <w:widowControl w:val="0"/>
        <w:shd w:val="clear" w:color="auto" w:fill="auto"/>
        <w:tabs>
          <w:tab w:pos="729" w:val="left"/>
        </w:tabs>
        <w:bidi w:val="0"/>
        <w:spacing w:before="0" w:after="0" w:line="466" w:lineRule="exact"/>
        <w:ind w:left="0" w:right="0"/>
        <w:jc w:val="both"/>
      </w:pPr>
      <w:bookmarkStart w:id="703" w:name="bookmark703"/>
      <w:r>
        <w:rPr>
          <w:rFonts w:ascii="Times New Roman" w:eastAsia="Times New Roman" w:hAnsi="Times New Roman" w:cs="Times New Roman"/>
          <w:b/>
          <w:bCs/>
          <w:color w:val="000000"/>
          <w:spacing w:val="0"/>
          <w:w w:val="100"/>
          <w:position w:val="0"/>
          <w:sz w:val="18"/>
          <w:szCs w:val="18"/>
        </w:rPr>
        <w:t>6</w:t>
      </w:r>
      <w:bookmarkEnd w:id="703"/>
      <w:r>
        <w:rPr>
          <w:b/>
          <w:bCs/>
          <w:color w:val="000000"/>
          <w:spacing w:val="0"/>
          <w:w w:val="100"/>
          <w:position w:val="0"/>
        </w:rPr>
        <w:t>、</w:t>
        <w:tab/>
        <w:t>关于信息披露与透明度</w:t>
      </w:r>
    </w:p>
    <w:p>
      <w:pPr>
        <w:pStyle w:val="Style41"/>
        <w:keepNext w:val="0"/>
        <w:keepLines w:val="0"/>
        <w:widowControl w:val="0"/>
        <w:shd w:val="clear" w:color="auto" w:fill="auto"/>
        <w:bidi w:val="0"/>
        <w:spacing w:before="0" w:after="260" w:line="466" w:lineRule="exact"/>
        <w:ind w:left="0" w:right="0"/>
        <w:jc w:val="both"/>
      </w:pPr>
      <w:r>
        <w:rPr>
          <w:color w:val="000000"/>
          <w:spacing w:val="0"/>
          <w:w w:val="100"/>
          <w:position w:val="0"/>
        </w:rPr>
        <w:t>公司严格按照有关法律法规以及《信息披露制度》、《投资者关系管理制度》等的要求，真实、准确、完整、及时、公 平地披露有关信息；并指定公司董事会秘书负责信息披露工作，协调公司与投资者的关系，接待投资者来访调研，回答投资 者咨询；并指定《证券日报》、《证券时报》以及巨潮资讯网为公司信息披露的指定报纸和网站，确保公司所有投资者能够 以平等的机会获得信息。</w:t>
      </w:r>
    </w:p>
    <w:p>
      <w:pPr>
        <w:pStyle w:val="Style41"/>
        <w:keepNext w:val="0"/>
        <w:keepLines w:val="0"/>
        <w:widowControl w:val="0"/>
        <w:shd w:val="clear" w:color="auto" w:fill="auto"/>
        <w:tabs>
          <w:tab w:pos="729" w:val="left"/>
        </w:tabs>
        <w:bidi w:val="0"/>
        <w:spacing w:before="0" w:after="0" w:line="540" w:lineRule="auto"/>
        <w:ind w:left="0" w:right="0"/>
        <w:jc w:val="both"/>
      </w:pPr>
      <w:bookmarkStart w:id="704" w:name="bookmark704"/>
      <w:r>
        <w:rPr>
          <w:rFonts w:ascii="Times New Roman" w:eastAsia="Times New Roman" w:hAnsi="Times New Roman" w:cs="Times New Roman"/>
          <w:b/>
          <w:bCs/>
          <w:color w:val="000000"/>
          <w:spacing w:val="0"/>
          <w:w w:val="100"/>
          <w:position w:val="0"/>
          <w:sz w:val="18"/>
          <w:szCs w:val="18"/>
        </w:rPr>
        <w:t>7</w:t>
      </w:r>
      <w:bookmarkEnd w:id="704"/>
      <w:r>
        <w:rPr>
          <w:b/>
          <w:bCs/>
          <w:color w:val="000000"/>
          <w:spacing w:val="0"/>
          <w:w w:val="100"/>
          <w:position w:val="0"/>
        </w:rPr>
        <w:t>、</w:t>
        <w:tab/>
        <w:t>关于相关利益者</w:t>
      </w:r>
    </w:p>
    <w:p>
      <w:pPr>
        <w:pStyle w:val="Style41"/>
        <w:keepNext w:val="0"/>
        <w:keepLines w:val="0"/>
        <w:widowControl w:val="0"/>
        <w:shd w:val="clear" w:color="auto" w:fill="auto"/>
        <w:bidi w:val="0"/>
        <w:spacing w:before="0" w:after="260" w:line="466" w:lineRule="exact"/>
        <w:ind w:left="0" w:right="0"/>
        <w:jc w:val="both"/>
      </w:pPr>
      <w:r>
        <w:rPr>
          <w:color w:val="000000"/>
          <w:spacing w:val="0"/>
          <w:w w:val="100"/>
          <w:position w:val="0"/>
        </w:rPr>
        <w:t>公司充分尊重和维护相关利益者的合法权益，实现社会、股东、公司、员工等各方面利益的协调平衡，诚信对待供应商 和客户，坚持与相关利益者互利共赢的原则，共同推动公司持续、稳健发展。</w:t>
      </w:r>
    </w:p>
    <w:p>
      <w:pPr>
        <w:pStyle w:val="Style41"/>
        <w:keepNext w:val="0"/>
        <w:keepLines w:val="0"/>
        <w:widowControl w:val="0"/>
        <w:shd w:val="clear" w:color="auto" w:fill="auto"/>
        <w:tabs>
          <w:tab w:pos="729" w:val="left"/>
        </w:tabs>
        <w:bidi w:val="0"/>
        <w:spacing w:before="0" w:after="0" w:line="540" w:lineRule="auto"/>
        <w:ind w:left="0" w:right="0"/>
        <w:jc w:val="both"/>
      </w:pPr>
      <w:bookmarkStart w:id="705" w:name="bookmark705"/>
      <w:r>
        <w:rPr>
          <w:rFonts w:ascii="Times New Roman" w:eastAsia="Times New Roman" w:hAnsi="Times New Roman" w:cs="Times New Roman"/>
          <w:b/>
          <w:bCs/>
          <w:color w:val="000000"/>
          <w:spacing w:val="0"/>
          <w:w w:val="100"/>
          <w:position w:val="0"/>
          <w:sz w:val="18"/>
          <w:szCs w:val="18"/>
        </w:rPr>
        <w:t>8</w:t>
      </w:r>
      <w:bookmarkEnd w:id="705"/>
      <w:r>
        <w:rPr>
          <w:b/>
          <w:bCs/>
          <w:color w:val="000000"/>
          <w:spacing w:val="0"/>
          <w:w w:val="100"/>
          <w:position w:val="0"/>
        </w:rPr>
        <w:t>、</w:t>
        <w:tab/>
        <w:t>关于内部审计体系</w:t>
      </w:r>
    </w:p>
    <w:p>
      <w:pPr>
        <w:pStyle w:val="Style41"/>
        <w:keepNext w:val="0"/>
        <w:keepLines w:val="0"/>
        <w:widowControl w:val="0"/>
        <w:shd w:val="clear" w:color="auto" w:fill="auto"/>
        <w:bidi w:val="0"/>
        <w:spacing w:before="0" w:after="0" w:line="466" w:lineRule="exact"/>
        <w:ind w:left="0" w:right="0"/>
        <w:jc w:val="both"/>
      </w:pPr>
      <w:r>
        <w:rPr>
          <w:color w:val="000000"/>
          <w:spacing w:val="0"/>
          <w:w w:val="100"/>
          <w:position w:val="0"/>
        </w:rPr>
        <w:t>公司董事会下设审计委员会，主要负责公司内部审计与外部审计之间进行沟通，并监督公司内部审计制度的实施，审查 公司内部控制制度的执行情况，审查公司的财务信息及披露正常等。审计委员会下设独立的内审部，内审部直接对审计委员 会负责及报告工作。公司严格根据《公司法》、《证券法》、《企业内部控制基本规范》等有关法律、法规和规章制度，结 合公司的实际情况、自身特点和管理需要，制定了贯穿于公司生产经营各层面、各环节的内部控制体系，规范经营，控制风 险。</w:t>
      </w:r>
    </w:p>
    <w:p>
      <w:pPr>
        <w:pStyle w:val="Style41"/>
        <w:keepNext w:val="0"/>
        <w:keepLines w:val="0"/>
        <w:widowControl w:val="0"/>
        <w:shd w:val="clear" w:color="auto" w:fill="auto"/>
        <w:bidi w:val="0"/>
        <w:spacing w:before="0" w:after="260" w:line="466" w:lineRule="exact"/>
        <w:ind w:left="0" w:right="0" w:firstLine="0"/>
        <w:jc w:val="left"/>
      </w:pPr>
      <w:r>
        <w:rPr>
          <w:b/>
          <w:bCs/>
          <w:color w:val="000000"/>
          <w:spacing w:val="0"/>
          <w:w w:val="100"/>
          <w:position w:val="0"/>
        </w:rPr>
        <w:t>公司治理的实际状况与中国证监会发布的有关上市公司治理的规范性文件是否存在重大差异</w:t>
      </w:r>
    </w:p>
    <w:p>
      <w:pPr>
        <w:pStyle w:val="Style41"/>
        <w:keepNext w:val="0"/>
        <w:keepLines w:val="0"/>
        <w:widowControl w:val="0"/>
        <w:shd w:val="clear" w:color="auto" w:fill="auto"/>
        <w:bidi w:val="0"/>
        <w:spacing w:before="0" w:after="0" w:line="5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是</w:t>
      </w:r>
      <w:r>
        <w:rPr>
          <w:b/>
          <w:bCs/>
          <w:i/>
          <w:iCs/>
          <w:color w:val="000000"/>
          <w:spacing w:val="0"/>
          <w:w w:val="100"/>
          <w:position w:val="0"/>
        </w:rPr>
        <w:t>V</w:t>
      </w:r>
      <w:r>
        <w:rPr>
          <w:b/>
          <w:bCs/>
          <w:color w:val="000000"/>
          <w:spacing w:val="0"/>
          <w:w w:val="100"/>
          <w:position w:val="0"/>
        </w:rPr>
        <w:t>否</w:t>
      </w:r>
    </w:p>
    <w:p>
      <w:pPr>
        <w:pStyle w:val="Style41"/>
        <w:keepNext w:val="0"/>
        <w:keepLines w:val="0"/>
        <w:widowControl w:val="0"/>
        <w:shd w:val="clear" w:color="auto" w:fill="auto"/>
        <w:bidi w:val="0"/>
        <w:spacing w:before="0" w:after="420" w:line="466" w:lineRule="exact"/>
        <w:ind w:left="0" w:right="0" w:firstLine="0"/>
        <w:jc w:val="left"/>
      </w:pPr>
      <w:r>
        <w:rPr>
          <w:color w:val="000000"/>
          <w:spacing w:val="0"/>
          <w:w w:val="100"/>
          <w:position w:val="0"/>
        </w:rPr>
        <w:t>公司治理的实际状况与中国证监会发布的有关上市公司治理的规范性文件不存在重大差异。</w:t>
      </w:r>
    </w:p>
    <w:p>
      <w:pPr>
        <w:pStyle w:val="Style39"/>
        <w:keepNext/>
        <w:keepLines/>
        <w:widowControl w:val="0"/>
        <w:shd w:val="clear" w:color="auto" w:fill="auto"/>
        <w:bidi w:val="0"/>
        <w:spacing w:before="0" w:after="200" w:line="240" w:lineRule="auto"/>
        <w:ind w:left="0" w:right="0" w:firstLine="0"/>
        <w:jc w:val="left"/>
      </w:pPr>
      <w:bookmarkStart w:id="706" w:name="bookmark706"/>
      <w:bookmarkStart w:id="707" w:name="bookmark707"/>
      <w:bookmarkStart w:id="708" w:name="bookmark708"/>
      <w:bookmarkStart w:id="709" w:name="bookmark709"/>
      <w:r>
        <w:rPr>
          <w:color w:val="000000"/>
          <w:spacing w:val="0"/>
          <w:w w:val="100"/>
          <w:position w:val="0"/>
          <w:sz w:val="24"/>
          <w:szCs w:val="24"/>
        </w:rPr>
        <w:t>二</w:t>
      </w:r>
      <w:bookmarkEnd w:id="708"/>
      <w:r>
        <w:rPr>
          <w:color w:val="000000"/>
          <w:spacing w:val="0"/>
          <w:w w:val="100"/>
          <w:position w:val="0"/>
          <w:sz w:val="24"/>
          <w:szCs w:val="24"/>
        </w:rPr>
        <w:t>、公司相对于控股股东在业务、人员、资产、机构、财务等方面的独立情况</w:t>
      </w:r>
      <w:bookmarkEnd w:id="706"/>
      <w:bookmarkEnd w:id="707"/>
      <w:bookmarkEnd w:id="709"/>
    </w:p>
    <w:p>
      <w:pPr>
        <w:pStyle w:val="Style41"/>
        <w:keepNext w:val="0"/>
        <w:keepLines w:val="0"/>
        <w:widowControl w:val="0"/>
        <w:shd w:val="clear" w:color="auto" w:fill="auto"/>
        <w:bidi w:val="0"/>
        <w:spacing w:before="0" w:after="0" w:line="474" w:lineRule="exact"/>
        <w:ind w:left="0" w:right="0"/>
        <w:jc w:val="both"/>
      </w:pPr>
      <w:r>
        <w:rPr>
          <w:color w:val="000000"/>
          <w:spacing w:val="0"/>
          <w:w w:val="100"/>
          <w:position w:val="0"/>
        </w:rPr>
        <w:t>公司与控股股东、实际控制人实行了人员、资产、财务分开，机构、业务独立，各自独立核算、独立承担责任和风险， 公司具有独立、完整的业务和自主经营的能力。</w:t>
      </w:r>
    </w:p>
    <w:p>
      <w:pPr>
        <w:pStyle w:val="Style41"/>
        <w:keepNext w:val="0"/>
        <w:keepLines w:val="0"/>
        <w:widowControl w:val="0"/>
        <w:shd w:val="clear" w:color="auto" w:fill="auto"/>
        <w:tabs>
          <w:tab w:pos="704" w:val="left"/>
        </w:tabs>
        <w:bidi w:val="0"/>
        <w:spacing w:before="0" w:after="0" w:line="474" w:lineRule="exact"/>
        <w:ind w:left="0" w:right="0"/>
        <w:jc w:val="both"/>
      </w:pPr>
      <w:bookmarkStart w:id="710" w:name="bookmark710"/>
      <w:r>
        <w:rPr>
          <w:rFonts w:ascii="Times New Roman" w:eastAsia="Times New Roman" w:hAnsi="Times New Roman" w:cs="Times New Roman"/>
          <w:color w:val="000000"/>
          <w:spacing w:val="0"/>
          <w:w w:val="100"/>
          <w:position w:val="0"/>
          <w:sz w:val="18"/>
          <w:szCs w:val="18"/>
        </w:rPr>
        <w:t>1</w:t>
      </w:r>
      <w:bookmarkEnd w:id="710"/>
      <w:r>
        <w:rPr>
          <w:color w:val="000000"/>
          <w:spacing w:val="0"/>
          <w:w w:val="100"/>
          <w:position w:val="0"/>
        </w:rPr>
        <w:t>、</w:t>
        <w:tab/>
        <w:t>业务方面：公司在业务方面完全独立于控股股东、实际控制人及其关联人，具有独立自主地开展生产经营活动的能 力。</w:t>
      </w:r>
    </w:p>
    <w:p>
      <w:pPr>
        <w:pStyle w:val="Style41"/>
        <w:keepNext w:val="0"/>
        <w:keepLines w:val="0"/>
        <w:widowControl w:val="0"/>
        <w:shd w:val="clear" w:color="auto" w:fill="auto"/>
        <w:tabs>
          <w:tab w:pos="699" w:val="left"/>
        </w:tabs>
        <w:bidi w:val="0"/>
        <w:spacing w:before="0" w:after="0" w:line="474" w:lineRule="exact"/>
        <w:ind w:left="0" w:right="0"/>
        <w:jc w:val="both"/>
      </w:pPr>
      <w:bookmarkStart w:id="711" w:name="bookmark711"/>
      <w:r>
        <w:rPr>
          <w:rFonts w:ascii="Times New Roman" w:eastAsia="Times New Roman" w:hAnsi="Times New Roman" w:cs="Times New Roman"/>
          <w:color w:val="000000"/>
          <w:spacing w:val="0"/>
          <w:w w:val="100"/>
          <w:position w:val="0"/>
          <w:sz w:val="18"/>
          <w:szCs w:val="18"/>
        </w:rPr>
        <w:t>2</w:t>
      </w:r>
      <w:bookmarkEnd w:id="711"/>
      <w:r>
        <w:rPr>
          <w:color w:val="000000"/>
          <w:spacing w:val="0"/>
          <w:w w:val="100"/>
          <w:position w:val="0"/>
        </w:rPr>
        <w:t>、</w:t>
        <w:tab/>
        <w:t>人员方面：公司设有独立的人力资源部，负责人力资源开发与管理，与控股股东、实际控制人在劳动、人事及工资 管理等方面相互独立。</w:t>
      </w:r>
    </w:p>
    <w:p>
      <w:pPr>
        <w:pStyle w:val="Style41"/>
        <w:keepNext w:val="0"/>
        <w:keepLines w:val="0"/>
        <w:widowControl w:val="0"/>
        <w:shd w:val="clear" w:color="auto" w:fill="auto"/>
        <w:tabs>
          <w:tab w:pos="734" w:val="left"/>
        </w:tabs>
        <w:bidi w:val="0"/>
        <w:spacing w:before="0" w:after="220" w:line="474" w:lineRule="exact"/>
        <w:ind w:left="0" w:right="0"/>
        <w:jc w:val="both"/>
      </w:pPr>
      <w:bookmarkStart w:id="712" w:name="bookmark712"/>
      <w:r>
        <w:rPr>
          <w:rFonts w:ascii="Times New Roman" w:eastAsia="Times New Roman" w:hAnsi="Times New Roman" w:cs="Times New Roman"/>
          <w:color w:val="000000"/>
          <w:spacing w:val="0"/>
          <w:w w:val="100"/>
          <w:position w:val="0"/>
          <w:sz w:val="18"/>
          <w:szCs w:val="18"/>
        </w:rPr>
        <w:t>3</w:t>
      </w:r>
      <w:bookmarkEnd w:id="712"/>
      <w:r>
        <w:rPr>
          <w:color w:val="000000"/>
          <w:spacing w:val="0"/>
          <w:w w:val="100"/>
          <w:position w:val="0"/>
        </w:rPr>
        <w:t>、</w:t>
        <w:tab/>
        <w:t>资产方面：公司具有独立的法人资格，对公司财产拥有独立的法人财产权，公司拥有独立的土地使用权、房屋产权</w:t>
      </w:r>
    </w:p>
    <w:p>
      <w:pPr>
        <w:pStyle w:val="Style212"/>
        <w:keepNext w:val="0"/>
        <w:keepLines w:val="0"/>
        <w:widowControl w:val="0"/>
        <w:shd w:val="clear" w:color="auto" w:fill="auto"/>
        <w:bidi w:val="0"/>
        <w:spacing w:before="0" w:after="0" w:line="240" w:lineRule="auto"/>
        <w:ind w:left="0" w:right="0" w:firstLine="0"/>
        <w:jc w:val="both"/>
      </w:pPr>
      <w:r>
        <w:rPr>
          <w:spacing w:val="0"/>
          <w:w w:val="100"/>
          <w:position w:val="0"/>
        </w:rPr>
        <w:t>Ultrapoiuer</w:t>
      </w:r>
    </w:p>
    <w:p>
      <w:pPr>
        <w:pStyle w:val="Style41"/>
        <w:keepNext w:val="0"/>
        <w:keepLines w:val="0"/>
        <w:widowControl w:val="0"/>
        <w:pBdr>
          <w:top w:val="single" w:sz="4" w:space="0" w:color="auto"/>
        </w:pBdr>
        <w:shd w:val="clear" w:color="auto" w:fill="auto"/>
        <w:bidi w:val="0"/>
        <w:spacing w:before="0" w:after="0" w:line="451" w:lineRule="exact"/>
        <w:ind w:left="0" w:right="0" w:firstLine="820"/>
        <w:jc w:val="both"/>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 和经营权，公司的资产完全独立于控股股东、实际控制人。</w:t>
      </w:r>
    </w:p>
    <w:p>
      <w:pPr>
        <w:pStyle w:val="Style41"/>
        <w:keepNext w:val="0"/>
        <w:keepLines w:val="0"/>
        <w:widowControl w:val="0"/>
        <w:shd w:val="clear" w:color="auto" w:fill="auto"/>
        <w:tabs>
          <w:tab w:pos="704" w:val="left"/>
        </w:tabs>
        <w:bidi w:val="0"/>
        <w:spacing w:before="0" w:after="0" w:line="480" w:lineRule="exact"/>
        <w:ind w:left="0" w:right="0"/>
        <w:jc w:val="both"/>
      </w:pPr>
      <w:bookmarkStart w:id="713" w:name="bookmark713"/>
      <w:r>
        <w:rPr>
          <w:rFonts w:ascii="Times New Roman" w:eastAsia="Times New Roman" w:hAnsi="Times New Roman" w:cs="Times New Roman"/>
          <w:color w:val="000000"/>
          <w:spacing w:val="0"/>
          <w:w w:val="100"/>
          <w:position w:val="0"/>
          <w:sz w:val="18"/>
          <w:szCs w:val="18"/>
        </w:rPr>
        <w:t>4</w:t>
      </w:r>
      <w:bookmarkEnd w:id="713"/>
      <w:r>
        <w:rPr>
          <w:color w:val="000000"/>
          <w:spacing w:val="0"/>
          <w:w w:val="100"/>
          <w:position w:val="0"/>
        </w:rPr>
        <w:t>、</w:t>
        <w:tab/>
        <w:t>机构方面：公司的董事会、监事会及其他内部机构独立运作，独立行使经营管理权，不存在与控股股东、实际控制 人及其关联人机构混同等影响公司独立运营的情形。</w:t>
      </w:r>
    </w:p>
    <w:p>
      <w:pPr>
        <w:pStyle w:val="Style41"/>
        <w:keepNext w:val="0"/>
        <w:keepLines w:val="0"/>
        <w:widowControl w:val="0"/>
        <w:shd w:val="clear" w:color="auto" w:fill="auto"/>
        <w:tabs>
          <w:tab w:pos="714" w:val="left"/>
        </w:tabs>
        <w:bidi w:val="0"/>
        <w:spacing w:before="0" w:after="440" w:line="475" w:lineRule="exact"/>
        <w:ind w:left="0" w:right="0"/>
        <w:jc w:val="both"/>
      </w:pPr>
      <w:bookmarkStart w:id="714" w:name="bookmark714"/>
      <w:r>
        <w:rPr>
          <w:rFonts w:ascii="Times New Roman" w:eastAsia="Times New Roman" w:hAnsi="Times New Roman" w:cs="Times New Roman"/>
          <w:color w:val="000000"/>
          <w:spacing w:val="0"/>
          <w:w w:val="100"/>
          <w:position w:val="0"/>
          <w:sz w:val="18"/>
          <w:szCs w:val="18"/>
        </w:rPr>
        <w:t>5</w:t>
      </w:r>
      <w:bookmarkEnd w:id="714"/>
      <w:r>
        <w:rPr>
          <w:color w:val="000000"/>
          <w:spacing w:val="0"/>
          <w:w w:val="100"/>
          <w:position w:val="0"/>
        </w:rPr>
        <w:t>、</w:t>
        <w:tab/>
        <w:t>财务方面：公司设有完全独立的财务部门，拥有独立的会计核算体系、健全的财务管理制度，公司独立在银行开户， 控股股东、实际控制人不存在干预公司财务、会计活动的情况。</w:t>
      </w:r>
    </w:p>
    <w:p>
      <w:pPr>
        <w:pStyle w:val="Style39"/>
        <w:keepNext/>
        <w:keepLines/>
        <w:widowControl w:val="0"/>
        <w:shd w:val="clear" w:color="auto" w:fill="auto"/>
        <w:bidi w:val="0"/>
        <w:spacing w:before="0" w:after="440" w:line="240" w:lineRule="auto"/>
        <w:ind w:left="0" w:right="0" w:firstLine="0"/>
        <w:jc w:val="left"/>
      </w:pPr>
      <w:bookmarkStart w:id="715" w:name="bookmark715"/>
      <w:bookmarkStart w:id="716" w:name="bookmark716"/>
      <w:bookmarkStart w:id="717" w:name="bookmark717"/>
      <w:bookmarkStart w:id="718" w:name="bookmark718"/>
      <w:r>
        <w:rPr>
          <w:color w:val="000000"/>
          <w:spacing w:val="0"/>
          <w:w w:val="100"/>
          <w:position w:val="0"/>
          <w:sz w:val="24"/>
          <w:szCs w:val="24"/>
        </w:rPr>
        <w:t>三</w:t>
      </w:r>
      <w:bookmarkEnd w:id="717"/>
      <w:r>
        <w:rPr>
          <w:color w:val="000000"/>
          <w:spacing w:val="0"/>
          <w:w w:val="100"/>
          <w:position w:val="0"/>
          <w:sz w:val="24"/>
          <w:szCs w:val="24"/>
        </w:rPr>
        <w:t>、同业竞争情况</w:t>
      </w:r>
      <w:bookmarkEnd w:id="715"/>
      <w:bookmarkEnd w:id="716"/>
      <w:bookmarkEnd w:id="718"/>
    </w:p>
    <w:p>
      <w:pPr>
        <w:pStyle w:val="Style41"/>
        <w:keepNext w:val="0"/>
        <w:keepLines w:val="0"/>
        <w:widowControl w:val="0"/>
        <w:shd w:val="clear" w:color="auto" w:fill="auto"/>
        <w:bidi w:val="0"/>
        <w:spacing w:before="0" w:after="140" w:line="552"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b/>
          <w:bCs/>
          <w:i/>
          <w:iCs/>
          <w:color w:val="000000"/>
          <w:spacing w:val="0"/>
          <w:w w:val="100"/>
          <w:position w:val="0"/>
        </w:rPr>
        <w:t>V</w:t>
      </w:r>
      <w:r>
        <w:rPr>
          <w:b/>
          <w:bCs/>
          <w:color w:val="000000"/>
          <w:spacing w:val="0"/>
          <w:w w:val="100"/>
          <w:position w:val="0"/>
        </w:rPr>
        <w:t>不适用</w:t>
      </w:r>
    </w:p>
    <w:p>
      <w:pPr>
        <w:pStyle w:val="Style39"/>
        <w:keepNext/>
        <w:keepLines/>
        <w:widowControl w:val="0"/>
        <w:shd w:val="clear" w:color="auto" w:fill="auto"/>
        <w:bidi w:val="0"/>
        <w:spacing w:before="0" w:after="340" w:line="240" w:lineRule="auto"/>
        <w:ind w:left="0" w:right="0" w:firstLine="0"/>
        <w:jc w:val="left"/>
      </w:pPr>
      <w:bookmarkStart w:id="719" w:name="bookmark719"/>
      <w:bookmarkStart w:id="720" w:name="bookmark720"/>
      <w:bookmarkStart w:id="721" w:name="bookmark721"/>
      <w:bookmarkStart w:id="722" w:name="bookmark722"/>
      <w:r>
        <w:rPr>
          <w:color w:val="000000"/>
          <w:spacing w:val="0"/>
          <w:w w:val="100"/>
          <w:position w:val="0"/>
          <w:sz w:val="24"/>
          <w:szCs w:val="24"/>
        </w:rPr>
        <w:t>四</w:t>
      </w:r>
      <w:bookmarkEnd w:id="721"/>
      <w:r>
        <w:rPr>
          <w:color w:val="000000"/>
          <w:spacing w:val="0"/>
          <w:w w:val="100"/>
          <w:position w:val="0"/>
          <w:sz w:val="24"/>
          <w:szCs w:val="24"/>
        </w:rPr>
        <w:t>、报告期内召开的年度股东大会和临时股东大会的有关情况</w:t>
      </w:r>
      <w:bookmarkEnd w:id="719"/>
      <w:bookmarkEnd w:id="720"/>
      <w:bookmarkEnd w:id="722"/>
    </w:p>
    <w:p>
      <w:pPr>
        <w:pStyle w:val="Style47"/>
        <w:keepNext/>
        <w:keepLines/>
        <w:widowControl w:val="0"/>
        <w:shd w:val="clear" w:color="auto" w:fill="auto"/>
        <w:bidi w:val="0"/>
        <w:spacing w:before="0" w:after="340" w:line="240" w:lineRule="auto"/>
        <w:ind w:left="0" w:right="0" w:firstLine="0"/>
        <w:jc w:val="left"/>
      </w:pPr>
      <w:bookmarkStart w:id="723" w:name="bookmark723"/>
      <w:bookmarkStart w:id="724" w:name="bookmark724"/>
      <w:bookmarkStart w:id="725" w:name="bookmark725"/>
      <w:bookmarkStart w:id="726" w:name="bookmark726"/>
      <w:r>
        <w:rPr>
          <w:color w:val="000000"/>
          <w:spacing w:val="0"/>
          <w:w w:val="100"/>
          <w:position w:val="0"/>
        </w:rPr>
        <w:t>1</w:t>
      </w:r>
      <w:bookmarkEnd w:id="725"/>
      <w:r>
        <w:rPr>
          <w:color w:val="000000"/>
          <w:spacing w:val="0"/>
          <w:w w:val="100"/>
          <w:position w:val="0"/>
        </w:rPr>
        <w:t>、本报告期股东大会情况</w:t>
      </w:r>
      <w:bookmarkEnd w:id="723"/>
      <w:bookmarkEnd w:id="724"/>
      <w:bookmarkEnd w:id="726"/>
    </w:p>
    <w:tbl>
      <w:tblPr>
        <w:tblOverlap w:val="never"/>
        <w:jc w:val="center"/>
        <w:tblLayout w:type="fixed"/>
      </w:tblPr>
      <w:tblGrid>
        <w:gridCol w:w="2304"/>
        <w:gridCol w:w="1416"/>
        <w:gridCol w:w="941"/>
        <w:gridCol w:w="1608"/>
        <w:gridCol w:w="1493"/>
        <w:gridCol w:w="1949"/>
      </w:tblGrid>
      <w:tr>
        <w:trPr>
          <w:trHeight w:val="720"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会议届次</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会议类型</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投资者参 与比例</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召开日期</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披露日期</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披露索引</w:t>
            </w:r>
          </w:p>
        </w:tc>
      </w:tr>
      <w:tr>
        <w:trPr>
          <w:trHeight w:val="102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年第一次临时股东大会</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pPr>
            <w:r>
              <w:rPr>
                <w:color w:val="000000"/>
                <w:spacing w:val="0"/>
                <w:w w:val="100"/>
                <w:position w:val="0"/>
              </w:rPr>
              <w:t>临时股东大会</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20.35%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03</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30</w:t>
            </w:r>
            <w:r>
              <w:rPr>
                <w:color w:val="000000"/>
                <w:spacing w:val="0"/>
                <w:w w:val="100"/>
                <w:position w:val="0"/>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03</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30</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巨潮资讯网</w:t>
            </w:r>
          </w:p>
          <w:p>
            <w:pPr>
              <w:pStyle w:val="Style2"/>
              <w:keepNext w:val="0"/>
              <w:keepLines w:val="0"/>
              <w:widowControl w:val="0"/>
              <w:shd w:val="clear" w:color="auto" w:fill="auto"/>
              <w:bidi w:val="0"/>
              <w:spacing w:before="0" w:after="100" w:line="240" w:lineRule="auto"/>
              <w:ind w:left="0" w:right="0" w:firstLine="0"/>
              <w:jc w:val="left"/>
              <w:rPr>
                <w:sz w:val="18"/>
                <w:szCs w:val="18"/>
              </w:rPr>
            </w:pPr>
            <w:r>
              <w:fldChar w:fldCharType="begin"/>
            </w:r>
            <w:r>
              <w:rPr/>
              <w:instrText> HYPERLINK "http://www.cninfo.com.cn" </w:instrText>
            </w:r>
            <w:r>
              <w:fldChar w:fldCharType="separate"/>
            </w:r>
            <w:r>
              <w:rPr>
                <w:rFonts w:ascii="Times New Roman" w:eastAsia="Times New Roman" w:hAnsi="Times New Roman" w:cs="Times New Roman"/>
                <w:color w:val="000000"/>
                <w:spacing w:val="0"/>
                <w:w w:val="100"/>
                <w:position w:val="0"/>
                <w:sz w:val="18"/>
                <w:szCs w:val="18"/>
              </w:rPr>
              <w:t>http://www.cninfo.com.cn</w:t>
            </w:r>
            <w:r>
              <w:fldChar w:fldCharType="end"/>
            </w:r>
          </w:p>
          <w:p>
            <w:pPr>
              <w:pStyle w:val="Style2"/>
              <w:keepNext w:val="0"/>
              <w:keepLines w:val="0"/>
              <w:widowControl w:val="0"/>
              <w:shd w:val="clear" w:color="auto" w:fill="auto"/>
              <w:bidi w:val="0"/>
              <w:spacing w:before="0" w:after="100" w:line="240" w:lineRule="auto"/>
              <w:ind w:left="0" w:right="0" w:firstLine="160"/>
              <w:jc w:val="left"/>
              <w:rPr>
                <w:sz w:val="18"/>
                <w:szCs w:val="18"/>
              </w:rPr>
            </w:pPr>
            <w:r>
              <w:rPr>
                <w:color w:val="000000"/>
                <w:spacing w:val="0"/>
                <w:w w:val="100"/>
                <w:position w:val="0"/>
                <w:sz w:val="17"/>
                <w:szCs w:val="17"/>
              </w:rPr>
              <w:t>公告编号：</w:t>
            </w:r>
            <w:r>
              <w:rPr>
                <w:rFonts w:ascii="Times New Roman" w:eastAsia="Times New Roman" w:hAnsi="Times New Roman" w:cs="Times New Roman"/>
                <w:color w:val="000000"/>
                <w:spacing w:val="0"/>
                <w:w w:val="100"/>
                <w:position w:val="0"/>
                <w:sz w:val="18"/>
                <w:szCs w:val="18"/>
              </w:rPr>
              <w:t>2020-021</w:t>
            </w:r>
          </w:p>
        </w:tc>
      </w:tr>
      <w:tr>
        <w:trPr>
          <w:trHeight w:val="102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2019</w:t>
            </w:r>
            <w:r>
              <w:rPr>
                <w:color w:val="000000"/>
                <w:spacing w:val="0"/>
                <w:w w:val="100"/>
                <w:position w:val="0"/>
              </w:rPr>
              <w:t>年度股东大会</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pPr>
            <w:r>
              <w:rPr>
                <w:color w:val="000000"/>
                <w:spacing w:val="0"/>
                <w:w w:val="100"/>
                <w:position w:val="0"/>
              </w:rPr>
              <w:t>年度股东大会</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20.35%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05</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19</w:t>
            </w:r>
            <w:r>
              <w:rPr>
                <w:color w:val="000000"/>
                <w:spacing w:val="0"/>
                <w:w w:val="100"/>
                <w:position w:val="0"/>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05</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20</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巨潮资讯网</w:t>
            </w:r>
          </w:p>
          <w:p>
            <w:pPr>
              <w:pStyle w:val="Style2"/>
              <w:keepNext w:val="0"/>
              <w:keepLines w:val="0"/>
              <w:widowControl w:val="0"/>
              <w:shd w:val="clear" w:color="auto" w:fill="auto"/>
              <w:bidi w:val="0"/>
              <w:spacing w:before="0" w:after="100" w:line="240" w:lineRule="auto"/>
              <w:ind w:left="0" w:right="0" w:firstLine="0"/>
              <w:jc w:val="left"/>
              <w:rPr>
                <w:sz w:val="18"/>
                <w:szCs w:val="18"/>
              </w:rPr>
            </w:pPr>
            <w:r>
              <w:fldChar w:fldCharType="begin"/>
            </w:r>
            <w:r>
              <w:rPr/>
              <w:instrText> HYPERLINK "http://www.cninfo.com.cn" </w:instrText>
            </w:r>
            <w:r>
              <w:fldChar w:fldCharType="separate"/>
            </w:r>
            <w:r>
              <w:rPr>
                <w:rFonts w:ascii="Times New Roman" w:eastAsia="Times New Roman" w:hAnsi="Times New Roman" w:cs="Times New Roman"/>
                <w:color w:val="000000"/>
                <w:spacing w:val="0"/>
                <w:w w:val="100"/>
                <w:position w:val="0"/>
                <w:sz w:val="18"/>
                <w:szCs w:val="18"/>
              </w:rPr>
              <w:t>http://www.cninfo.com.cn</w:t>
            </w:r>
            <w:r>
              <w:fldChar w:fldCharType="end"/>
            </w:r>
          </w:p>
          <w:p>
            <w:pPr>
              <w:pStyle w:val="Style2"/>
              <w:keepNext w:val="0"/>
              <w:keepLines w:val="0"/>
              <w:widowControl w:val="0"/>
              <w:shd w:val="clear" w:color="auto" w:fill="auto"/>
              <w:bidi w:val="0"/>
              <w:spacing w:before="0" w:after="100" w:line="240" w:lineRule="auto"/>
              <w:ind w:left="0" w:right="0" w:firstLine="160"/>
              <w:jc w:val="left"/>
              <w:rPr>
                <w:sz w:val="18"/>
                <w:szCs w:val="18"/>
              </w:rPr>
            </w:pPr>
            <w:r>
              <w:rPr>
                <w:color w:val="000000"/>
                <w:spacing w:val="0"/>
                <w:w w:val="100"/>
                <w:position w:val="0"/>
                <w:sz w:val="17"/>
                <w:szCs w:val="17"/>
              </w:rPr>
              <w:t>公告编号：</w:t>
            </w:r>
            <w:r>
              <w:rPr>
                <w:rFonts w:ascii="Times New Roman" w:eastAsia="Times New Roman" w:hAnsi="Times New Roman" w:cs="Times New Roman"/>
                <w:color w:val="000000"/>
                <w:spacing w:val="0"/>
                <w:w w:val="100"/>
                <w:position w:val="0"/>
                <w:sz w:val="18"/>
                <w:szCs w:val="18"/>
              </w:rPr>
              <w:t>2020-045</w:t>
            </w:r>
          </w:p>
        </w:tc>
      </w:tr>
      <w:tr>
        <w:trPr>
          <w:trHeight w:val="10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年第二次临时股东大会</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pPr>
            <w:r>
              <w:rPr>
                <w:color w:val="000000"/>
                <w:spacing w:val="0"/>
                <w:w w:val="100"/>
                <w:position w:val="0"/>
              </w:rPr>
              <w:t>临时股东大会</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19.66%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06</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17</w:t>
            </w:r>
            <w:r>
              <w:rPr>
                <w:color w:val="000000"/>
                <w:spacing w:val="0"/>
                <w:w w:val="100"/>
                <w:position w:val="0"/>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06</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17</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巨潮资讯网</w:t>
            </w:r>
          </w:p>
          <w:p>
            <w:pPr>
              <w:pStyle w:val="Style2"/>
              <w:keepNext w:val="0"/>
              <w:keepLines w:val="0"/>
              <w:widowControl w:val="0"/>
              <w:shd w:val="clear" w:color="auto" w:fill="auto"/>
              <w:bidi w:val="0"/>
              <w:spacing w:before="0" w:after="100" w:line="240" w:lineRule="auto"/>
              <w:ind w:left="0" w:right="0" w:firstLine="0"/>
              <w:jc w:val="left"/>
              <w:rPr>
                <w:sz w:val="18"/>
                <w:szCs w:val="18"/>
              </w:rPr>
            </w:pPr>
            <w:r>
              <w:fldChar w:fldCharType="begin"/>
            </w:r>
            <w:r>
              <w:rPr/>
              <w:instrText> HYPERLINK "http://www.cninfo.com.cn" </w:instrText>
            </w:r>
            <w:r>
              <w:fldChar w:fldCharType="separate"/>
            </w:r>
            <w:r>
              <w:rPr>
                <w:rFonts w:ascii="Times New Roman" w:eastAsia="Times New Roman" w:hAnsi="Times New Roman" w:cs="Times New Roman"/>
                <w:color w:val="000000"/>
                <w:spacing w:val="0"/>
                <w:w w:val="100"/>
                <w:position w:val="0"/>
                <w:sz w:val="18"/>
                <w:szCs w:val="18"/>
              </w:rPr>
              <w:t>http://www.cninfo.com.cn</w:t>
            </w:r>
            <w:r>
              <w:fldChar w:fldCharType="end"/>
            </w:r>
          </w:p>
          <w:p>
            <w:pPr>
              <w:pStyle w:val="Style2"/>
              <w:keepNext w:val="0"/>
              <w:keepLines w:val="0"/>
              <w:widowControl w:val="0"/>
              <w:shd w:val="clear" w:color="auto" w:fill="auto"/>
              <w:bidi w:val="0"/>
              <w:spacing w:before="0" w:after="100" w:line="240" w:lineRule="auto"/>
              <w:ind w:left="0" w:right="0" w:firstLine="160"/>
              <w:jc w:val="left"/>
              <w:rPr>
                <w:sz w:val="18"/>
                <w:szCs w:val="18"/>
              </w:rPr>
            </w:pPr>
            <w:r>
              <w:rPr>
                <w:color w:val="000000"/>
                <w:spacing w:val="0"/>
                <w:w w:val="100"/>
                <w:position w:val="0"/>
                <w:sz w:val="17"/>
                <w:szCs w:val="17"/>
              </w:rPr>
              <w:t>公告编号：</w:t>
            </w:r>
            <w:r>
              <w:rPr>
                <w:rFonts w:ascii="Times New Roman" w:eastAsia="Times New Roman" w:hAnsi="Times New Roman" w:cs="Times New Roman"/>
                <w:color w:val="000000"/>
                <w:spacing w:val="0"/>
                <w:w w:val="100"/>
                <w:position w:val="0"/>
                <w:sz w:val="18"/>
                <w:szCs w:val="18"/>
              </w:rPr>
              <w:t>2020-058</w:t>
            </w:r>
          </w:p>
        </w:tc>
      </w:tr>
      <w:tr>
        <w:trPr>
          <w:trHeight w:val="1037"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年第三次临时股东大会</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pPr>
            <w:r>
              <w:rPr>
                <w:color w:val="000000"/>
                <w:spacing w:val="0"/>
                <w:w w:val="100"/>
                <w:position w:val="0"/>
              </w:rPr>
              <w:t>临时股东大会</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18.46%</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07</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27</w:t>
            </w:r>
            <w:r>
              <w:rPr>
                <w:color w:val="000000"/>
                <w:spacing w:val="0"/>
                <w:w w:val="100"/>
                <w:position w:val="0"/>
              </w:rPr>
              <w:t>日</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07</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27</w:t>
            </w:r>
            <w:r>
              <w:rPr>
                <w:color w:val="000000"/>
                <w:spacing w:val="0"/>
                <w:w w:val="100"/>
                <w:position w:val="0"/>
              </w:rPr>
              <w:t>日</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巨潮资讯网</w:t>
            </w:r>
          </w:p>
          <w:p>
            <w:pPr>
              <w:pStyle w:val="Style2"/>
              <w:keepNext w:val="0"/>
              <w:keepLines w:val="0"/>
              <w:widowControl w:val="0"/>
              <w:shd w:val="clear" w:color="auto" w:fill="auto"/>
              <w:bidi w:val="0"/>
              <w:spacing w:before="0" w:after="100" w:line="240" w:lineRule="auto"/>
              <w:ind w:left="0" w:right="0" w:firstLine="0"/>
              <w:jc w:val="left"/>
              <w:rPr>
                <w:sz w:val="18"/>
                <w:szCs w:val="18"/>
              </w:rPr>
            </w:pPr>
            <w:r>
              <w:fldChar w:fldCharType="begin"/>
            </w:r>
            <w:r>
              <w:rPr/>
              <w:instrText> HYPERLINK "http://www.cninfo.com.cn" </w:instrText>
            </w:r>
            <w:r>
              <w:fldChar w:fldCharType="separate"/>
            </w:r>
            <w:r>
              <w:rPr>
                <w:rFonts w:ascii="Times New Roman" w:eastAsia="Times New Roman" w:hAnsi="Times New Roman" w:cs="Times New Roman"/>
                <w:color w:val="000000"/>
                <w:spacing w:val="0"/>
                <w:w w:val="100"/>
                <w:position w:val="0"/>
                <w:sz w:val="18"/>
                <w:szCs w:val="18"/>
              </w:rPr>
              <w:t>http://www.cninfo.com.cn</w:t>
            </w:r>
            <w:r>
              <w:fldChar w:fldCharType="end"/>
            </w:r>
          </w:p>
          <w:p>
            <w:pPr>
              <w:pStyle w:val="Style2"/>
              <w:keepNext w:val="0"/>
              <w:keepLines w:val="0"/>
              <w:widowControl w:val="0"/>
              <w:shd w:val="clear" w:color="auto" w:fill="auto"/>
              <w:bidi w:val="0"/>
              <w:spacing w:before="0" w:after="100" w:line="240" w:lineRule="auto"/>
              <w:ind w:left="0" w:right="0" w:firstLine="160"/>
              <w:jc w:val="left"/>
              <w:rPr>
                <w:sz w:val="18"/>
                <w:szCs w:val="18"/>
              </w:rPr>
            </w:pPr>
            <w:r>
              <w:rPr>
                <w:color w:val="000000"/>
                <w:spacing w:val="0"/>
                <w:w w:val="100"/>
                <w:position w:val="0"/>
                <w:sz w:val="17"/>
                <w:szCs w:val="17"/>
              </w:rPr>
              <w:t>公告编号：</w:t>
            </w:r>
            <w:r>
              <w:rPr>
                <w:rFonts w:ascii="Times New Roman" w:eastAsia="Times New Roman" w:hAnsi="Times New Roman" w:cs="Times New Roman"/>
                <w:color w:val="000000"/>
                <w:spacing w:val="0"/>
                <w:w w:val="100"/>
                <w:position w:val="0"/>
                <w:sz w:val="18"/>
                <w:szCs w:val="18"/>
              </w:rPr>
              <w:t>2020-074</w:t>
            </w:r>
          </w:p>
        </w:tc>
      </w:tr>
    </w:tbl>
    <w:p>
      <w:pPr>
        <w:widowControl w:val="0"/>
        <w:spacing w:after="339" w:line="1" w:lineRule="exact"/>
      </w:pPr>
    </w:p>
    <w:p>
      <w:pPr>
        <w:pStyle w:val="Style47"/>
        <w:keepNext/>
        <w:keepLines/>
        <w:widowControl w:val="0"/>
        <w:shd w:val="clear" w:color="auto" w:fill="auto"/>
        <w:bidi w:val="0"/>
        <w:spacing w:before="0" w:after="440" w:line="240" w:lineRule="auto"/>
        <w:ind w:left="0" w:right="0" w:firstLine="0"/>
        <w:jc w:val="left"/>
      </w:pPr>
      <w:bookmarkStart w:id="727" w:name="bookmark727"/>
      <w:bookmarkStart w:id="728" w:name="bookmark728"/>
      <w:bookmarkStart w:id="729" w:name="bookmark729"/>
      <w:bookmarkStart w:id="730" w:name="bookmark730"/>
      <w:r>
        <w:rPr>
          <w:color w:val="000000"/>
          <w:spacing w:val="0"/>
          <w:w w:val="100"/>
          <w:position w:val="0"/>
        </w:rPr>
        <w:t>2</w:t>
      </w:r>
      <w:bookmarkEnd w:id="729"/>
      <w:r>
        <w:rPr>
          <w:color w:val="000000"/>
          <w:spacing w:val="0"/>
          <w:w w:val="100"/>
          <w:position w:val="0"/>
        </w:rPr>
        <w:t>、表决权恢复的优先股股东请求召开临时股东大会</w:t>
      </w:r>
      <w:bookmarkEnd w:id="727"/>
      <w:bookmarkEnd w:id="728"/>
      <w:bookmarkEnd w:id="730"/>
    </w:p>
    <w:p>
      <w:pPr>
        <w:pStyle w:val="Style41"/>
        <w:keepNext w:val="0"/>
        <w:keepLines w:val="0"/>
        <w:widowControl w:val="0"/>
        <w:shd w:val="clear" w:color="auto" w:fill="auto"/>
        <w:bidi w:val="0"/>
        <w:spacing w:before="0" w:after="44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b/>
          <w:bCs/>
          <w:color w:val="000000"/>
          <w:spacing w:val="0"/>
          <w:w w:val="100"/>
          <w:position w:val="0"/>
          <w:sz w:val="18"/>
          <w:szCs w:val="18"/>
        </w:rPr>
        <w:t>V</w:t>
      </w:r>
      <w:r>
        <w:rPr>
          <w:b/>
          <w:bCs/>
          <w:color w:val="000000"/>
          <w:spacing w:val="0"/>
          <w:w w:val="100"/>
          <w:position w:val="0"/>
        </w:rPr>
        <w:t>不适用</w:t>
      </w:r>
    </w:p>
    <w:p>
      <w:pPr>
        <w:pStyle w:val="Style39"/>
        <w:keepNext/>
        <w:keepLines/>
        <w:widowControl w:val="0"/>
        <w:shd w:val="clear" w:color="auto" w:fill="auto"/>
        <w:bidi w:val="0"/>
        <w:spacing w:before="0" w:after="340" w:line="240" w:lineRule="auto"/>
        <w:ind w:left="0" w:right="0" w:firstLine="0"/>
        <w:jc w:val="left"/>
      </w:pPr>
      <w:bookmarkStart w:id="731" w:name="bookmark731"/>
      <w:bookmarkStart w:id="732" w:name="bookmark732"/>
      <w:bookmarkStart w:id="733" w:name="bookmark733"/>
      <w:bookmarkStart w:id="734" w:name="bookmark734"/>
      <w:r>
        <w:rPr>
          <w:color w:val="000000"/>
          <w:spacing w:val="0"/>
          <w:w w:val="100"/>
          <w:position w:val="0"/>
          <w:sz w:val="24"/>
          <w:szCs w:val="24"/>
        </w:rPr>
        <w:t>五</w:t>
      </w:r>
      <w:bookmarkEnd w:id="733"/>
      <w:r>
        <w:rPr>
          <w:color w:val="000000"/>
          <w:spacing w:val="0"/>
          <w:w w:val="100"/>
          <w:position w:val="0"/>
          <w:sz w:val="24"/>
          <w:szCs w:val="24"/>
        </w:rPr>
        <w:t>、报告期内独立董事履行职责的情况</w:t>
      </w:r>
      <w:bookmarkEnd w:id="731"/>
      <w:bookmarkEnd w:id="732"/>
      <w:bookmarkEnd w:id="734"/>
    </w:p>
    <w:p>
      <w:pPr>
        <w:pStyle w:val="Style47"/>
        <w:keepNext/>
        <w:keepLines/>
        <w:widowControl w:val="0"/>
        <w:shd w:val="clear" w:color="auto" w:fill="auto"/>
        <w:bidi w:val="0"/>
        <w:spacing w:before="0" w:after="340" w:line="240" w:lineRule="auto"/>
        <w:ind w:left="0" w:right="0" w:firstLine="0"/>
        <w:jc w:val="left"/>
      </w:pPr>
      <w:bookmarkStart w:id="735" w:name="bookmark735"/>
      <w:bookmarkStart w:id="736" w:name="bookmark736"/>
      <w:bookmarkStart w:id="737" w:name="bookmark737"/>
      <w:bookmarkStart w:id="738" w:name="bookmark738"/>
      <w:r>
        <w:rPr>
          <w:color w:val="000000"/>
          <w:spacing w:val="0"/>
          <w:w w:val="100"/>
          <w:position w:val="0"/>
        </w:rPr>
        <w:t>1</w:t>
      </w:r>
      <w:bookmarkEnd w:id="737"/>
      <w:r>
        <w:rPr>
          <w:color w:val="000000"/>
          <w:spacing w:val="0"/>
          <w:w w:val="100"/>
          <w:position w:val="0"/>
        </w:rPr>
        <w:t>、独立董事出席董事会及股东大会的情况</w:t>
      </w:r>
      <w:bookmarkEnd w:id="735"/>
      <w:bookmarkEnd w:id="736"/>
      <w:bookmarkEnd w:id="738"/>
    </w:p>
    <w:tbl>
      <w:tblPr>
        <w:tblOverlap w:val="never"/>
        <w:jc w:val="center"/>
        <w:tblLayout w:type="fixed"/>
      </w:tblPr>
      <w:tblGrid>
        <w:gridCol w:w="1594"/>
        <w:gridCol w:w="1277"/>
        <w:gridCol w:w="1133"/>
        <w:gridCol w:w="1277"/>
        <w:gridCol w:w="1133"/>
        <w:gridCol w:w="989"/>
        <w:gridCol w:w="1277"/>
        <w:gridCol w:w="1032"/>
      </w:tblGrid>
      <w:tr>
        <w:trPr>
          <w:trHeight w:val="408" w:hRule="exact"/>
        </w:trPr>
        <w:tc>
          <w:tcPr>
            <w:gridSpan w:val="8"/>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独立董事出席董事会及股东大会的情况</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240"/>
              <w:jc w:val="left"/>
            </w:pPr>
            <w:r>
              <w:rPr>
                <w:color w:val="000000"/>
                <w:spacing w:val="0"/>
                <w:w w:val="100"/>
                <w:position w:val="0"/>
              </w:rPr>
              <w:t>独立董事姓名</w:t>
            </w:r>
          </w:p>
        </w:tc>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本报告期应参</w:t>
            </w:r>
          </w:p>
        </w:tc>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现场出席董</w:t>
            </w:r>
          </w:p>
        </w:tc>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以通讯方式参</w:t>
            </w:r>
          </w:p>
        </w:tc>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委托出席董</w:t>
            </w:r>
          </w:p>
        </w:tc>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缺席董事会</w:t>
            </w:r>
          </w:p>
        </w:tc>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是否连续两次</w:t>
            </w:r>
          </w:p>
        </w:tc>
        <w:tc>
          <w:tcPr>
            <w:tcBorders>
              <w:top w:val="single" w:sz="4"/>
              <w:left w:val="single" w:sz="4"/>
              <w:bottom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出席股东大</w:t>
            </w:r>
          </w:p>
        </w:tc>
      </w:tr>
    </w:tbl>
    <w:p>
      <w:pPr>
        <w:sectPr>
          <w:headerReference w:type="default" r:id="rId245"/>
          <w:footerReference w:type="default" r:id="rId246"/>
          <w:headerReference w:type="even" r:id="rId247"/>
          <w:footerReference w:type="even" r:id="rId248"/>
          <w:footnotePr>
            <w:pos w:val="pageBottom"/>
            <w:numFmt w:val="decimal"/>
            <w:numRestart w:val="continuous"/>
          </w:footnotePr>
          <w:pgSz w:w="11904" w:h="17375"/>
          <w:pgMar w:top="1070" w:right="1017" w:bottom="1547" w:left="1099" w:header="642" w:footer="3" w:gutter="0"/>
          <w:cols w:space="720"/>
          <w:noEndnote/>
          <w:rtlGutter w:val="0"/>
          <w:docGrid w:linePitch="360"/>
        </w:sectPr>
      </w:pPr>
    </w:p>
    <w:tbl>
      <w:tblPr>
        <w:tblOverlap w:val="never"/>
        <w:jc w:val="center"/>
        <w:tblLayout w:type="fixed"/>
      </w:tblPr>
      <w:tblGrid>
        <w:gridCol w:w="1594"/>
        <w:gridCol w:w="1277"/>
        <w:gridCol w:w="1133"/>
        <w:gridCol w:w="1277"/>
        <w:gridCol w:w="1133"/>
        <w:gridCol w:w="989"/>
        <w:gridCol w:w="1277"/>
        <w:gridCol w:w="1032"/>
      </w:tblGrid>
      <w:tr>
        <w:trPr>
          <w:trHeight w:val="749" w:hRule="exact"/>
        </w:trPr>
        <w:tc>
          <w:tcPr>
            <w:tcBorders>
              <w:top w:val="single" w:sz="4"/>
              <w:left w:val="single" w:sz="4"/>
            </w:tcBorders>
            <w:shd w:val="clear" w:color="auto" w:fill="D7D7D7"/>
            <w:vAlign w:val="top"/>
          </w:tcPr>
          <w:p>
            <w:pPr>
              <w:widowControl w:val="0"/>
              <w:rPr>
                <w:sz w:val="10"/>
                <w:szCs w:val="10"/>
              </w:rPr>
            </w:pPr>
          </w:p>
        </w:tc>
        <w:tc>
          <w:tcPr>
            <w:tcBorders>
              <w:top w:val="single" w:sz="4"/>
              <w:left w:val="single" w:sz="4"/>
            </w:tcBorders>
            <w:shd w:val="clear" w:color="auto" w:fill="D7D7D7"/>
            <w:vAlign w:val="top"/>
          </w:tcPr>
          <w:p>
            <w:pPr>
              <w:pStyle w:val="Style2"/>
              <w:keepNext w:val="0"/>
              <w:keepLines w:val="0"/>
              <w:widowControl w:val="0"/>
              <w:shd w:val="clear" w:color="auto" w:fill="auto"/>
              <w:bidi w:val="0"/>
              <w:spacing w:before="140" w:after="0" w:line="240" w:lineRule="auto"/>
              <w:ind w:left="0" w:right="0" w:firstLine="0"/>
              <w:jc w:val="center"/>
            </w:pPr>
            <w:r>
              <w:rPr>
                <w:color w:val="000000"/>
                <w:spacing w:val="0"/>
                <w:w w:val="100"/>
                <w:position w:val="0"/>
              </w:rPr>
              <w:t>加董事会次数</w:t>
            </w:r>
          </w:p>
        </w:tc>
        <w:tc>
          <w:tcPr>
            <w:tcBorders>
              <w:top w:val="single" w:sz="4"/>
              <w:left w:val="single" w:sz="4"/>
            </w:tcBorders>
            <w:shd w:val="clear" w:color="auto" w:fill="D7D7D7"/>
            <w:vAlign w:val="top"/>
          </w:tcPr>
          <w:p>
            <w:pPr>
              <w:pStyle w:val="Style2"/>
              <w:keepNext w:val="0"/>
              <w:keepLines w:val="0"/>
              <w:widowControl w:val="0"/>
              <w:shd w:val="clear" w:color="auto" w:fill="auto"/>
              <w:bidi w:val="0"/>
              <w:spacing w:before="140" w:after="0" w:line="240" w:lineRule="auto"/>
              <w:ind w:left="0" w:right="0" w:firstLine="0"/>
              <w:jc w:val="center"/>
            </w:pPr>
            <w:r>
              <w:rPr>
                <w:color w:val="000000"/>
                <w:spacing w:val="0"/>
                <w:w w:val="100"/>
                <w:position w:val="0"/>
              </w:rPr>
              <w:t>事会次数</w:t>
            </w:r>
          </w:p>
        </w:tc>
        <w:tc>
          <w:tcPr>
            <w:tcBorders>
              <w:top w:val="single" w:sz="4"/>
              <w:left w:val="single" w:sz="4"/>
            </w:tcBorders>
            <w:shd w:val="clear" w:color="auto" w:fill="D7D7D7"/>
            <w:vAlign w:val="top"/>
          </w:tcPr>
          <w:p>
            <w:pPr>
              <w:pStyle w:val="Style2"/>
              <w:keepNext w:val="0"/>
              <w:keepLines w:val="0"/>
              <w:widowControl w:val="0"/>
              <w:shd w:val="clear" w:color="auto" w:fill="auto"/>
              <w:bidi w:val="0"/>
              <w:spacing w:before="140" w:after="0" w:line="240" w:lineRule="auto"/>
              <w:ind w:left="0" w:right="0" w:firstLine="0"/>
              <w:jc w:val="center"/>
            </w:pPr>
            <w:r>
              <w:rPr>
                <w:color w:val="000000"/>
                <w:spacing w:val="0"/>
                <w:w w:val="100"/>
                <w:position w:val="0"/>
              </w:rPr>
              <w:t>加董事会次数</w:t>
            </w:r>
          </w:p>
        </w:tc>
        <w:tc>
          <w:tcPr>
            <w:tcBorders>
              <w:top w:val="single" w:sz="4"/>
              <w:left w:val="single" w:sz="4"/>
            </w:tcBorders>
            <w:shd w:val="clear" w:color="auto" w:fill="D7D7D7"/>
            <w:vAlign w:val="top"/>
          </w:tcPr>
          <w:p>
            <w:pPr>
              <w:pStyle w:val="Style2"/>
              <w:keepNext w:val="0"/>
              <w:keepLines w:val="0"/>
              <w:widowControl w:val="0"/>
              <w:shd w:val="clear" w:color="auto" w:fill="auto"/>
              <w:bidi w:val="0"/>
              <w:spacing w:before="140" w:after="0" w:line="240" w:lineRule="auto"/>
              <w:ind w:left="0" w:right="0" w:firstLine="0"/>
              <w:jc w:val="center"/>
            </w:pPr>
            <w:r>
              <w:rPr>
                <w:color w:val="000000"/>
                <w:spacing w:val="0"/>
                <w:w w:val="100"/>
                <w:position w:val="0"/>
              </w:rPr>
              <w:t>事会次数</w:t>
            </w:r>
          </w:p>
        </w:tc>
        <w:tc>
          <w:tcPr>
            <w:tcBorders>
              <w:top w:val="single" w:sz="4"/>
              <w:left w:val="single" w:sz="4"/>
            </w:tcBorders>
            <w:shd w:val="clear" w:color="auto" w:fill="D7D7D7"/>
            <w:vAlign w:val="top"/>
          </w:tcPr>
          <w:p>
            <w:pPr>
              <w:pStyle w:val="Style2"/>
              <w:keepNext w:val="0"/>
              <w:keepLines w:val="0"/>
              <w:widowControl w:val="0"/>
              <w:shd w:val="clear" w:color="auto" w:fill="auto"/>
              <w:bidi w:val="0"/>
              <w:spacing w:before="140" w:after="0" w:line="240" w:lineRule="auto"/>
              <w:ind w:left="0" w:right="0" w:firstLine="0"/>
              <w:jc w:val="center"/>
            </w:pPr>
            <w:r>
              <w:rPr>
                <w:color w:val="000000"/>
                <w:spacing w:val="0"/>
                <w:w w:val="100"/>
                <w:position w:val="0"/>
              </w:rPr>
              <w:t>次数</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未亲自参加董 事会会议</w:t>
            </w:r>
          </w:p>
        </w:tc>
        <w:tc>
          <w:tcPr>
            <w:tcBorders>
              <w:top w:val="single" w:sz="4"/>
              <w:left w:val="single" w:sz="4"/>
              <w:right w:val="single" w:sz="4"/>
            </w:tcBorders>
            <w:shd w:val="clear" w:color="auto" w:fill="D7D7D7"/>
            <w:vAlign w:val="top"/>
          </w:tcPr>
          <w:p>
            <w:pPr>
              <w:pStyle w:val="Style2"/>
              <w:keepNext w:val="0"/>
              <w:keepLines w:val="0"/>
              <w:widowControl w:val="0"/>
              <w:shd w:val="clear" w:color="auto" w:fill="auto"/>
              <w:bidi w:val="0"/>
              <w:spacing w:before="140" w:after="0" w:line="240" w:lineRule="auto"/>
              <w:ind w:left="0" w:right="0" w:firstLine="0"/>
              <w:jc w:val="center"/>
            </w:pPr>
            <w:r>
              <w:rPr>
                <w:color w:val="000000"/>
                <w:spacing w:val="0"/>
                <w:w w:val="100"/>
                <w:position w:val="0"/>
              </w:rPr>
              <w:t>会次数</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刘铁民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王雪春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w:t>
            </w:r>
          </w:p>
        </w:tc>
      </w:tr>
      <w:tr>
        <w:trPr>
          <w:trHeight w:val="41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沈阳</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22</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0</w:t>
            </w:r>
          </w:p>
        </w:tc>
      </w:tr>
    </w:tbl>
    <w:p>
      <w:pPr>
        <w:pStyle w:val="Style41"/>
        <w:keepNext w:val="0"/>
        <w:keepLines w:val="0"/>
        <w:widowControl w:val="0"/>
        <w:shd w:val="clear" w:color="auto" w:fill="auto"/>
        <w:bidi w:val="0"/>
        <w:spacing w:before="0" w:after="0" w:line="475" w:lineRule="exact"/>
        <w:ind w:left="0" w:right="0" w:firstLine="0"/>
        <w:jc w:val="both"/>
      </w:pPr>
      <w:r>
        <w:rPr>
          <w:b/>
          <w:bCs/>
          <w:color w:val="000000"/>
          <w:spacing w:val="0"/>
          <w:w w:val="100"/>
          <w:position w:val="0"/>
        </w:rPr>
        <w:t>连续两次未亲自出席董事会的说明</w:t>
      </w:r>
    </w:p>
    <w:p>
      <w:pPr>
        <w:pStyle w:val="Style41"/>
        <w:keepNext w:val="0"/>
        <w:keepLines w:val="0"/>
        <w:widowControl w:val="0"/>
        <w:shd w:val="clear" w:color="auto" w:fill="auto"/>
        <w:bidi w:val="0"/>
        <w:spacing w:before="0" w:after="460" w:line="475" w:lineRule="exact"/>
        <w:ind w:left="0" w:right="0" w:firstLine="0"/>
        <w:jc w:val="both"/>
      </w:pPr>
      <w:r>
        <w:rPr>
          <w:color w:val="000000"/>
          <w:spacing w:val="0"/>
          <w:w w:val="100"/>
          <w:position w:val="0"/>
        </w:rPr>
        <w:t>不存在独立董事连续两次未亲自出席董事会的情况。</w:t>
      </w:r>
    </w:p>
    <w:p>
      <w:pPr>
        <w:pStyle w:val="Style47"/>
        <w:keepNext/>
        <w:keepLines/>
        <w:widowControl w:val="0"/>
        <w:shd w:val="clear" w:color="auto" w:fill="auto"/>
        <w:tabs>
          <w:tab w:pos="378" w:val="left"/>
        </w:tabs>
        <w:bidi w:val="0"/>
        <w:spacing w:before="0" w:after="200" w:line="240" w:lineRule="auto"/>
        <w:ind w:left="0" w:right="0" w:firstLine="0"/>
        <w:jc w:val="both"/>
      </w:pPr>
      <w:bookmarkStart w:id="739" w:name="bookmark739"/>
      <w:bookmarkStart w:id="740" w:name="bookmark740"/>
      <w:bookmarkStart w:id="741" w:name="bookmark741"/>
      <w:bookmarkStart w:id="742" w:name="bookmark742"/>
      <w:r>
        <w:rPr>
          <w:color w:val="000000"/>
          <w:spacing w:val="0"/>
          <w:w w:val="100"/>
          <w:position w:val="0"/>
        </w:rPr>
        <w:t>2</w:t>
      </w:r>
      <w:bookmarkEnd w:id="741"/>
      <w:r>
        <w:rPr>
          <w:color w:val="000000"/>
          <w:spacing w:val="0"/>
          <w:w w:val="100"/>
          <w:position w:val="0"/>
        </w:rPr>
        <w:t>、</w:t>
        <w:tab/>
        <w:t>独立董事对公司有关事项提出异议的情况</w:t>
      </w:r>
      <w:bookmarkEnd w:id="739"/>
      <w:bookmarkEnd w:id="740"/>
      <w:bookmarkEnd w:id="742"/>
    </w:p>
    <w:p>
      <w:pPr>
        <w:pStyle w:val="Style41"/>
        <w:keepNext w:val="0"/>
        <w:keepLines w:val="0"/>
        <w:widowControl w:val="0"/>
        <w:shd w:val="clear" w:color="auto" w:fill="auto"/>
        <w:bidi w:val="0"/>
        <w:spacing w:before="0" w:after="260" w:line="475" w:lineRule="exact"/>
        <w:ind w:left="0" w:right="0" w:firstLine="0"/>
        <w:jc w:val="both"/>
      </w:pPr>
      <w:r>
        <w:rPr>
          <w:b/>
          <w:bCs/>
          <w:color w:val="000000"/>
          <w:spacing w:val="0"/>
          <w:w w:val="100"/>
          <w:position w:val="0"/>
        </w:rPr>
        <w:t>独立董事对公司有关事项是否提出异议</w:t>
      </w:r>
    </w:p>
    <w:p>
      <w:pPr>
        <w:pStyle w:val="Style41"/>
        <w:keepNext w:val="0"/>
        <w:keepLines w:val="0"/>
        <w:widowControl w:val="0"/>
        <w:shd w:val="clear" w:color="auto" w:fill="auto"/>
        <w:bidi w:val="0"/>
        <w:spacing w:before="0" w:after="0" w:line="552" w:lineRule="auto"/>
        <w:ind w:left="0" w:right="0" w:firstLine="0"/>
        <w:jc w:val="both"/>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是</w:t>
      </w:r>
      <w:r>
        <w:rPr>
          <w:b/>
          <w:bCs/>
          <w:i/>
          <w:iCs/>
          <w:color w:val="000000"/>
          <w:spacing w:val="0"/>
          <w:w w:val="100"/>
          <w:position w:val="0"/>
        </w:rPr>
        <w:t>V</w:t>
      </w:r>
      <w:r>
        <w:rPr>
          <w:b/>
          <w:bCs/>
          <w:color w:val="000000"/>
          <w:spacing w:val="0"/>
          <w:w w:val="100"/>
          <w:position w:val="0"/>
        </w:rPr>
        <w:t>否</w:t>
      </w:r>
    </w:p>
    <w:p>
      <w:pPr>
        <w:pStyle w:val="Style41"/>
        <w:keepNext w:val="0"/>
        <w:keepLines w:val="0"/>
        <w:widowControl w:val="0"/>
        <w:shd w:val="clear" w:color="auto" w:fill="auto"/>
        <w:bidi w:val="0"/>
        <w:spacing w:before="0" w:after="460" w:line="475" w:lineRule="exact"/>
        <w:ind w:left="0" w:right="0" w:firstLine="0"/>
        <w:jc w:val="both"/>
      </w:pPr>
      <w:r>
        <w:rPr>
          <w:color w:val="000000"/>
          <w:spacing w:val="0"/>
          <w:w w:val="100"/>
          <w:position w:val="0"/>
        </w:rPr>
        <w:t>报告期内独立董事对公司有关事项未提出异议。</w:t>
      </w:r>
    </w:p>
    <w:p>
      <w:pPr>
        <w:pStyle w:val="Style47"/>
        <w:keepNext/>
        <w:keepLines/>
        <w:widowControl w:val="0"/>
        <w:shd w:val="clear" w:color="auto" w:fill="auto"/>
        <w:tabs>
          <w:tab w:pos="378" w:val="left"/>
        </w:tabs>
        <w:bidi w:val="0"/>
        <w:spacing w:before="0" w:after="200" w:line="240" w:lineRule="auto"/>
        <w:ind w:left="0" w:right="0" w:firstLine="0"/>
        <w:jc w:val="both"/>
      </w:pPr>
      <w:bookmarkStart w:id="743" w:name="bookmark743"/>
      <w:bookmarkStart w:id="744" w:name="bookmark744"/>
      <w:bookmarkStart w:id="745" w:name="bookmark745"/>
      <w:bookmarkStart w:id="746" w:name="bookmark746"/>
      <w:r>
        <w:rPr>
          <w:color w:val="000000"/>
          <w:spacing w:val="0"/>
          <w:w w:val="100"/>
          <w:position w:val="0"/>
        </w:rPr>
        <w:t>3</w:t>
      </w:r>
      <w:bookmarkEnd w:id="745"/>
      <w:r>
        <w:rPr>
          <w:color w:val="000000"/>
          <w:spacing w:val="0"/>
          <w:w w:val="100"/>
          <w:position w:val="0"/>
        </w:rPr>
        <w:t>、</w:t>
        <w:tab/>
        <w:t>独立董事履行职责的其他说明</w:t>
      </w:r>
      <w:bookmarkEnd w:id="743"/>
      <w:bookmarkEnd w:id="744"/>
      <w:bookmarkEnd w:id="746"/>
    </w:p>
    <w:p>
      <w:pPr>
        <w:pStyle w:val="Style41"/>
        <w:keepNext w:val="0"/>
        <w:keepLines w:val="0"/>
        <w:widowControl w:val="0"/>
        <w:shd w:val="clear" w:color="auto" w:fill="auto"/>
        <w:bidi w:val="0"/>
        <w:spacing w:before="0" w:after="260" w:line="472" w:lineRule="exact"/>
        <w:ind w:left="0" w:right="0" w:firstLine="0"/>
        <w:jc w:val="both"/>
      </w:pPr>
      <w:r>
        <w:rPr>
          <w:b/>
          <w:bCs/>
          <w:color w:val="000000"/>
          <w:spacing w:val="0"/>
          <w:w w:val="100"/>
          <w:position w:val="0"/>
        </w:rPr>
        <w:t>独立董事对公司有关建议是否被采纳</w:t>
      </w:r>
    </w:p>
    <w:p>
      <w:pPr>
        <w:pStyle w:val="Style41"/>
        <w:keepNext w:val="0"/>
        <w:keepLines w:val="0"/>
        <w:widowControl w:val="0"/>
        <w:shd w:val="clear" w:color="auto" w:fill="auto"/>
        <w:bidi w:val="0"/>
        <w:spacing w:before="0" w:after="0" w:line="547" w:lineRule="auto"/>
        <w:ind w:left="0" w:right="0" w:firstLine="0"/>
        <w:jc w:val="both"/>
      </w:pPr>
      <w:r>
        <w:rPr>
          <w:rFonts w:ascii="Times New Roman" w:eastAsia="Times New Roman" w:hAnsi="Times New Roman" w:cs="Times New Roman"/>
          <w:b/>
          <w:bCs/>
          <w:color w:val="000000"/>
          <w:spacing w:val="0"/>
          <w:w w:val="100"/>
          <w:position w:val="0"/>
          <w:sz w:val="18"/>
          <w:szCs w:val="18"/>
        </w:rPr>
        <w:t>V</w:t>
      </w:r>
      <w:r>
        <w:rPr>
          <w:b/>
          <w:bCs/>
          <w:color w:val="000000"/>
          <w:spacing w:val="0"/>
          <w:w w:val="100"/>
          <w:position w:val="0"/>
        </w:rPr>
        <w:t>是</w:t>
      </w:r>
      <w:r>
        <w:rPr>
          <w:color w:val="000000"/>
          <w:spacing w:val="0"/>
          <w:w w:val="100"/>
          <w:position w:val="0"/>
          <w:sz w:val="18"/>
          <w:szCs w:val="18"/>
        </w:rPr>
        <w:t>口</w:t>
      </w:r>
      <w:r>
        <w:rPr>
          <w:color w:val="000000"/>
          <w:spacing w:val="0"/>
          <w:w w:val="100"/>
          <w:position w:val="0"/>
        </w:rPr>
        <w:t>否</w:t>
      </w:r>
    </w:p>
    <w:p>
      <w:pPr>
        <w:pStyle w:val="Style41"/>
        <w:keepNext w:val="0"/>
        <w:keepLines w:val="0"/>
        <w:widowControl w:val="0"/>
        <w:shd w:val="clear" w:color="auto" w:fill="auto"/>
        <w:bidi w:val="0"/>
        <w:spacing w:before="0" w:after="0" w:line="472" w:lineRule="exact"/>
        <w:ind w:left="0" w:right="0"/>
        <w:jc w:val="both"/>
      </w:pPr>
      <w:r>
        <w:rPr>
          <w:color w:val="000000"/>
          <w:spacing w:val="0"/>
          <w:w w:val="100"/>
          <w:position w:val="0"/>
        </w:rPr>
        <w:t>根据《关于在上市公司建立独立董事制度的指导意见》、《深圳证券交易所创业板上市公司规范运作指引》及《公司章 程》、《独立董事工作制度》等相关法律法规、规章制度的有关规定，公司独立董事本着忠实、勤勉的工作态度对以下事项 发表了独立意见。</w:t>
      </w:r>
    </w:p>
    <w:p>
      <w:pPr>
        <w:pStyle w:val="Style41"/>
        <w:keepNext w:val="0"/>
        <w:keepLines w:val="0"/>
        <w:widowControl w:val="0"/>
        <w:shd w:val="clear" w:color="auto" w:fill="auto"/>
        <w:bidi w:val="0"/>
        <w:spacing w:before="0" w:after="0" w:line="472" w:lineRule="exact"/>
        <w:ind w:left="0" w:right="0"/>
        <w:jc w:val="both"/>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6</w:t>
      </w:r>
      <w:r>
        <w:rPr>
          <w:color w:val="000000"/>
          <w:spacing w:val="0"/>
          <w:w w:val="100"/>
          <w:position w:val="0"/>
        </w:rPr>
        <w:t>日，公司第七届董事会第十七次会议，对公司与中建智能公司发生日常关联交易事项，发表了独立董事事前 认可意见及同意的独立意见。</w:t>
      </w:r>
    </w:p>
    <w:p>
      <w:pPr>
        <w:pStyle w:val="Style41"/>
        <w:keepNext w:val="0"/>
        <w:keepLines w:val="0"/>
        <w:widowControl w:val="0"/>
        <w:shd w:val="clear" w:color="auto" w:fill="auto"/>
        <w:bidi w:val="0"/>
        <w:spacing w:before="0" w:after="0" w:line="475" w:lineRule="exact"/>
        <w:ind w:left="0" w:right="0"/>
        <w:jc w:val="both"/>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20</w:t>
      </w:r>
      <w:r>
        <w:rPr>
          <w:color w:val="000000"/>
          <w:spacing w:val="0"/>
          <w:w w:val="100"/>
          <w:position w:val="0"/>
        </w:rPr>
        <w:t>日，公司第七届董事会第十九次会议，对公司以集中竞价交易方式回购公司股份的事项，发表了同意的独 立意见。</w:t>
      </w:r>
    </w:p>
    <w:p>
      <w:pPr>
        <w:pStyle w:val="Style41"/>
        <w:keepNext w:val="0"/>
        <w:keepLines w:val="0"/>
        <w:widowControl w:val="0"/>
        <w:shd w:val="clear" w:color="auto" w:fill="auto"/>
        <w:bidi w:val="0"/>
        <w:spacing w:before="0" w:after="0" w:line="475" w:lineRule="exact"/>
        <w:ind w:left="0" w:right="0"/>
        <w:jc w:val="both"/>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13</w:t>
      </w:r>
      <w:r>
        <w:rPr>
          <w:color w:val="000000"/>
          <w:spacing w:val="0"/>
          <w:w w:val="100"/>
          <w:position w:val="0"/>
        </w:rPr>
        <w:t>日，公司第七届董事会第二十二次会议，对子公司北京神州泰岳智能数据技术有限公司增资，公司放弃增 资优先认购权的事项，发表了同意的独立意见。</w:t>
      </w:r>
    </w:p>
    <w:p>
      <w:pPr>
        <w:pStyle w:val="Style41"/>
        <w:keepNext w:val="0"/>
        <w:keepLines w:val="0"/>
        <w:widowControl w:val="0"/>
        <w:shd w:val="clear" w:color="auto" w:fill="auto"/>
        <w:bidi w:val="0"/>
        <w:spacing w:before="0" w:after="0" w:line="475" w:lineRule="exact"/>
        <w:ind w:left="0" w:right="0"/>
        <w:jc w:val="both"/>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4</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27</w:t>
      </w:r>
      <w:r>
        <w:rPr>
          <w:color w:val="000000"/>
          <w:spacing w:val="0"/>
          <w:w w:val="100"/>
          <w:position w:val="0"/>
        </w:rPr>
        <w:t>日，公司第七届董事会第二十四次会议，对</w:t>
      </w:r>
      <w:r>
        <w:rPr>
          <w:rFonts w:ascii="Times New Roman" w:eastAsia="Times New Roman" w:hAnsi="Times New Roman" w:cs="Times New Roman"/>
          <w:color w:val="000000"/>
          <w:spacing w:val="0"/>
          <w:w w:val="100"/>
          <w:position w:val="0"/>
          <w:sz w:val="18"/>
          <w:szCs w:val="18"/>
        </w:rPr>
        <w:t>2019</w:t>
      </w:r>
      <w:r>
        <w:rPr>
          <w:color w:val="000000"/>
          <w:spacing w:val="0"/>
          <w:w w:val="100"/>
          <w:position w:val="0"/>
        </w:rPr>
        <w:t>年度关于控股股东及其他关联方占用公司资金、公司对外 担保情况、公司</w:t>
      </w:r>
      <w:r>
        <w:rPr>
          <w:rFonts w:ascii="Times New Roman" w:eastAsia="Times New Roman" w:hAnsi="Times New Roman" w:cs="Times New Roman"/>
          <w:color w:val="000000"/>
          <w:spacing w:val="0"/>
          <w:w w:val="100"/>
          <w:position w:val="0"/>
          <w:sz w:val="18"/>
          <w:szCs w:val="18"/>
        </w:rPr>
        <w:t>2019</w:t>
      </w:r>
      <w:r>
        <w:rPr>
          <w:color w:val="000000"/>
          <w:spacing w:val="0"/>
          <w:w w:val="100"/>
          <w:position w:val="0"/>
        </w:rPr>
        <w:t>年度内部控制自我评价报告、公司聘任</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年度审计机构、</w:t>
      </w:r>
      <w:r>
        <w:rPr>
          <w:rFonts w:ascii="Times New Roman" w:eastAsia="Times New Roman" w:hAnsi="Times New Roman" w:cs="Times New Roman"/>
          <w:color w:val="000000"/>
          <w:spacing w:val="0"/>
          <w:w w:val="100"/>
          <w:position w:val="0"/>
          <w:sz w:val="18"/>
          <w:szCs w:val="18"/>
        </w:rPr>
        <w:t>2019</w:t>
      </w:r>
      <w:r>
        <w:rPr>
          <w:color w:val="000000"/>
          <w:spacing w:val="0"/>
          <w:w w:val="100"/>
          <w:position w:val="0"/>
        </w:rPr>
        <w:t>年度公司关联交易事项、</w:t>
      </w:r>
      <w:r>
        <w:rPr>
          <w:rFonts w:ascii="Times New Roman" w:eastAsia="Times New Roman" w:hAnsi="Times New Roman" w:cs="Times New Roman"/>
          <w:color w:val="000000"/>
          <w:spacing w:val="0"/>
          <w:w w:val="100"/>
          <w:position w:val="0"/>
          <w:sz w:val="18"/>
          <w:szCs w:val="18"/>
        </w:rPr>
        <w:t>2019</w:t>
      </w:r>
      <w:r>
        <w:rPr>
          <w:color w:val="000000"/>
          <w:spacing w:val="0"/>
          <w:w w:val="100"/>
          <w:position w:val="0"/>
        </w:rPr>
        <w:t>年度利润 分配预案、</w:t>
      </w:r>
      <w:r>
        <w:rPr>
          <w:rFonts w:ascii="Times New Roman" w:eastAsia="Times New Roman" w:hAnsi="Times New Roman" w:cs="Times New Roman"/>
          <w:color w:val="000000"/>
          <w:spacing w:val="0"/>
          <w:w w:val="100"/>
          <w:position w:val="0"/>
          <w:sz w:val="18"/>
          <w:szCs w:val="18"/>
        </w:rPr>
        <w:t>2019</w:t>
      </w:r>
      <w:r>
        <w:rPr>
          <w:color w:val="000000"/>
          <w:spacing w:val="0"/>
          <w:w w:val="100"/>
          <w:position w:val="0"/>
        </w:rPr>
        <w:t>年度计提资产减值准备、委托理财、会计政策变更等事项，发表了同意的独立意见。对</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年续聘会计师事 务所发表了独立董事事前认可意见。</w:t>
      </w:r>
    </w:p>
    <w:p>
      <w:pPr>
        <w:pStyle w:val="Style41"/>
        <w:keepNext w:val="0"/>
        <w:keepLines w:val="0"/>
        <w:widowControl w:val="0"/>
        <w:shd w:val="clear" w:color="auto" w:fill="auto"/>
        <w:bidi w:val="0"/>
        <w:spacing w:before="0" w:after="260" w:line="475" w:lineRule="exact"/>
        <w:ind w:left="0" w:right="0"/>
        <w:jc w:val="both"/>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15</w:t>
      </w:r>
      <w:r>
        <w:rPr>
          <w:color w:val="000000"/>
          <w:spacing w:val="0"/>
          <w:w w:val="100"/>
          <w:position w:val="0"/>
        </w:rPr>
        <w:t>日，公司第七届董事会第二十五次会议，对公司向银行申请综合授信暨子公司提供担保的事项，发表了同 意的独立意见。</w:t>
      </w:r>
    </w:p>
    <w:p>
      <w:pPr>
        <w:pStyle w:val="Style41"/>
        <w:keepNext w:val="0"/>
        <w:keepLines w:val="0"/>
        <w:widowControl w:val="0"/>
        <w:shd w:val="clear" w:color="auto" w:fill="auto"/>
        <w:bidi w:val="0"/>
        <w:spacing w:before="0" w:after="0" w:line="475" w:lineRule="exact"/>
        <w:ind w:left="0" w:right="0"/>
        <w:jc w:val="both"/>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6</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日，公司第七届董事会第二十六次会议，对公司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年度非公开发行股票的有关事项，发表了同意的独立意 见。</w:t>
      </w:r>
    </w:p>
    <w:p>
      <w:pPr>
        <w:pStyle w:val="Style41"/>
        <w:keepNext w:val="0"/>
        <w:keepLines w:val="0"/>
        <w:widowControl w:val="0"/>
        <w:shd w:val="clear" w:color="auto" w:fill="auto"/>
        <w:bidi w:val="0"/>
        <w:spacing w:before="0" w:after="0" w:line="475" w:lineRule="exact"/>
        <w:ind w:left="0" w:right="0"/>
        <w:jc w:val="both"/>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7</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日，公司第七届董事会第二十七次会议，对公司调整</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年度非公开发行股票方案的有关事项，发表了同 意的独立意见。</w:t>
      </w:r>
    </w:p>
    <w:p>
      <w:pPr>
        <w:pStyle w:val="Style41"/>
        <w:keepNext w:val="0"/>
        <w:keepLines w:val="0"/>
        <w:widowControl w:val="0"/>
        <w:shd w:val="clear" w:color="auto" w:fill="auto"/>
        <w:bidi w:val="0"/>
        <w:spacing w:before="0" w:after="0" w:line="480" w:lineRule="exact"/>
        <w:ind w:left="0" w:right="0"/>
        <w:jc w:val="both"/>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8</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27</w:t>
      </w:r>
      <w:r>
        <w:rPr>
          <w:color w:val="000000"/>
          <w:spacing w:val="0"/>
          <w:w w:val="100"/>
          <w:position w:val="0"/>
        </w:rPr>
        <w:t>日，公司第七届董事会第三十一次会议，对公司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年上半年度报告相关事项，进行认真检查和审核，发 表了同意的独立意见。</w:t>
      </w:r>
    </w:p>
    <w:p>
      <w:pPr>
        <w:pStyle w:val="Style41"/>
        <w:keepNext w:val="0"/>
        <w:keepLines w:val="0"/>
        <w:widowControl w:val="0"/>
        <w:shd w:val="clear" w:color="auto" w:fill="auto"/>
        <w:bidi w:val="0"/>
        <w:spacing w:before="0" w:after="0" w:line="480" w:lineRule="exact"/>
        <w:ind w:left="0" w:right="0"/>
        <w:jc w:val="both"/>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9</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日，公司第七届董事会第三十二次会议，对公司聘任公司副总裁兼财务总监的事项，发表了同意的独立意 见，同意聘任戈爱晶女士为公司副总裁兼财务总监。</w:t>
      </w:r>
    </w:p>
    <w:p>
      <w:pPr>
        <w:pStyle w:val="Style41"/>
        <w:keepNext w:val="0"/>
        <w:keepLines w:val="0"/>
        <w:widowControl w:val="0"/>
        <w:shd w:val="clear" w:color="auto" w:fill="auto"/>
        <w:bidi w:val="0"/>
        <w:spacing w:before="0" w:after="0" w:line="480" w:lineRule="exact"/>
        <w:ind w:left="0" w:right="0"/>
        <w:jc w:val="both"/>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9</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18</w:t>
      </w:r>
      <w:r>
        <w:rPr>
          <w:color w:val="000000"/>
          <w:spacing w:val="0"/>
          <w:w w:val="100"/>
          <w:position w:val="0"/>
        </w:rPr>
        <w:t>日，公司第七届董事会第三十三次会议，对公司再次调整</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年度向特定对象发行股票方案的有关事项， 发表了同意的独立意见。</w:t>
      </w:r>
    </w:p>
    <w:p>
      <w:pPr>
        <w:pStyle w:val="Style41"/>
        <w:keepNext w:val="0"/>
        <w:keepLines w:val="0"/>
        <w:widowControl w:val="0"/>
        <w:shd w:val="clear" w:color="auto" w:fill="auto"/>
        <w:bidi w:val="0"/>
        <w:spacing w:before="0" w:after="440" w:line="475" w:lineRule="exact"/>
        <w:ind w:left="0" w:right="0"/>
        <w:jc w:val="both"/>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9</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28</w:t>
      </w:r>
      <w:r>
        <w:rPr>
          <w:color w:val="000000"/>
          <w:spacing w:val="0"/>
          <w:w w:val="100"/>
          <w:position w:val="0"/>
        </w:rPr>
        <w:t>日，公司第七届董事会第三十四次会议，对公司被动形成对关联方提供财务资助暨关联交易、延长对外提 供财务资助期限暨关联交易等事项，发表了独立董事事前认可意见及同意的独立意见。</w:t>
      </w:r>
    </w:p>
    <w:p>
      <w:pPr>
        <w:pStyle w:val="Style39"/>
        <w:keepNext/>
        <w:keepLines/>
        <w:widowControl w:val="0"/>
        <w:shd w:val="clear" w:color="auto" w:fill="auto"/>
        <w:bidi w:val="0"/>
        <w:spacing w:before="0" w:after="200" w:line="240" w:lineRule="auto"/>
        <w:ind w:left="0" w:right="0" w:firstLine="0"/>
        <w:jc w:val="both"/>
      </w:pPr>
      <w:bookmarkStart w:id="747" w:name="bookmark747"/>
      <w:bookmarkStart w:id="748" w:name="bookmark748"/>
      <w:bookmarkStart w:id="749" w:name="bookmark749"/>
      <w:bookmarkStart w:id="750" w:name="bookmark750"/>
      <w:r>
        <w:rPr>
          <w:color w:val="000000"/>
          <w:spacing w:val="0"/>
          <w:w w:val="100"/>
          <w:position w:val="0"/>
          <w:sz w:val="24"/>
          <w:szCs w:val="24"/>
        </w:rPr>
        <w:t>六</w:t>
      </w:r>
      <w:bookmarkEnd w:id="749"/>
      <w:r>
        <w:rPr>
          <w:color w:val="000000"/>
          <w:spacing w:val="0"/>
          <w:w w:val="100"/>
          <w:position w:val="0"/>
          <w:sz w:val="24"/>
          <w:szCs w:val="24"/>
        </w:rPr>
        <w:t>、董事会下设专门委员会在报告期内履行职责情况</w:t>
      </w:r>
      <w:bookmarkEnd w:id="747"/>
      <w:bookmarkEnd w:id="748"/>
      <w:bookmarkEnd w:id="750"/>
    </w:p>
    <w:p>
      <w:pPr>
        <w:pStyle w:val="Style41"/>
        <w:keepNext w:val="0"/>
        <w:keepLines w:val="0"/>
        <w:widowControl w:val="0"/>
        <w:shd w:val="clear" w:color="auto" w:fill="auto"/>
        <w:bidi w:val="0"/>
        <w:spacing w:before="0" w:after="0" w:line="468" w:lineRule="exact"/>
        <w:ind w:left="0" w:right="0"/>
        <w:jc w:val="both"/>
      </w:pPr>
      <w:r>
        <w:rPr>
          <w:color w:val="000000"/>
          <w:spacing w:val="0"/>
          <w:w w:val="100"/>
          <w:position w:val="0"/>
        </w:rPr>
        <w:t>公司董事会下设立了战略、提名、薪酬与考核、审计等四个专门委员会，</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年各委员会工作情况如下：</w:t>
      </w:r>
    </w:p>
    <w:p>
      <w:pPr>
        <w:pStyle w:val="Style41"/>
        <w:keepNext w:val="0"/>
        <w:keepLines w:val="0"/>
        <w:widowControl w:val="0"/>
        <w:shd w:val="clear" w:color="auto" w:fill="auto"/>
        <w:bidi w:val="0"/>
        <w:spacing w:before="0" w:after="320" w:line="468" w:lineRule="exact"/>
        <w:ind w:left="0" w:right="0"/>
        <w:jc w:val="both"/>
        <w:sectPr>
          <w:headerReference w:type="default" r:id="rId249"/>
          <w:footerReference w:type="default" r:id="rId250"/>
          <w:headerReference w:type="even" r:id="rId251"/>
          <w:footerReference w:type="even" r:id="rId252"/>
          <w:headerReference w:type="first" r:id="rId253"/>
          <w:footerReference w:type="first" r:id="rId254"/>
          <w:footnotePr>
            <w:pos w:val="pageBottom"/>
            <w:numFmt w:val="decimal"/>
            <w:numRestart w:val="continuous"/>
          </w:footnotePr>
          <w:pgSz w:w="11904" w:h="17375"/>
          <w:pgMar w:top="1657" w:right="1034" w:bottom="1768" w:left="1082" w:header="0" w:footer="3" w:gutter="0"/>
          <w:cols w:space="720"/>
          <w:noEndnote/>
          <w:titlePg/>
          <w:rtlGutter w:val="0"/>
          <w:docGrid w:linePitch="360"/>
        </w:sectPr>
      </w:pPr>
      <w:r>
        <w:rPr>
          <w:color w:val="000000"/>
          <w:spacing w:val="0"/>
          <w:w w:val="100"/>
          <w:position w:val="0"/>
        </w:rPr>
        <w:t>战略委员会，</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年对公司及子公司各项对外投资、股权转让、对外融资等事项召开了相关会议，进行了讨论、分析， 并向董事会提出了意见</w:t>
      </w:r>
      <w:r>
        <w:rPr>
          <w:rFonts w:ascii="Arial" w:eastAsia="Arial" w:hAnsi="Arial" w:cs="Arial"/>
          <w:color w:val="000000"/>
          <w:spacing w:val="0"/>
          <w:w w:val="100"/>
          <w:position w:val="0"/>
          <w:sz w:val="18"/>
          <w:szCs w:val="18"/>
        </w:rPr>
        <w:t xml:space="preserve">o </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年度共召开十六次战略委员会会议，认真研究并审议通过了《关于公司以集中竞价交易方式回 购公司股份的议案》、《关于同意子公司增资并放弃优先认购权的议案》、《关于子公司对香港普天增资的议案》、《关于 公司向银行申请综合授信暨子公司提供担保的议案》、《关于公司符合非公开发行人民币普通股</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A</w:t>
      </w:r>
      <w:r>
        <w:rPr>
          <w:color w:val="000000"/>
          <w:spacing w:val="0"/>
          <w:w w:val="100"/>
          <w:position w:val="0"/>
        </w:rPr>
        <w:t>股）股票条件的议案》、 《关于公司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年度非公开发行股票方案的议案》、《关于公司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年度非公开发行股票预案的议案》、《关于公司</w:t>
      </w:r>
      <w:r>
        <w:rPr>
          <w:rFonts w:ascii="Times New Roman" w:eastAsia="Times New Roman" w:hAnsi="Times New Roman" w:cs="Times New Roman"/>
          <w:color w:val="000000"/>
          <w:spacing w:val="0"/>
          <w:w w:val="100"/>
          <w:position w:val="0"/>
          <w:sz w:val="18"/>
          <w:szCs w:val="18"/>
        </w:rPr>
        <w:t xml:space="preserve">2020 </w:t>
      </w:r>
      <w:r>
        <w:rPr>
          <w:color w:val="000000"/>
          <w:spacing w:val="0"/>
          <w:w w:val="100"/>
          <w:position w:val="0"/>
        </w:rPr>
        <w:t>年度非公开发行股票方案论证分析报告的议案》、《关于公司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年度非公开发行股票募集资金使用可行性分析报告的议案》、 《关于公司无需编制前次募集资金使用情况报告的议案》、《关于设立募集资金专用账户的议案》、《关于提请股东大会授 权董事会办理本次非公开发行股票具体事宜的议》、《关于公司非公开发行股票摊薄即期回报及填补措施和相关主体承诺的 议案》、《关于对外投资设立子公司的议案》、《关于子公司奇点新源对外投资设立公司的议案》、《关于调整公司</w:t>
      </w:r>
      <w:r>
        <w:rPr>
          <w:rFonts w:ascii="Times New Roman" w:eastAsia="Times New Roman" w:hAnsi="Times New Roman" w:cs="Times New Roman"/>
          <w:color w:val="000000"/>
          <w:spacing w:val="0"/>
          <w:w w:val="100"/>
          <w:position w:val="0"/>
          <w:sz w:val="18"/>
          <w:szCs w:val="18"/>
        </w:rPr>
        <w:t xml:space="preserve">2020 </w:t>
      </w:r>
      <w:r>
        <w:rPr>
          <w:color w:val="000000"/>
          <w:spacing w:val="0"/>
          <w:w w:val="100"/>
          <w:position w:val="0"/>
        </w:rPr>
        <w:t>年度非公开发行股票方案的议案》以及关于修订相关事项的议案、《变更智能数据投资方的议案》、《关于为银行授信额度 提供补充抵押担保的议案》、《关于清算注销北京润佳华商创新投资管理中心（有限合伙）的议案》、《关于天津小漫对子 公司增资的议案》、《关于公司被动形成对关联方提供财务资助暨关联交易的议案》、《关于延长对外提供财务资助期限暨 关联交易的议案》、《关于融云对外融资暨公司放弃优先购买权的议案》、《关于公司申请银行综合授信事项的议案》、《关 于公司对外投资设立全资子公司的议案》、《关于子公司对外投资设立全资子公司的议案》、《关于对外投资设立全资子公 司的议案》等议案，并向董事会提出了专业委员会意见。</w:t>
      </w:r>
    </w:p>
    <w:p>
      <w:pPr>
        <w:pStyle w:val="Style212"/>
        <w:keepNext w:val="0"/>
        <w:keepLines w:val="0"/>
        <w:widowControl w:val="0"/>
        <w:shd w:val="clear" w:color="auto" w:fill="auto"/>
        <w:bidi w:val="0"/>
        <w:spacing w:before="0" w:after="0" w:line="240" w:lineRule="auto"/>
        <w:ind w:left="0" w:right="0" w:firstLine="0"/>
        <w:jc w:val="both"/>
      </w:pPr>
      <w:r>
        <w:rPr>
          <w:spacing w:val="0"/>
          <w:w w:val="100"/>
          <w:position w:val="0"/>
        </w:rPr>
        <w:t>Ultrapoiuer</w:t>
      </w:r>
    </w:p>
    <w:p>
      <w:pPr>
        <w:pStyle w:val="Style41"/>
        <w:keepNext w:val="0"/>
        <w:keepLines w:val="0"/>
        <w:widowControl w:val="0"/>
        <w:shd w:val="clear" w:color="auto" w:fill="auto"/>
        <w:bidi w:val="0"/>
        <w:spacing w:before="0" w:after="0" w:line="468" w:lineRule="exact"/>
        <w:ind w:left="0" w:right="0" w:firstLine="820"/>
        <w:jc w:val="both"/>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 提名委员会，</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 xml:space="preserve">年召开了 </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次提名委员会会议，认真研究并审议通过了《提名公司副总裁兼财务总监的议案》，并向 董事会提出了意见。</w:t>
      </w:r>
    </w:p>
    <w:p>
      <w:pPr>
        <w:pStyle w:val="Style41"/>
        <w:keepNext w:val="0"/>
        <w:keepLines w:val="0"/>
        <w:widowControl w:val="0"/>
        <w:shd w:val="clear" w:color="auto" w:fill="auto"/>
        <w:bidi w:val="0"/>
        <w:spacing w:before="0" w:after="0" w:line="468" w:lineRule="exact"/>
        <w:ind w:left="0" w:right="0"/>
        <w:jc w:val="both"/>
      </w:pPr>
      <w:r>
        <w:rPr>
          <w:color w:val="000000"/>
          <w:spacing w:val="0"/>
          <w:w w:val="100"/>
          <w:position w:val="0"/>
        </w:rPr>
        <w:t>审计委员会，在公司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年度审计报告的编制和披露过程中，切实履行独立董事的责任和义务，认真听取管理层对公司 全年生产经营情况和重大事项进展情况的汇报，认真阅读公司出具的相关材料；了解、掌握</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年年报审计工作安排及审计 工作进展情况，听取年审会计师介绍初审意见情况，并就相关问题与年审会计师、公司管理层进行了充分的沟通；在年审会 计师进场后积极关注审计进程，就审计过程中发现的问题进行有效沟通；审计结束后认真阅读了年审会计师出具的公司</w:t>
      </w:r>
      <w:r>
        <w:rPr>
          <w:rFonts w:ascii="Times New Roman" w:eastAsia="Times New Roman" w:hAnsi="Times New Roman" w:cs="Times New Roman"/>
          <w:color w:val="000000"/>
          <w:spacing w:val="0"/>
          <w:w w:val="100"/>
          <w:position w:val="0"/>
          <w:sz w:val="18"/>
          <w:szCs w:val="18"/>
        </w:rPr>
        <w:t xml:space="preserve">2020 </w:t>
      </w:r>
      <w:r>
        <w:rPr>
          <w:color w:val="000000"/>
          <w:spacing w:val="0"/>
          <w:w w:val="100"/>
          <w:position w:val="0"/>
        </w:rPr>
        <w:t>年度审计报告，并同意提交董事会审阅。</w:t>
      </w:r>
    </w:p>
    <w:p>
      <w:pPr>
        <w:pStyle w:val="Style41"/>
        <w:keepNext w:val="0"/>
        <w:keepLines w:val="0"/>
        <w:widowControl w:val="0"/>
        <w:shd w:val="clear" w:color="auto" w:fill="auto"/>
        <w:bidi w:val="0"/>
        <w:spacing w:before="0" w:after="420" w:line="468" w:lineRule="exact"/>
        <w:ind w:left="0" w:right="0"/>
        <w:jc w:val="both"/>
      </w:pPr>
      <w:r>
        <w:rPr>
          <w:color w:val="000000"/>
          <w:spacing w:val="0"/>
          <w:w w:val="100"/>
          <w:position w:val="0"/>
        </w:rPr>
        <w:t>薪酬与考核委员会，报告期内，公司薪酬与考核委员会严格按照相关法律法规及《公司章程》、《薪酬与考核委员会实 施细则》的有关规定，积极开展相关工作，认真履行职责。</w:t>
      </w:r>
    </w:p>
    <w:p>
      <w:pPr>
        <w:pStyle w:val="Style39"/>
        <w:keepNext/>
        <w:keepLines/>
        <w:widowControl w:val="0"/>
        <w:shd w:val="clear" w:color="auto" w:fill="auto"/>
        <w:tabs>
          <w:tab w:pos="498" w:val="left"/>
        </w:tabs>
        <w:bidi w:val="0"/>
        <w:spacing w:before="0" w:after="180" w:line="240" w:lineRule="auto"/>
        <w:ind w:left="0" w:right="0" w:firstLine="0"/>
        <w:jc w:val="left"/>
      </w:pPr>
      <w:bookmarkStart w:id="751" w:name="bookmark751"/>
      <w:bookmarkStart w:id="752" w:name="bookmark752"/>
      <w:bookmarkStart w:id="753" w:name="bookmark753"/>
      <w:bookmarkStart w:id="754" w:name="bookmark754"/>
      <w:r>
        <w:rPr>
          <w:color w:val="000000"/>
          <w:spacing w:val="0"/>
          <w:w w:val="100"/>
          <w:position w:val="0"/>
          <w:sz w:val="24"/>
          <w:szCs w:val="24"/>
        </w:rPr>
        <w:t>七</w:t>
      </w:r>
      <w:bookmarkEnd w:id="753"/>
      <w:r>
        <w:rPr>
          <w:color w:val="000000"/>
          <w:spacing w:val="0"/>
          <w:w w:val="100"/>
          <w:position w:val="0"/>
          <w:sz w:val="24"/>
          <w:szCs w:val="24"/>
        </w:rPr>
        <w:t>、</w:t>
        <w:tab/>
        <w:t>监事会工作情况</w:t>
      </w:r>
      <w:bookmarkEnd w:id="751"/>
      <w:bookmarkEnd w:id="752"/>
      <w:bookmarkEnd w:id="754"/>
    </w:p>
    <w:p>
      <w:pPr>
        <w:pStyle w:val="Style41"/>
        <w:keepNext w:val="0"/>
        <w:keepLines w:val="0"/>
        <w:widowControl w:val="0"/>
        <w:shd w:val="clear" w:color="auto" w:fill="auto"/>
        <w:bidi w:val="0"/>
        <w:spacing w:before="0" w:after="0" w:line="475" w:lineRule="exact"/>
        <w:ind w:left="0" w:right="0" w:firstLine="0"/>
        <w:jc w:val="left"/>
      </w:pPr>
      <w:r>
        <w:rPr>
          <w:b/>
          <w:bCs/>
          <w:color w:val="000000"/>
          <w:spacing w:val="0"/>
          <w:w w:val="100"/>
          <w:position w:val="0"/>
        </w:rPr>
        <w:t>监事会在报告期内的监督活动中发现公司是否存在风险</w:t>
      </w:r>
    </w:p>
    <w:p>
      <w:pPr>
        <w:pStyle w:val="Style41"/>
        <w:keepNext w:val="0"/>
        <w:keepLines w:val="0"/>
        <w:widowControl w:val="0"/>
        <w:shd w:val="clear" w:color="auto" w:fill="auto"/>
        <w:bidi w:val="0"/>
        <w:spacing w:before="0" w:after="420" w:line="475" w:lineRule="exact"/>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是</w:t>
      </w:r>
      <w:r>
        <w:rPr>
          <w:b/>
          <w:bCs/>
          <w:i/>
          <w:iCs/>
          <w:color w:val="000000"/>
          <w:spacing w:val="0"/>
          <w:w w:val="100"/>
          <w:position w:val="0"/>
        </w:rPr>
        <w:t>V</w:t>
      </w:r>
      <w:r>
        <w:rPr>
          <w:b/>
          <w:bCs/>
          <w:color w:val="000000"/>
          <w:spacing w:val="0"/>
          <w:w w:val="100"/>
          <w:position w:val="0"/>
        </w:rPr>
        <w:t xml:space="preserve">否 </w:t>
      </w:r>
      <w:r>
        <w:rPr>
          <w:color w:val="000000"/>
          <w:spacing w:val="0"/>
          <w:w w:val="100"/>
          <w:position w:val="0"/>
        </w:rPr>
        <w:t>公司监事会对报告期内的监督事项无异议。</w:t>
      </w:r>
    </w:p>
    <w:p>
      <w:pPr>
        <w:pStyle w:val="Style39"/>
        <w:keepNext/>
        <w:keepLines/>
        <w:widowControl w:val="0"/>
        <w:shd w:val="clear" w:color="auto" w:fill="auto"/>
        <w:tabs>
          <w:tab w:pos="498" w:val="left"/>
        </w:tabs>
        <w:bidi w:val="0"/>
        <w:spacing w:before="0" w:after="180" w:line="240" w:lineRule="auto"/>
        <w:ind w:left="0" w:right="0" w:firstLine="0"/>
        <w:jc w:val="left"/>
      </w:pPr>
      <w:bookmarkStart w:id="755" w:name="bookmark755"/>
      <w:bookmarkStart w:id="756" w:name="bookmark756"/>
      <w:bookmarkStart w:id="757" w:name="bookmark757"/>
      <w:bookmarkStart w:id="758" w:name="bookmark758"/>
      <w:r>
        <w:rPr>
          <w:color w:val="000000"/>
          <w:spacing w:val="0"/>
          <w:w w:val="100"/>
          <w:position w:val="0"/>
          <w:sz w:val="24"/>
          <w:szCs w:val="24"/>
        </w:rPr>
        <w:t>八</w:t>
      </w:r>
      <w:bookmarkEnd w:id="757"/>
      <w:r>
        <w:rPr>
          <w:color w:val="000000"/>
          <w:spacing w:val="0"/>
          <w:w w:val="100"/>
          <w:position w:val="0"/>
          <w:sz w:val="24"/>
          <w:szCs w:val="24"/>
        </w:rPr>
        <w:t>、</w:t>
        <w:tab/>
        <w:t>高级管理人员的考评及激励情况</w:t>
      </w:r>
      <w:bookmarkEnd w:id="755"/>
      <w:bookmarkEnd w:id="756"/>
      <w:bookmarkEnd w:id="758"/>
    </w:p>
    <w:p>
      <w:pPr>
        <w:pStyle w:val="Style41"/>
        <w:keepNext w:val="0"/>
        <w:keepLines w:val="0"/>
        <w:widowControl w:val="0"/>
        <w:shd w:val="clear" w:color="auto" w:fill="auto"/>
        <w:bidi w:val="0"/>
        <w:spacing w:before="0" w:after="0" w:line="469" w:lineRule="exact"/>
        <w:ind w:left="0" w:right="0"/>
        <w:jc w:val="both"/>
      </w:pPr>
      <w:r>
        <w:rPr>
          <w:color w:val="000000"/>
          <w:spacing w:val="0"/>
          <w:w w:val="100"/>
          <w:position w:val="0"/>
        </w:rPr>
        <w:t>公司建立了高级管理人员的选择、考评、激励与约束机制。公司高级管理人员均由董事会聘任，直接对董事会负责，承 担董事会下达的经营指标。董事会下设的薪酬与考核委员会负责对高级管理人员的工作能力、履职情况、责任目标完成情况 等进行年终考评，制定薪酬方案并报董事会审批。</w:t>
      </w:r>
    </w:p>
    <w:p>
      <w:pPr>
        <w:pStyle w:val="Style41"/>
        <w:keepNext w:val="0"/>
        <w:keepLines w:val="0"/>
        <w:widowControl w:val="0"/>
        <w:shd w:val="clear" w:color="auto" w:fill="auto"/>
        <w:bidi w:val="0"/>
        <w:spacing w:before="0" w:after="420" w:line="469" w:lineRule="exact"/>
        <w:ind w:left="0" w:right="0" w:firstLine="480"/>
        <w:jc w:val="both"/>
      </w:pPr>
      <w:r>
        <w:rPr>
          <w:color w:val="000000"/>
          <w:spacing w:val="0"/>
          <w:w w:val="100"/>
          <w:position w:val="0"/>
        </w:rPr>
        <w:t>报告期内，高级管理人员能够严格按照《公司法》、《公司章程》及国家有关法律法规认真履行职责，积极落实公司 股东大会和董事会相关决议。根据公司薪酬绩效考核制度，公司高级管理人员的薪酬由公司董事会依据每位的年度绩效目标 确定范围，并由公司董事会进行考评。对高管人员的考评，既评估当年的绩效完成情况，也兼顾公司长期发展的要求，年度 经营目标与年度考评结果直接挂钩。高管人员的薪酬主要由基本薪酬、年度绩效奖金和股权激励三部分构成，其中，基本薪 酬按月发放，年度绩效奖金根据高管人员年度绩效目标完成情况在年末考评后一次性兑现，股权激励依据公司股权激励计划 执行。</w:t>
      </w:r>
    </w:p>
    <w:p>
      <w:pPr>
        <w:pStyle w:val="Style39"/>
        <w:keepNext/>
        <w:keepLines/>
        <w:widowControl w:val="0"/>
        <w:shd w:val="clear" w:color="auto" w:fill="auto"/>
        <w:tabs>
          <w:tab w:pos="498" w:val="left"/>
        </w:tabs>
        <w:bidi w:val="0"/>
        <w:spacing w:before="0" w:after="380" w:line="240" w:lineRule="auto"/>
        <w:ind w:left="0" w:right="0" w:firstLine="0"/>
        <w:jc w:val="both"/>
      </w:pPr>
      <w:bookmarkStart w:id="759" w:name="bookmark759"/>
      <w:bookmarkStart w:id="760" w:name="bookmark760"/>
      <w:bookmarkStart w:id="761" w:name="bookmark761"/>
      <w:bookmarkStart w:id="762" w:name="bookmark762"/>
      <w:r>
        <w:rPr>
          <w:color w:val="000000"/>
          <w:spacing w:val="0"/>
          <w:w w:val="100"/>
          <w:position w:val="0"/>
          <w:sz w:val="24"/>
          <w:szCs w:val="24"/>
        </w:rPr>
        <w:t>九</w:t>
      </w:r>
      <w:bookmarkEnd w:id="761"/>
      <w:r>
        <w:rPr>
          <w:color w:val="000000"/>
          <w:spacing w:val="0"/>
          <w:w w:val="100"/>
          <w:position w:val="0"/>
          <w:sz w:val="24"/>
          <w:szCs w:val="24"/>
        </w:rPr>
        <w:t>、</w:t>
        <w:tab/>
        <w:t>内部控制评价报告</w:t>
      </w:r>
      <w:bookmarkEnd w:id="759"/>
      <w:bookmarkEnd w:id="760"/>
      <w:bookmarkEnd w:id="762"/>
    </w:p>
    <w:p>
      <w:pPr>
        <w:pStyle w:val="Style47"/>
        <w:keepNext/>
        <w:keepLines/>
        <w:widowControl w:val="0"/>
        <w:shd w:val="clear" w:color="auto" w:fill="auto"/>
        <w:bidi w:val="0"/>
        <w:spacing w:before="0" w:after="380" w:line="240" w:lineRule="auto"/>
        <w:ind w:left="0" w:right="0" w:firstLine="0"/>
        <w:jc w:val="both"/>
      </w:pPr>
      <w:bookmarkStart w:id="763" w:name="bookmark763"/>
      <w:bookmarkStart w:id="764" w:name="bookmark764"/>
      <w:bookmarkStart w:id="765" w:name="bookmark765"/>
      <w:bookmarkStart w:id="766" w:name="bookmark766"/>
      <w:r>
        <w:rPr>
          <w:color w:val="000000"/>
          <w:spacing w:val="0"/>
          <w:w w:val="100"/>
          <w:position w:val="0"/>
        </w:rPr>
        <w:t>1</w:t>
      </w:r>
      <w:bookmarkEnd w:id="765"/>
      <w:r>
        <w:rPr>
          <w:color w:val="000000"/>
          <w:spacing w:val="0"/>
          <w:w w:val="100"/>
          <w:position w:val="0"/>
        </w:rPr>
        <w:t>、报告期内发现的内部控制重大缺陷的具体情况</w:t>
      </w:r>
      <w:bookmarkEnd w:id="763"/>
      <w:bookmarkEnd w:id="764"/>
      <w:bookmarkEnd w:id="766"/>
    </w:p>
    <w:p>
      <w:pPr>
        <w:pStyle w:val="Style222"/>
        <w:keepNext w:val="0"/>
        <w:keepLines w:val="0"/>
        <w:widowControl w:val="0"/>
        <w:shd w:val="clear" w:color="auto" w:fill="auto"/>
        <w:bidi w:val="0"/>
        <w:spacing w:before="0" w:after="380" w:line="545" w:lineRule="auto"/>
        <w:ind w:left="0" w:right="0" w:firstLine="0"/>
        <w:jc w:val="both"/>
        <w:rPr>
          <w:sz w:val="17"/>
          <w:szCs w:val="17"/>
        </w:rPr>
        <w:sectPr>
          <w:headerReference w:type="default" r:id="rId255"/>
          <w:footerReference w:type="default" r:id="rId256"/>
          <w:headerReference w:type="even" r:id="rId257"/>
          <w:footerReference w:type="even" r:id="rId258"/>
          <w:footnotePr>
            <w:pos w:val="pageBottom"/>
            <w:numFmt w:val="decimal"/>
            <w:numRestart w:val="continuous"/>
          </w:footnotePr>
          <w:pgSz w:w="11904" w:h="17375"/>
          <w:pgMar w:top="1070" w:right="1104" w:bottom="1425" w:left="1104" w:header="642" w:footer="3" w:gutter="0"/>
          <w:cols w:space="720"/>
          <w:noEndnote/>
          <w:rtlGutter w:val="0"/>
          <w:docGrid w:linePitch="360"/>
        </w:sectPr>
      </w:pPr>
      <w:r>
        <w:rPr>
          <w:color w:val="000000"/>
          <w:spacing w:val="0"/>
          <w:w w:val="100"/>
          <w:position w:val="0"/>
          <w:sz w:val="18"/>
          <w:szCs w:val="18"/>
        </w:rPr>
        <w:t>□</w:t>
      </w:r>
      <w:r>
        <w:rPr>
          <w:rFonts w:ascii="SimSun" w:eastAsia="SimSun" w:hAnsi="SimSun" w:cs="SimSun"/>
          <w:color w:val="000000"/>
          <w:spacing w:val="0"/>
          <w:w w:val="100"/>
          <w:position w:val="0"/>
          <w:sz w:val="17"/>
          <w:szCs w:val="17"/>
        </w:rPr>
        <w:t>是</w:t>
      </w:r>
      <w:r>
        <w:rPr>
          <w:color w:val="000000"/>
          <w:spacing w:val="0"/>
          <w:w w:val="100"/>
          <w:position w:val="0"/>
          <w:sz w:val="18"/>
          <w:szCs w:val="18"/>
        </w:rPr>
        <w:t>V</w:t>
      </w:r>
      <w:r>
        <w:rPr>
          <w:rFonts w:ascii="SimSun" w:eastAsia="SimSun" w:hAnsi="SimSun" w:cs="SimSun"/>
          <w:b/>
          <w:bCs/>
          <w:color w:val="000000"/>
          <w:spacing w:val="0"/>
          <w:w w:val="100"/>
          <w:position w:val="0"/>
          <w:sz w:val="17"/>
          <w:szCs w:val="17"/>
        </w:rPr>
        <w:t>否</w:t>
      </w:r>
    </w:p>
    <w:p>
      <w:pPr>
        <w:pStyle w:val="Style47"/>
        <w:keepNext/>
        <w:keepLines/>
        <w:widowControl w:val="0"/>
        <w:shd w:val="clear" w:color="auto" w:fill="auto"/>
        <w:bidi w:val="0"/>
        <w:spacing w:before="100" w:after="340" w:line="240" w:lineRule="auto"/>
        <w:ind w:left="0" w:right="0" w:firstLine="0"/>
        <w:jc w:val="left"/>
      </w:pPr>
      <w:bookmarkStart w:id="767" w:name="bookmark767"/>
      <w:bookmarkStart w:id="768" w:name="bookmark768"/>
      <w:bookmarkStart w:id="769" w:name="bookmark769"/>
      <w:bookmarkStart w:id="770" w:name="bookmark770"/>
      <w:r>
        <w:rPr>
          <w:color w:val="000000"/>
          <w:spacing w:val="0"/>
          <w:w w:val="100"/>
          <w:position w:val="0"/>
        </w:rPr>
        <w:t>2</w:t>
      </w:r>
      <w:bookmarkEnd w:id="769"/>
      <w:r>
        <w:rPr>
          <w:color w:val="000000"/>
          <w:spacing w:val="0"/>
          <w:w w:val="100"/>
          <w:position w:val="0"/>
        </w:rPr>
        <w:t>、内控自我评价报告</w:t>
      </w:r>
      <w:bookmarkEnd w:id="767"/>
      <w:bookmarkEnd w:id="768"/>
      <w:bookmarkEnd w:id="770"/>
    </w:p>
    <w:tbl>
      <w:tblPr>
        <w:tblOverlap w:val="never"/>
        <w:jc w:val="center"/>
        <w:tblLayout w:type="fixed"/>
      </w:tblPr>
      <w:tblGrid>
        <w:gridCol w:w="3062"/>
        <w:gridCol w:w="3658"/>
        <w:gridCol w:w="3149"/>
      </w:tblGrid>
      <w:tr>
        <w:trPr>
          <w:trHeight w:val="40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内部控制评价报告全文披露日期</w:t>
            </w:r>
          </w:p>
        </w:tc>
        <w:tc>
          <w:tcPr>
            <w:gridSpan w:val="2"/>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2021</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04</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28</w:t>
            </w:r>
            <w:r>
              <w:rPr>
                <w:color w:val="000000"/>
                <w:spacing w:val="0"/>
                <w:w w:val="100"/>
                <w:position w:val="0"/>
              </w:rPr>
              <w:t>日</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内部控制评价报告全文披露索引</w:t>
            </w:r>
          </w:p>
        </w:tc>
        <w:tc>
          <w:tcPr>
            <w:gridSpan w:val="2"/>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具体详见巨潮资讯网</w:t>
            </w: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22" w:lineRule="exact"/>
              <w:ind w:left="0" w:right="0" w:firstLine="0"/>
              <w:jc w:val="left"/>
            </w:pPr>
            <w:r>
              <w:rPr>
                <w:color w:val="000000"/>
                <w:spacing w:val="0"/>
                <w:w w:val="100"/>
                <w:position w:val="0"/>
              </w:rPr>
              <w:t>纳入评价范围单位资产总额占公司 合并财务报表资产总额的比例</w:t>
            </w:r>
          </w:p>
        </w:tc>
        <w:tc>
          <w:tcPr>
            <w:gridSpan w:val="2"/>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6040" w:right="0" w:firstLine="0"/>
              <w:jc w:val="left"/>
              <w:rPr>
                <w:sz w:val="18"/>
                <w:szCs w:val="18"/>
              </w:rPr>
            </w:pPr>
            <w:r>
              <w:rPr>
                <w:rFonts w:ascii="Times New Roman" w:eastAsia="Times New Roman" w:hAnsi="Times New Roman" w:cs="Times New Roman"/>
                <w:color w:val="000000"/>
                <w:spacing w:val="0"/>
                <w:w w:val="100"/>
                <w:position w:val="0"/>
                <w:sz w:val="18"/>
                <w:szCs w:val="18"/>
              </w:rPr>
              <w:t>100.00%</w:t>
            </w: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纳入评价范围单位营业收入占公司 合并财务报表营业收入的比例</w:t>
            </w:r>
          </w:p>
        </w:tc>
        <w:tc>
          <w:tcPr>
            <w:gridSpan w:val="2"/>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6040" w:right="0" w:firstLine="0"/>
              <w:jc w:val="left"/>
              <w:rPr>
                <w:sz w:val="18"/>
                <w:szCs w:val="18"/>
              </w:rPr>
            </w:pPr>
            <w:r>
              <w:rPr>
                <w:rFonts w:ascii="Times New Roman" w:eastAsia="Times New Roman" w:hAnsi="Times New Roman" w:cs="Times New Roman"/>
                <w:color w:val="000000"/>
                <w:spacing w:val="0"/>
                <w:w w:val="100"/>
                <w:position w:val="0"/>
                <w:sz w:val="18"/>
                <w:szCs w:val="18"/>
              </w:rPr>
              <w:t>100.00%</w:t>
            </w:r>
          </w:p>
        </w:tc>
      </w:tr>
      <w:tr>
        <w:trPr>
          <w:trHeight w:val="403" w:hRule="exact"/>
        </w:trPr>
        <w:tc>
          <w:tcPr>
            <w:gridSpan w:val="3"/>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缺陷认定标准</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类别</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财务报告</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非财务报告</w:t>
            </w:r>
          </w:p>
        </w:tc>
      </w:tr>
      <w:tr>
        <w:trPr>
          <w:trHeight w:val="47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定性标准</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一、重大缺陷：单独缺陷或连同其他缺陷，</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一、重大缺陷：（</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）严重缺乏</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三重一</w:t>
            </w:r>
          </w:p>
        </w:tc>
      </w:tr>
      <w:tr>
        <w:trPr>
          <w:trHeight w:val="470" w:hRule="exact"/>
        </w:trPr>
        <w:tc>
          <w:tcPr>
            <w:tcBorders>
              <w:left w:val="single" w:sz="4"/>
            </w:tcBorders>
            <w:shd w:val="clear" w:color="auto" w:fill="D7D7D7"/>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导致不能及时防止或发现并纠正财务报告中</w:t>
            </w:r>
          </w:p>
        </w:tc>
        <w:tc>
          <w:tcPr>
            <w:tcBorders>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大</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决策程序，决策过程不民主，造成</w:t>
            </w:r>
          </w:p>
        </w:tc>
      </w:tr>
      <w:tr>
        <w:trPr>
          <w:trHeight w:val="466" w:hRule="exact"/>
        </w:trPr>
        <w:tc>
          <w:tcPr>
            <w:tcBorders>
              <w:left w:val="single" w:sz="4"/>
            </w:tcBorders>
            <w:shd w:val="clear" w:color="auto" w:fill="D7D7D7"/>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的重大错报。出现下列情形的，认定为重大</w:t>
            </w:r>
          </w:p>
        </w:tc>
        <w:tc>
          <w:tcPr>
            <w:tcBorders>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决策严重失误；（</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）经营行为严重违</w:t>
            </w:r>
          </w:p>
        </w:tc>
      </w:tr>
      <w:tr>
        <w:trPr>
          <w:trHeight w:val="470" w:hRule="exact"/>
        </w:trPr>
        <w:tc>
          <w:tcPr>
            <w:tcBorders>
              <w:left w:val="single" w:sz="4"/>
            </w:tcBorders>
            <w:shd w:val="clear" w:color="auto" w:fill="D7D7D7"/>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缺陷：</w:t>
            </w:r>
          </w:p>
        </w:tc>
        <w:tc>
          <w:tcPr>
            <w:tcBorders>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反国家有关法律、法规；（</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）管理人</w:t>
            </w:r>
          </w:p>
        </w:tc>
      </w:tr>
      <w:tr>
        <w:trPr>
          <w:trHeight w:val="470" w:hRule="exact"/>
        </w:trPr>
        <w:tc>
          <w:tcPr>
            <w:tcBorders>
              <w:left w:val="single" w:sz="4"/>
            </w:tcBorders>
            <w:shd w:val="clear" w:color="auto" w:fill="D7D7D7"/>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7"/>
                <w:szCs w:val="17"/>
              </w:rPr>
              <w:t>（</w:t>
            </w: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7"/>
                <w:szCs w:val="17"/>
              </w:rPr>
              <w:t>）董事、监事和高级管理人员舞弊</w:t>
            </w:r>
            <w:r>
              <w:rPr>
                <w:color w:val="000000"/>
                <w:spacing w:val="0"/>
                <w:w w:val="100"/>
                <w:position w:val="0"/>
                <w:sz w:val="18"/>
                <w:szCs w:val="18"/>
              </w:rPr>
              <w:t>；</w:t>
            </w:r>
          </w:p>
        </w:tc>
        <w:tc>
          <w:tcPr>
            <w:tcBorders>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员或技术人员大量流失；（</w:t>
            </w:r>
            <w:r>
              <w:rPr>
                <w:rFonts w:ascii="Times New Roman" w:eastAsia="Times New Roman" w:hAnsi="Times New Roman" w:cs="Times New Roman"/>
                <w:color w:val="000000"/>
                <w:spacing w:val="0"/>
                <w:w w:val="100"/>
                <w:position w:val="0"/>
                <w:sz w:val="18"/>
                <w:szCs w:val="18"/>
              </w:rPr>
              <w:t>4</w:t>
            </w:r>
            <w:r>
              <w:rPr>
                <w:color w:val="000000"/>
                <w:spacing w:val="0"/>
                <w:w w:val="100"/>
                <w:position w:val="0"/>
              </w:rPr>
              <w:t>）内部控</w:t>
            </w:r>
          </w:p>
        </w:tc>
      </w:tr>
      <w:tr>
        <w:trPr>
          <w:trHeight w:val="470" w:hRule="exact"/>
        </w:trPr>
        <w:tc>
          <w:tcPr>
            <w:tcBorders>
              <w:left w:val="single" w:sz="4"/>
            </w:tcBorders>
            <w:shd w:val="clear" w:color="auto" w:fill="D7D7D7"/>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）注册会计师发现当期财务报告存在重大</w:t>
            </w:r>
          </w:p>
        </w:tc>
        <w:tc>
          <w:tcPr>
            <w:tcBorders>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制评价的结果特别是重大缺陷未得到</w:t>
            </w:r>
          </w:p>
        </w:tc>
      </w:tr>
      <w:tr>
        <w:trPr>
          <w:trHeight w:val="466" w:hRule="exact"/>
        </w:trPr>
        <w:tc>
          <w:tcPr>
            <w:tcBorders>
              <w:left w:val="single" w:sz="4"/>
            </w:tcBorders>
            <w:shd w:val="clear" w:color="auto" w:fill="D7D7D7"/>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错报，而内部控制在运行过程中未能发现该</w:t>
            </w:r>
          </w:p>
        </w:tc>
        <w:tc>
          <w:tcPr>
            <w:tcBorders>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整改；（</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）重要业务缺乏制度控制或</w:t>
            </w:r>
          </w:p>
        </w:tc>
      </w:tr>
      <w:tr>
        <w:trPr>
          <w:trHeight w:val="470" w:hRule="exact"/>
        </w:trPr>
        <w:tc>
          <w:tcPr>
            <w:tcBorders>
              <w:left w:val="single" w:sz="4"/>
            </w:tcBorders>
            <w:shd w:val="clear" w:color="auto" w:fill="D7D7D7"/>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错报；</w:t>
            </w:r>
          </w:p>
        </w:tc>
        <w:tc>
          <w:tcPr>
            <w:tcBorders>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制度系统性失效；（</w:t>
            </w:r>
            <w:r>
              <w:rPr>
                <w:rFonts w:ascii="Times New Roman" w:eastAsia="Times New Roman" w:hAnsi="Times New Roman" w:cs="Times New Roman"/>
                <w:color w:val="000000"/>
                <w:spacing w:val="0"/>
                <w:w w:val="100"/>
                <w:position w:val="0"/>
                <w:sz w:val="18"/>
                <w:szCs w:val="18"/>
              </w:rPr>
              <w:t>6</w:t>
            </w:r>
            <w:r>
              <w:rPr>
                <w:color w:val="000000"/>
                <w:spacing w:val="0"/>
                <w:w w:val="100"/>
                <w:position w:val="0"/>
              </w:rPr>
              <w:t>）其造成的负面</w:t>
            </w:r>
          </w:p>
        </w:tc>
      </w:tr>
      <w:tr>
        <w:trPr>
          <w:trHeight w:val="466" w:hRule="exact"/>
        </w:trPr>
        <w:tc>
          <w:tcPr>
            <w:tcBorders>
              <w:left w:val="single" w:sz="4"/>
            </w:tcBorders>
            <w:shd w:val="clear" w:color="auto" w:fill="D7D7D7"/>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）董事会或其授权机构及内审部门对公司</w:t>
            </w:r>
          </w:p>
        </w:tc>
        <w:tc>
          <w:tcPr>
            <w:tcBorders>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影响波及范围极广、普遍引起公众关</w:t>
            </w:r>
          </w:p>
        </w:tc>
      </w:tr>
      <w:tr>
        <w:trPr>
          <w:trHeight w:val="470" w:hRule="exact"/>
        </w:trPr>
        <w:tc>
          <w:tcPr>
            <w:tcBorders>
              <w:left w:val="single" w:sz="4"/>
            </w:tcBorders>
            <w:shd w:val="clear" w:color="auto" w:fill="D7D7D7"/>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的内部控制监督无效。</w:t>
            </w:r>
          </w:p>
        </w:tc>
        <w:tc>
          <w:tcPr>
            <w:tcBorders>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注，为公司声誉带来无法弥补的损害；</w:t>
            </w:r>
          </w:p>
        </w:tc>
      </w:tr>
      <w:tr>
        <w:trPr>
          <w:trHeight w:val="466" w:hRule="exact"/>
        </w:trPr>
        <w:tc>
          <w:tcPr>
            <w:tcBorders>
              <w:left w:val="single" w:sz="4"/>
            </w:tcBorders>
            <w:shd w:val="clear" w:color="auto" w:fill="D7D7D7"/>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二、重要缺陷：单独缺陷或连同其他缺陷，</w:t>
            </w:r>
          </w:p>
        </w:tc>
        <w:tc>
          <w:tcPr>
            <w:tcBorders>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w:t>
            </w:r>
            <w:r>
              <w:rPr>
                <w:rFonts w:ascii="Times New Roman" w:eastAsia="Times New Roman" w:hAnsi="Times New Roman" w:cs="Times New Roman"/>
                <w:color w:val="000000"/>
                <w:spacing w:val="0"/>
                <w:w w:val="100"/>
                <w:position w:val="0"/>
                <w:sz w:val="18"/>
                <w:szCs w:val="18"/>
              </w:rPr>
              <w:t>7</w:t>
            </w:r>
            <w:r>
              <w:rPr>
                <w:color w:val="000000"/>
                <w:spacing w:val="0"/>
                <w:w w:val="100"/>
                <w:position w:val="0"/>
              </w:rPr>
              <w:t>）政府或监管机构已经针对相关方</w:t>
            </w:r>
          </w:p>
        </w:tc>
      </w:tr>
      <w:tr>
        <w:trPr>
          <w:trHeight w:val="470" w:hRule="exact"/>
        </w:trPr>
        <w:tc>
          <w:tcPr>
            <w:tcBorders>
              <w:left w:val="single" w:sz="4"/>
            </w:tcBorders>
            <w:shd w:val="clear" w:color="auto" w:fill="D7D7D7"/>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导致不能及时防止或发现并纠正财务报告中</w:t>
            </w:r>
          </w:p>
        </w:tc>
        <w:tc>
          <w:tcPr>
            <w:tcBorders>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面进行调查。</w:t>
            </w:r>
          </w:p>
        </w:tc>
      </w:tr>
      <w:tr>
        <w:trPr>
          <w:trHeight w:val="466" w:hRule="exact"/>
        </w:trPr>
        <w:tc>
          <w:tcPr>
            <w:tcBorders>
              <w:left w:val="single" w:sz="4"/>
            </w:tcBorders>
            <w:shd w:val="clear" w:color="auto" w:fill="D7D7D7"/>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虽不构成重大错报但应仍引起管理层重视的</w:t>
            </w:r>
          </w:p>
        </w:tc>
        <w:tc>
          <w:tcPr>
            <w:tcBorders>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二、重要缺陷：除上述重大缺陷的其</w:t>
            </w:r>
          </w:p>
        </w:tc>
      </w:tr>
      <w:tr>
        <w:trPr>
          <w:trHeight w:val="470" w:hRule="exact"/>
        </w:trPr>
        <w:tc>
          <w:tcPr>
            <w:tcBorders>
              <w:left w:val="single" w:sz="4"/>
            </w:tcBorders>
            <w:shd w:val="clear" w:color="auto" w:fill="D7D7D7"/>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错报。</w:t>
            </w:r>
          </w:p>
        </w:tc>
        <w:tc>
          <w:tcPr>
            <w:tcBorders>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他情形按影响程度分别确定为重要缺</w:t>
            </w:r>
          </w:p>
        </w:tc>
      </w:tr>
      <w:tr>
        <w:trPr>
          <w:trHeight w:val="466" w:hRule="exact"/>
        </w:trPr>
        <w:tc>
          <w:tcPr>
            <w:tcBorders>
              <w:left w:val="single" w:sz="4"/>
            </w:tcBorders>
            <w:shd w:val="clear" w:color="auto" w:fill="D7D7D7"/>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三、一般缺陷：不构成重大缺陷或重要缺陷</w:t>
            </w:r>
          </w:p>
        </w:tc>
        <w:tc>
          <w:tcPr>
            <w:tcBorders>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陷或一般缺陷。</w:t>
            </w:r>
          </w:p>
        </w:tc>
      </w:tr>
      <w:tr>
        <w:trPr>
          <w:trHeight w:val="470" w:hRule="exact"/>
        </w:trPr>
        <w:tc>
          <w:tcPr>
            <w:tcBorders>
              <w:left w:val="single" w:sz="4"/>
            </w:tcBorders>
            <w:shd w:val="clear" w:color="auto" w:fill="D7D7D7"/>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的其他内部控制缺陷。</w:t>
            </w:r>
          </w:p>
        </w:tc>
        <w:tc>
          <w:tcPr>
            <w:tcBorders>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三、一般缺陷：除上述重大缺陷的其</w:t>
            </w:r>
          </w:p>
        </w:tc>
      </w:tr>
      <w:tr>
        <w:trPr>
          <w:trHeight w:val="466" w:hRule="exact"/>
        </w:trPr>
        <w:tc>
          <w:tcPr>
            <w:tcBorders>
              <w:left w:val="single" w:sz="4"/>
            </w:tcBorders>
            <w:shd w:val="clear" w:color="auto" w:fill="D7D7D7"/>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他情形按影响程度分别确定为重要缺</w:t>
            </w:r>
          </w:p>
        </w:tc>
      </w:tr>
      <w:tr>
        <w:trPr>
          <w:trHeight w:val="466" w:hRule="exact"/>
        </w:trPr>
        <w:tc>
          <w:tcPr>
            <w:tcBorders>
              <w:left w:val="single" w:sz="4"/>
            </w:tcBorders>
            <w:shd w:val="clear" w:color="auto" w:fill="D7D7D7"/>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陷或一般缺陷。</w:t>
            </w:r>
          </w:p>
        </w:tc>
      </w:tr>
      <w:tr>
        <w:trPr>
          <w:trHeight w:val="36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定量标准</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一、重大缺陷：错报</w:t>
            </w:r>
            <w:r>
              <w:rPr>
                <w:rFonts w:ascii="Arial" w:eastAsia="Arial" w:hAnsi="Arial" w:cs="Arial"/>
                <w:color w:val="000000"/>
                <w:spacing w:val="0"/>
                <w:w w:val="100"/>
                <w:position w:val="0"/>
                <w:sz w:val="18"/>
                <w:szCs w:val="18"/>
              </w:rPr>
              <w:t>M</w:t>
            </w:r>
            <w:r>
              <w:rPr>
                <w:color w:val="000000"/>
                <w:spacing w:val="0"/>
                <w:w w:val="100"/>
                <w:position w:val="0"/>
              </w:rPr>
              <w:t>总资产的</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或者错</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7"/>
                <w:szCs w:val="17"/>
              </w:rPr>
              <w:t>一、重大缺陷：影响</w:t>
            </w:r>
            <w:r>
              <w:rPr>
                <w:rFonts w:ascii="Arial" w:eastAsia="Arial" w:hAnsi="Arial" w:cs="Arial"/>
                <w:color w:val="000000"/>
                <w:spacing w:val="0"/>
                <w:w w:val="100"/>
                <w:position w:val="0"/>
                <w:sz w:val="18"/>
                <w:szCs w:val="18"/>
              </w:rPr>
              <w:t>M</w:t>
            </w:r>
            <w:r>
              <w:rPr>
                <w:color w:val="000000"/>
                <w:spacing w:val="0"/>
                <w:w w:val="100"/>
                <w:position w:val="0"/>
                <w:sz w:val="17"/>
                <w:szCs w:val="17"/>
              </w:rPr>
              <w:t>总资产的</w:t>
            </w:r>
            <w:r>
              <w:rPr>
                <w:rFonts w:ascii="Times New Roman" w:eastAsia="Times New Roman" w:hAnsi="Times New Roman" w:cs="Times New Roman"/>
                <w:color w:val="000000"/>
                <w:spacing w:val="0"/>
                <w:w w:val="100"/>
                <w:position w:val="0"/>
                <w:sz w:val="18"/>
                <w:szCs w:val="18"/>
              </w:rPr>
              <w:t>3%</w:t>
            </w:r>
          </w:p>
        </w:tc>
      </w:tr>
      <w:tr>
        <w:trPr>
          <w:trHeight w:val="331" w:hRule="exact"/>
        </w:trPr>
        <w:tc>
          <w:tcPr>
            <w:tcBorders>
              <w:left w:val="single" w:sz="4"/>
            </w:tcBorders>
            <w:shd w:val="clear" w:color="auto" w:fill="D7D7D7"/>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7"/>
                <w:szCs w:val="17"/>
              </w:rPr>
              <w:t>报</w:t>
            </w:r>
            <w:r>
              <w:rPr>
                <w:rFonts w:ascii="Arial" w:eastAsia="Arial" w:hAnsi="Arial" w:cs="Arial"/>
                <w:color w:val="000000"/>
                <w:spacing w:val="0"/>
                <w:w w:val="100"/>
                <w:position w:val="0"/>
                <w:sz w:val="18"/>
                <w:szCs w:val="18"/>
              </w:rPr>
              <w:t>M</w:t>
            </w:r>
            <w:r>
              <w:rPr>
                <w:color w:val="000000"/>
                <w:spacing w:val="0"/>
                <w:w w:val="100"/>
                <w:position w:val="0"/>
                <w:sz w:val="17"/>
                <w:szCs w:val="17"/>
              </w:rPr>
              <w:t>营业收入总额的</w:t>
            </w:r>
            <w:r>
              <w:rPr>
                <w:rFonts w:ascii="Times New Roman" w:eastAsia="Times New Roman" w:hAnsi="Times New Roman" w:cs="Times New Roman"/>
                <w:color w:val="000000"/>
                <w:spacing w:val="0"/>
                <w:w w:val="100"/>
                <w:position w:val="0"/>
                <w:sz w:val="18"/>
                <w:szCs w:val="18"/>
              </w:rPr>
              <w:t>3%</w:t>
            </w:r>
          </w:p>
        </w:tc>
        <w:tc>
          <w:tcPr>
            <w:tcBorders>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7"/>
                <w:szCs w:val="17"/>
              </w:rPr>
              <w:t>或者影响</w:t>
            </w:r>
            <w:r>
              <w:rPr>
                <w:rFonts w:ascii="Arial" w:eastAsia="Arial" w:hAnsi="Arial" w:cs="Arial"/>
                <w:color w:val="000000"/>
                <w:spacing w:val="0"/>
                <w:w w:val="100"/>
                <w:position w:val="0"/>
                <w:sz w:val="18"/>
                <w:szCs w:val="18"/>
              </w:rPr>
              <w:t>M</w:t>
            </w:r>
            <w:r>
              <w:rPr>
                <w:color w:val="000000"/>
                <w:spacing w:val="0"/>
                <w:w w:val="100"/>
                <w:position w:val="0"/>
                <w:sz w:val="17"/>
                <w:szCs w:val="17"/>
              </w:rPr>
              <w:t>营业收入总额的</w:t>
            </w:r>
            <w:r>
              <w:rPr>
                <w:rFonts w:ascii="Times New Roman" w:eastAsia="Times New Roman" w:hAnsi="Times New Roman" w:cs="Times New Roman"/>
                <w:color w:val="000000"/>
                <w:spacing w:val="0"/>
                <w:w w:val="100"/>
                <w:position w:val="0"/>
                <w:sz w:val="18"/>
                <w:szCs w:val="18"/>
              </w:rPr>
              <w:t>3%</w:t>
            </w:r>
          </w:p>
        </w:tc>
      </w:tr>
      <w:tr>
        <w:trPr>
          <w:trHeight w:val="331" w:hRule="exact"/>
        </w:trPr>
        <w:tc>
          <w:tcPr>
            <w:tcBorders>
              <w:left w:val="single" w:sz="4"/>
            </w:tcBorders>
            <w:shd w:val="clear" w:color="auto" w:fill="D7D7D7"/>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二、重要缺陷：总资产的</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二错报《总资</w:t>
            </w:r>
          </w:p>
        </w:tc>
        <w:tc>
          <w:tcPr>
            <w:tcBorders>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二、重要缺陷：总资产的</w:t>
            </w:r>
            <w:r>
              <w:rPr>
                <w:rFonts w:ascii="Times New Roman" w:eastAsia="Times New Roman" w:hAnsi="Times New Roman" w:cs="Times New Roman"/>
                <w:color w:val="000000"/>
                <w:spacing w:val="0"/>
                <w:w w:val="100"/>
                <w:position w:val="0"/>
                <w:sz w:val="18"/>
                <w:szCs w:val="18"/>
              </w:rPr>
              <w:t>2%</w:t>
            </w:r>
            <w:r>
              <w:rPr>
                <w:rFonts w:ascii="Arial" w:eastAsia="Arial" w:hAnsi="Arial" w:cs="Arial"/>
                <w:color w:val="000000"/>
                <w:spacing w:val="0"/>
                <w:w w:val="100"/>
                <w:position w:val="0"/>
                <w:sz w:val="18"/>
                <w:szCs w:val="18"/>
              </w:rPr>
              <w:t>M</w:t>
            </w:r>
            <w:r>
              <w:rPr>
                <w:color w:val="000000"/>
                <w:spacing w:val="0"/>
                <w:w w:val="100"/>
                <w:position w:val="0"/>
              </w:rPr>
              <w:t>影响</w:t>
            </w:r>
          </w:p>
        </w:tc>
      </w:tr>
      <w:tr>
        <w:trPr>
          <w:trHeight w:val="312" w:hRule="exact"/>
        </w:trPr>
        <w:tc>
          <w:tcPr>
            <w:tcBorders>
              <w:left w:val="single" w:sz="4"/>
            </w:tcBorders>
            <w:shd w:val="clear" w:color="auto" w:fill="D7D7D7"/>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产的</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或者营业收入总额的</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二错报</w:t>
            </w:r>
          </w:p>
        </w:tc>
        <w:tc>
          <w:tcPr>
            <w:tcBorders>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《总资产的</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或者营业收入总额</w:t>
            </w:r>
          </w:p>
        </w:tc>
      </w:tr>
      <w:tr>
        <w:trPr>
          <w:trHeight w:val="360" w:hRule="exact"/>
        </w:trPr>
        <w:tc>
          <w:tcPr>
            <w:tcBorders>
              <w:left w:val="single" w:sz="4"/>
              <w:bottom w:val="single" w:sz="4"/>
            </w:tcBorders>
            <w:shd w:val="clear" w:color="auto" w:fill="D7D7D7"/>
            <w:vAlign w:val="top"/>
          </w:tcPr>
          <w:p>
            <w:pPr>
              <w:widowControl w:val="0"/>
              <w:rPr>
                <w:sz w:val="10"/>
                <w:szCs w:val="10"/>
              </w:rPr>
            </w:pPr>
          </w:p>
        </w:tc>
        <w:tc>
          <w:tcPr>
            <w:tcBorders>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7"/>
                <w:szCs w:val="17"/>
              </w:rPr>
              <w:t>《营业收入总额的</w:t>
            </w:r>
            <w:r>
              <w:rPr>
                <w:rFonts w:ascii="Times New Roman" w:eastAsia="Times New Roman" w:hAnsi="Times New Roman" w:cs="Times New Roman"/>
                <w:color w:val="000000"/>
                <w:spacing w:val="0"/>
                <w:w w:val="100"/>
                <w:position w:val="0"/>
                <w:sz w:val="18"/>
                <w:szCs w:val="18"/>
              </w:rPr>
              <w:t>3%</w:t>
            </w:r>
          </w:p>
        </w:tc>
        <w:tc>
          <w:tcPr>
            <w:tcBorders>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7"/>
                <w:szCs w:val="17"/>
              </w:rPr>
              <w:t>的</w:t>
            </w:r>
            <w:r>
              <w:rPr>
                <w:rFonts w:ascii="Times New Roman" w:eastAsia="Times New Roman" w:hAnsi="Times New Roman" w:cs="Times New Roman"/>
                <w:color w:val="000000"/>
                <w:spacing w:val="0"/>
                <w:w w:val="100"/>
                <w:position w:val="0"/>
                <w:sz w:val="18"/>
                <w:szCs w:val="18"/>
              </w:rPr>
              <w:t>2%</w:t>
            </w:r>
            <w:r>
              <w:rPr>
                <w:rFonts w:ascii="Arial" w:eastAsia="Arial" w:hAnsi="Arial" w:cs="Arial"/>
                <w:color w:val="000000"/>
                <w:spacing w:val="0"/>
                <w:w w:val="100"/>
                <w:position w:val="0"/>
                <w:sz w:val="18"/>
                <w:szCs w:val="18"/>
              </w:rPr>
              <w:t>M</w:t>
            </w:r>
            <w:r>
              <w:rPr>
                <w:color w:val="000000"/>
                <w:spacing w:val="0"/>
                <w:w w:val="100"/>
                <w:position w:val="0"/>
                <w:sz w:val="17"/>
                <w:szCs w:val="17"/>
              </w:rPr>
              <w:t>影响〈营业收入总额的</w:t>
            </w:r>
            <w:r>
              <w:rPr>
                <w:rFonts w:ascii="Times New Roman" w:eastAsia="Times New Roman" w:hAnsi="Times New Roman" w:cs="Times New Roman"/>
                <w:color w:val="000000"/>
                <w:spacing w:val="0"/>
                <w:w w:val="100"/>
                <w:position w:val="0"/>
                <w:sz w:val="18"/>
                <w:szCs w:val="18"/>
              </w:rPr>
              <w:t>3%</w:t>
            </w:r>
          </w:p>
        </w:tc>
      </w:tr>
    </w:tbl>
    <w:p>
      <w:pPr>
        <w:spacing w:lineRule="exact" w:line="1"/>
        <w:rPr>
          <w:sz w:val="2"/>
          <w:szCs w:val="2"/>
        </w:rPr>
      </w:pPr>
      <w:r>
        <w:br w:type="page"/>
      </w:r>
    </w:p>
    <w:tbl>
      <w:tblPr>
        <w:tblOverlap w:val="never"/>
        <w:jc w:val="center"/>
        <w:tblLayout w:type="fixed"/>
      </w:tblPr>
      <w:tblGrid>
        <w:gridCol w:w="3062"/>
        <w:gridCol w:w="3658"/>
        <w:gridCol w:w="3149"/>
      </w:tblGrid>
      <w:tr>
        <w:trPr>
          <w:trHeight w:val="792" w:hRule="exact"/>
        </w:trPr>
        <w:tc>
          <w:tcPr>
            <w:tcBorders>
              <w:top w:val="single" w:sz="4"/>
              <w:left w:val="single" w:sz="4"/>
            </w:tcBorders>
            <w:shd w:val="clear" w:color="auto" w:fill="D7D7D7"/>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rPr>
                <w:sz w:val="18"/>
                <w:szCs w:val="18"/>
              </w:rPr>
            </w:pPr>
            <w:r>
              <w:rPr>
                <w:color w:val="000000"/>
                <w:spacing w:val="0"/>
                <w:w w:val="100"/>
                <w:position w:val="0"/>
                <w:sz w:val="17"/>
                <w:szCs w:val="17"/>
              </w:rPr>
              <w:t>三、一般缺陷：错报〈总资产的</w:t>
            </w:r>
            <w:r>
              <w:rPr>
                <w:rFonts w:ascii="Times New Roman" w:eastAsia="Times New Roman" w:hAnsi="Times New Roman" w:cs="Times New Roman"/>
                <w:color w:val="000000"/>
                <w:spacing w:val="0"/>
                <w:w w:val="100"/>
                <w:position w:val="0"/>
                <w:sz w:val="18"/>
                <w:szCs w:val="18"/>
              </w:rPr>
              <w:t>2%</w:t>
            </w:r>
            <w:r>
              <w:rPr>
                <w:color w:val="000000"/>
                <w:spacing w:val="0"/>
                <w:w w:val="100"/>
                <w:position w:val="0"/>
                <w:sz w:val="17"/>
                <w:szCs w:val="17"/>
              </w:rPr>
              <w:t>或者错 报《营业收入总额的</w:t>
            </w:r>
            <w:r>
              <w:rPr>
                <w:rFonts w:ascii="Times New Roman" w:eastAsia="Times New Roman" w:hAnsi="Times New Roman" w:cs="Times New Roman"/>
                <w:color w:val="000000"/>
                <w:spacing w:val="0"/>
                <w:w w:val="100"/>
                <w:position w:val="0"/>
                <w:sz w:val="18"/>
                <w:szCs w:val="18"/>
              </w:rPr>
              <w:t>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rPr>
                <w:sz w:val="18"/>
                <w:szCs w:val="18"/>
              </w:rPr>
            </w:pPr>
            <w:r>
              <w:rPr>
                <w:color w:val="000000"/>
                <w:spacing w:val="0"/>
                <w:w w:val="100"/>
                <w:position w:val="0"/>
                <w:sz w:val="17"/>
                <w:szCs w:val="17"/>
              </w:rPr>
              <w:t>三、一般缺陷：影响〈总资产的</w:t>
            </w:r>
            <w:r>
              <w:rPr>
                <w:rFonts w:ascii="Times New Roman" w:eastAsia="Times New Roman" w:hAnsi="Times New Roman" w:cs="Times New Roman"/>
                <w:color w:val="000000"/>
                <w:spacing w:val="0"/>
                <w:w w:val="100"/>
                <w:position w:val="0"/>
                <w:sz w:val="18"/>
                <w:szCs w:val="18"/>
              </w:rPr>
              <w:t xml:space="preserve">2% </w:t>
            </w:r>
            <w:r>
              <w:rPr>
                <w:color w:val="000000"/>
                <w:spacing w:val="0"/>
                <w:w w:val="100"/>
                <w:position w:val="0"/>
                <w:sz w:val="17"/>
                <w:szCs w:val="17"/>
              </w:rPr>
              <w:t>或者影响〈营业收入总额的</w:t>
            </w:r>
            <w:r>
              <w:rPr>
                <w:rFonts w:ascii="Times New Roman" w:eastAsia="Times New Roman" w:hAnsi="Times New Roman" w:cs="Times New Roman"/>
                <w:color w:val="000000"/>
                <w:spacing w:val="0"/>
                <w:w w:val="100"/>
                <w:position w:val="0"/>
                <w:sz w:val="18"/>
                <w:szCs w:val="18"/>
              </w:rPr>
              <w:t>2%</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财务报告重大缺陷数量（个）</w:t>
            </w:r>
          </w:p>
        </w:tc>
        <w:tc>
          <w:tcPr>
            <w:gridSpan w:val="2"/>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6600" w:right="0" w:firstLine="0"/>
              <w:jc w:val="left"/>
              <w:rPr>
                <w:sz w:val="18"/>
                <w:szCs w:val="18"/>
              </w:rPr>
            </w:pPr>
            <w:r>
              <w:rPr>
                <w:rFonts w:ascii="Times New Roman" w:eastAsia="Times New Roman" w:hAnsi="Times New Roman" w:cs="Times New Roman"/>
                <w:color w:val="000000"/>
                <w:spacing w:val="0"/>
                <w:w w:val="100"/>
                <w:position w:val="0"/>
                <w:sz w:val="18"/>
                <w:szCs w:val="18"/>
              </w:rPr>
              <w:t>0</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非财务报告重大缺陷数量（个）</w:t>
            </w:r>
          </w:p>
        </w:tc>
        <w:tc>
          <w:tcPr>
            <w:gridSpan w:val="2"/>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6600" w:right="0" w:firstLine="0"/>
              <w:jc w:val="left"/>
              <w:rPr>
                <w:sz w:val="18"/>
                <w:szCs w:val="18"/>
              </w:rPr>
            </w:pPr>
            <w:r>
              <w:rPr>
                <w:rFonts w:ascii="Times New Roman" w:eastAsia="Times New Roman" w:hAnsi="Times New Roman" w:cs="Times New Roman"/>
                <w:color w:val="000000"/>
                <w:spacing w:val="0"/>
                <w:w w:val="100"/>
                <w:position w:val="0"/>
                <w:sz w:val="18"/>
                <w:szCs w:val="18"/>
              </w:rPr>
              <w:t>0</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财务报告重要缺陷数量（个）</w:t>
            </w:r>
          </w:p>
        </w:tc>
        <w:tc>
          <w:tcPr>
            <w:gridSpan w:val="2"/>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6600" w:right="0" w:firstLine="0"/>
              <w:jc w:val="left"/>
              <w:rPr>
                <w:sz w:val="18"/>
                <w:szCs w:val="18"/>
              </w:rPr>
            </w:pPr>
            <w:r>
              <w:rPr>
                <w:rFonts w:ascii="Times New Roman" w:eastAsia="Times New Roman" w:hAnsi="Times New Roman" w:cs="Times New Roman"/>
                <w:color w:val="000000"/>
                <w:spacing w:val="0"/>
                <w:w w:val="100"/>
                <w:position w:val="0"/>
                <w:sz w:val="18"/>
                <w:szCs w:val="18"/>
              </w:rPr>
              <w:t>0</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非财务报告重要缺陷数量（个）</w:t>
            </w:r>
          </w:p>
        </w:tc>
        <w:tc>
          <w:tcPr>
            <w:gridSpan w:val="2"/>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6600" w:right="0" w:firstLine="0"/>
              <w:jc w:val="left"/>
              <w:rPr>
                <w:sz w:val="18"/>
                <w:szCs w:val="18"/>
              </w:rPr>
            </w:pPr>
            <w:r>
              <w:rPr>
                <w:rFonts w:ascii="Times New Roman" w:eastAsia="Times New Roman" w:hAnsi="Times New Roman" w:cs="Times New Roman"/>
                <w:color w:val="000000"/>
                <w:spacing w:val="0"/>
                <w:w w:val="100"/>
                <w:position w:val="0"/>
                <w:sz w:val="18"/>
                <w:szCs w:val="18"/>
              </w:rPr>
              <w:t>0</w:t>
            </w:r>
          </w:p>
        </w:tc>
      </w:tr>
    </w:tbl>
    <w:p>
      <w:pPr>
        <w:widowControl w:val="0"/>
        <w:spacing w:after="299" w:line="1" w:lineRule="exact"/>
      </w:pPr>
    </w:p>
    <w:p>
      <w:pPr>
        <w:pStyle w:val="Style39"/>
        <w:keepNext/>
        <w:keepLines/>
        <w:widowControl w:val="0"/>
        <w:shd w:val="clear" w:color="auto" w:fill="auto"/>
        <w:bidi w:val="0"/>
        <w:spacing w:before="0" w:after="360" w:line="240" w:lineRule="auto"/>
        <w:ind w:left="0" w:right="0" w:firstLine="0"/>
        <w:jc w:val="left"/>
      </w:pPr>
      <w:bookmarkStart w:id="771" w:name="bookmark771"/>
      <w:bookmarkStart w:id="772" w:name="bookmark772"/>
      <w:bookmarkStart w:id="773" w:name="bookmark773"/>
      <w:r>
        <w:rPr>
          <w:color w:val="000000"/>
          <w:spacing w:val="0"/>
          <w:w w:val="100"/>
          <w:position w:val="0"/>
          <w:sz w:val="24"/>
          <w:szCs w:val="24"/>
        </w:rPr>
        <w:t>十、内部控制审计报告或鉴证报告</w:t>
      </w:r>
      <w:bookmarkEnd w:id="771"/>
      <w:bookmarkEnd w:id="772"/>
      <w:bookmarkEnd w:id="773"/>
    </w:p>
    <w:p>
      <w:pPr>
        <w:pStyle w:val="Style20"/>
        <w:keepNext w:val="0"/>
        <w:keepLines w:val="0"/>
        <w:widowControl w:val="0"/>
        <w:shd w:val="clear" w:color="auto" w:fill="auto"/>
        <w:bidi w:val="0"/>
        <w:spacing w:before="0" w:after="0" w:line="240" w:lineRule="auto"/>
        <w:ind w:left="5" w:right="0" w:firstLine="0"/>
        <w:jc w:val="left"/>
        <w:rPr>
          <w:sz w:val="17"/>
          <w:szCs w:val="17"/>
        </w:rPr>
      </w:pPr>
      <w:r>
        <w:rPr>
          <w:rFonts w:ascii="SimSun" w:eastAsia="SimSun" w:hAnsi="SimSun" w:cs="SimSun"/>
          <w:color w:val="000000"/>
          <w:spacing w:val="0"/>
          <w:w w:val="100"/>
          <w:position w:val="0"/>
          <w:sz w:val="17"/>
          <w:szCs w:val="17"/>
        </w:rPr>
        <w:t>内部控制鉴证报告</w:t>
      </w:r>
    </w:p>
    <w:tbl>
      <w:tblPr>
        <w:tblOverlap w:val="never"/>
        <w:jc w:val="center"/>
        <w:tblLayout w:type="fixed"/>
      </w:tblPr>
      <w:tblGrid>
        <w:gridCol w:w="2669"/>
        <w:gridCol w:w="6912"/>
      </w:tblGrid>
      <w:tr>
        <w:trPr>
          <w:trHeight w:val="408" w:hRule="exact"/>
        </w:trPr>
        <w:tc>
          <w:tcPr>
            <w:gridSpan w:val="2"/>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内部控制鉴证报告中的审议意见段</w:t>
            </w:r>
          </w:p>
        </w:tc>
      </w:tr>
      <w:tr>
        <w:trPr>
          <w:trHeight w:val="715" w:hRule="exact"/>
        </w:trPr>
        <w:tc>
          <w:tcPr>
            <w:gridSpan w:val="2"/>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22" w:lineRule="exact"/>
              <w:ind w:left="0" w:right="0" w:firstLine="0"/>
              <w:jc w:val="left"/>
            </w:pPr>
            <w:r>
              <w:rPr>
                <w:color w:val="000000"/>
                <w:spacing w:val="0"/>
                <w:w w:val="100"/>
                <w:position w:val="0"/>
              </w:rPr>
              <w:t>我们认为，贵公司按照财政部等五部委颁发的《企业内部控制基本规范》及相关规定于</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日在所有重大方 面保持了与财务报表相关的有效的内部控制。本结论是在受到鉴证报告中指出的固有限制的条件下形成的。</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内控鉴证报告披露情况</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披露</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内部控制鉴证报告全文披露日期</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2021</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04</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28</w:t>
            </w:r>
            <w:r>
              <w:rPr>
                <w:color w:val="000000"/>
                <w:spacing w:val="0"/>
                <w:w w:val="100"/>
                <w:position w:val="0"/>
              </w:rPr>
              <w:t>日</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内部控制鉴证报告全文披露索引</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具体详见巨潮资讯网</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内控鉴证报告意见类型</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标准无保留意见</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非财务报告是否存在重大缺陷</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bl>
    <w:p>
      <w:pPr>
        <w:pStyle w:val="Style41"/>
        <w:keepNext w:val="0"/>
        <w:keepLines w:val="0"/>
        <w:widowControl w:val="0"/>
        <w:shd w:val="clear" w:color="auto" w:fill="auto"/>
        <w:bidi w:val="0"/>
        <w:spacing w:before="0" w:after="140" w:line="350" w:lineRule="exact"/>
        <w:ind w:left="0" w:right="0" w:firstLine="0"/>
        <w:jc w:val="left"/>
      </w:pPr>
      <w:r>
        <w:rPr>
          <w:color w:val="000000"/>
          <w:spacing w:val="0"/>
          <w:w w:val="100"/>
          <w:position w:val="0"/>
        </w:rPr>
        <w:t>会计师事务所是否出具非标准意见的内部控制鉴证报告</w:t>
      </w:r>
    </w:p>
    <w:p>
      <w:pPr>
        <w:pStyle w:val="Style41"/>
        <w:keepNext w:val="0"/>
        <w:keepLines w:val="0"/>
        <w:widowControl w:val="0"/>
        <w:shd w:val="clear" w:color="auto" w:fill="auto"/>
        <w:bidi w:val="0"/>
        <w:spacing w:before="0" w:after="0" w:line="406"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是</w:t>
      </w:r>
      <w:r>
        <w:rPr>
          <w:b/>
          <w:bCs/>
          <w:color w:val="000000"/>
          <w:spacing w:val="0"/>
          <w:w w:val="100"/>
          <w:position w:val="0"/>
          <w:sz w:val="19"/>
          <w:szCs w:val="19"/>
        </w:rPr>
        <w:t>寸</w:t>
      </w:r>
      <w:r>
        <w:rPr>
          <w:b/>
          <w:bCs/>
          <w:color w:val="000000"/>
          <w:spacing w:val="0"/>
          <w:w w:val="100"/>
          <w:position w:val="0"/>
        </w:rPr>
        <w:t>否</w:t>
      </w:r>
    </w:p>
    <w:p>
      <w:pPr>
        <w:pStyle w:val="Style41"/>
        <w:keepNext w:val="0"/>
        <w:keepLines w:val="0"/>
        <w:widowControl w:val="0"/>
        <w:shd w:val="clear" w:color="auto" w:fill="auto"/>
        <w:bidi w:val="0"/>
        <w:spacing w:before="0" w:after="300" w:line="350" w:lineRule="exact"/>
        <w:ind w:left="0" w:right="0" w:firstLine="0"/>
        <w:jc w:val="left"/>
        <w:sectPr>
          <w:headerReference w:type="default" r:id="rId259"/>
          <w:footerReference w:type="default" r:id="rId260"/>
          <w:headerReference w:type="even" r:id="rId261"/>
          <w:footerReference w:type="even" r:id="rId262"/>
          <w:headerReference w:type="first" r:id="rId263"/>
          <w:footerReference w:type="first" r:id="rId264"/>
          <w:footnotePr>
            <w:pos w:val="pageBottom"/>
            <w:numFmt w:val="decimal"/>
            <w:numRestart w:val="continuous"/>
          </w:footnotePr>
          <w:pgSz w:w="11904" w:h="17375"/>
          <w:pgMar w:top="1657" w:right="1018" w:bottom="1860" w:left="1018" w:header="0" w:footer="3" w:gutter="0"/>
          <w:cols w:space="720"/>
          <w:noEndnote/>
          <w:titlePg/>
          <w:rtlGutter w:val="0"/>
          <w:docGrid w:linePitch="360"/>
        </w:sectPr>
      </w:pPr>
      <w:r>
        <w:rPr>
          <w:color w:val="000000"/>
          <w:spacing w:val="0"/>
          <w:w w:val="100"/>
          <w:position w:val="0"/>
        </w:rPr>
        <w:t xml:space="preserve">会计师事务所出具的内部控制鉴证报告与董事会的自我评价报告意见是否一致 </w:t>
      </w:r>
      <w:r>
        <w:rPr>
          <w:b/>
          <w:bCs/>
          <w:color w:val="000000"/>
          <w:spacing w:val="0"/>
          <w:w w:val="100"/>
          <w:position w:val="0"/>
          <w:sz w:val="19"/>
          <w:szCs w:val="19"/>
        </w:rPr>
        <w:t>寸</w:t>
      </w:r>
      <w:r>
        <w:rPr>
          <w:b/>
          <w:bCs/>
          <w:color w:val="000000"/>
          <w:spacing w:val="0"/>
          <w:w w:val="100"/>
          <w:position w:val="0"/>
        </w:rPr>
        <w:t>是</w:t>
      </w:r>
      <w:r>
        <w:rPr>
          <w:color w:val="000000"/>
          <w:spacing w:val="0"/>
          <w:w w:val="100"/>
          <w:position w:val="0"/>
          <w:sz w:val="18"/>
          <w:szCs w:val="18"/>
        </w:rPr>
        <w:t>口</w:t>
      </w:r>
      <w:r>
        <w:rPr>
          <w:color w:val="000000"/>
          <w:spacing w:val="0"/>
          <w:w w:val="100"/>
          <w:position w:val="0"/>
        </w:rPr>
        <w:t>否</w:t>
      </w:r>
    </w:p>
    <w:p>
      <w:pPr>
        <w:pStyle w:val="Style7"/>
        <w:keepNext/>
        <w:keepLines/>
        <w:widowControl w:val="0"/>
        <w:shd w:val="clear" w:color="auto" w:fill="auto"/>
        <w:bidi w:val="0"/>
        <w:spacing w:before="0" w:after="440" w:line="240" w:lineRule="auto"/>
        <w:ind w:left="0" w:right="0" w:firstLine="0"/>
        <w:jc w:val="center"/>
      </w:pPr>
      <w:bookmarkStart w:id="774" w:name="bookmark774"/>
      <w:bookmarkStart w:id="775" w:name="bookmark775"/>
      <w:bookmarkStart w:id="776" w:name="bookmark776"/>
      <w:r>
        <w:rPr>
          <w:color w:val="000000"/>
          <w:spacing w:val="0"/>
          <w:w w:val="100"/>
          <w:position w:val="0"/>
        </w:rPr>
        <w:t>第十一节公司债券相关情况</w:t>
      </w:r>
      <w:bookmarkEnd w:id="774"/>
      <w:bookmarkEnd w:id="775"/>
      <w:bookmarkEnd w:id="776"/>
    </w:p>
    <w:p>
      <w:pPr>
        <w:pStyle w:val="Style41"/>
        <w:keepNext w:val="0"/>
        <w:keepLines w:val="0"/>
        <w:widowControl w:val="0"/>
        <w:shd w:val="clear" w:color="auto" w:fill="auto"/>
        <w:bidi w:val="0"/>
        <w:spacing w:before="0" w:after="0" w:line="355" w:lineRule="exact"/>
        <w:ind w:left="0" w:right="0" w:firstLine="0"/>
        <w:jc w:val="left"/>
        <w:sectPr>
          <w:headerReference w:type="default" r:id="rId265"/>
          <w:footerReference w:type="default" r:id="rId266"/>
          <w:headerReference w:type="even" r:id="rId267"/>
          <w:footerReference w:type="even" r:id="rId268"/>
          <w:footnotePr>
            <w:pos w:val="pageBottom"/>
            <w:numFmt w:val="decimal"/>
            <w:numRestart w:val="continuous"/>
          </w:footnotePr>
          <w:pgSz w:w="11904" w:h="17375"/>
          <w:pgMar w:top="1934" w:right="1018" w:bottom="1934" w:left="1018" w:header="0" w:footer="3" w:gutter="0"/>
          <w:cols w:space="720"/>
          <w:noEndnote/>
          <w:rtlGutter w:val="0"/>
          <w:docGrid w:linePitch="360"/>
        </w:sectPr>
      </w:pPr>
      <w:r>
        <w:rPr>
          <w:color w:val="000000"/>
          <w:spacing w:val="0"/>
          <w:w w:val="100"/>
          <w:position w:val="0"/>
        </w:rPr>
        <w:t>公司是否存在公开发行并在证券交易所上市，且在年度报告批准报出日未到期或到期未能全额兑付的公司债券 否</w:t>
      </w:r>
    </w:p>
    <w:p>
      <w:pPr>
        <w:pStyle w:val="Style7"/>
        <w:keepNext/>
        <w:keepLines/>
        <w:widowControl w:val="0"/>
        <w:shd w:val="clear" w:color="auto" w:fill="auto"/>
        <w:bidi w:val="0"/>
        <w:spacing w:before="0" w:after="520" w:line="240" w:lineRule="auto"/>
        <w:ind w:left="0" w:right="0" w:firstLine="0"/>
        <w:jc w:val="center"/>
      </w:pPr>
      <w:bookmarkStart w:id="777" w:name="bookmark777"/>
      <w:bookmarkStart w:id="778" w:name="bookmark778"/>
      <w:bookmarkStart w:id="779" w:name="bookmark779"/>
      <w:r>
        <w:rPr>
          <w:color w:val="000000"/>
          <w:spacing w:val="0"/>
          <w:w w:val="100"/>
          <w:position w:val="0"/>
        </w:rPr>
        <w:t>第十二节财务报告</w:t>
      </w:r>
      <w:bookmarkEnd w:id="777"/>
      <w:bookmarkEnd w:id="778"/>
      <w:bookmarkEnd w:id="779"/>
    </w:p>
    <w:p>
      <w:pPr>
        <w:pStyle w:val="Style39"/>
        <w:keepNext/>
        <w:keepLines/>
        <w:widowControl w:val="0"/>
        <w:shd w:val="clear" w:color="auto" w:fill="auto"/>
        <w:bidi w:val="0"/>
        <w:spacing w:before="0" w:line="240" w:lineRule="auto"/>
        <w:ind w:left="0" w:right="0" w:firstLine="240"/>
        <w:jc w:val="left"/>
      </w:pPr>
      <w:bookmarkStart w:id="780" w:name="bookmark780"/>
      <w:bookmarkStart w:id="781" w:name="bookmark781"/>
      <w:bookmarkStart w:id="782" w:name="bookmark782"/>
      <w:r>
        <w:rPr>
          <w:color w:val="000000"/>
          <w:spacing w:val="0"/>
          <w:w w:val="100"/>
          <w:position w:val="0"/>
          <w:sz w:val="24"/>
          <w:szCs w:val="24"/>
        </w:rPr>
        <w:t>、审计报告</w:t>
      </w:r>
      <w:bookmarkEnd w:id="780"/>
      <w:bookmarkEnd w:id="781"/>
      <w:bookmarkEnd w:id="782"/>
    </w:p>
    <w:tbl>
      <w:tblPr>
        <w:tblOverlap w:val="never"/>
        <w:jc w:val="center"/>
        <w:tblLayout w:type="fixed"/>
      </w:tblPr>
      <w:tblGrid>
        <w:gridCol w:w="4786"/>
        <w:gridCol w:w="4795"/>
      </w:tblGrid>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审计意见类型</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标准的无保留意见</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审计报告签署日期</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2021</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04</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27</w:t>
            </w:r>
            <w:r>
              <w:rPr>
                <w:color w:val="000000"/>
                <w:spacing w:val="0"/>
                <w:w w:val="100"/>
                <w:position w:val="0"/>
              </w:rPr>
              <w:t>日</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审计机构名称</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立信会计师事务所（特殊普通合伙）</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审计报告文号</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信会师报字</w:t>
            </w:r>
            <w:r>
              <w:rPr>
                <w:rFonts w:ascii="Times New Roman" w:eastAsia="Times New Roman" w:hAnsi="Times New Roman" w:cs="Times New Roman"/>
                <w:color w:val="000000"/>
                <w:spacing w:val="0"/>
                <w:w w:val="100"/>
                <w:position w:val="0"/>
                <w:sz w:val="18"/>
                <w:szCs w:val="18"/>
              </w:rPr>
              <w:t>［2021］</w:t>
            </w:r>
            <w:r>
              <w:rPr>
                <w:color w:val="000000"/>
                <w:spacing w:val="0"/>
                <w:w w:val="100"/>
                <w:position w:val="0"/>
              </w:rPr>
              <w:t>第</w:t>
            </w:r>
            <w:r>
              <w:rPr>
                <w:rFonts w:ascii="Times New Roman" w:eastAsia="Times New Roman" w:hAnsi="Times New Roman" w:cs="Times New Roman"/>
                <w:color w:val="000000"/>
                <w:spacing w:val="0"/>
                <w:w w:val="100"/>
                <w:position w:val="0"/>
                <w:sz w:val="18"/>
                <w:szCs w:val="18"/>
              </w:rPr>
              <w:t>ZA11311</w:t>
            </w:r>
            <w:r>
              <w:rPr>
                <w:color w:val="000000"/>
                <w:spacing w:val="0"/>
                <w:w w:val="100"/>
                <w:position w:val="0"/>
              </w:rPr>
              <w:t>号</w:t>
            </w:r>
          </w:p>
        </w:tc>
      </w:tr>
      <w:tr>
        <w:trPr>
          <w:trHeight w:val="408"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注册会计师姓名</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王一芳、张佳朕</w:t>
            </w:r>
          </w:p>
        </w:tc>
      </w:tr>
    </w:tbl>
    <w:p>
      <w:pPr>
        <w:sectPr>
          <w:footnotePr>
            <w:pos w:val="pageBottom"/>
            <w:numFmt w:val="decimal"/>
            <w:numRestart w:val="continuous"/>
          </w:footnotePr>
          <w:pgSz w:w="11904" w:h="17375"/>
          <w:pgMar w:top="2203" w:right="1195" w:bottom="2203" w:left="1128" w:header="0" w:footer="3" w:gutter="0"/>
          <w:cols w:space="720"/>
          <w:noEndnote/>
          <w:rtlGutter w:val="0"/>
          <w:docGrid w:linePitch="360"/>
        </w:sectPr>
      </w:pPr>
    </w:p>
    <w:p>
      <w:pPr>
        <w:pStyle w:val="Style236"/>
        <w:keepNext w:val="0"/>
        <w:keepLines w:val="0"/>
        <w:widowControl w:val="0"/>
        <w:shd w:val="clear" w:color="auto" w:fill="auto"/>
        <w:bidi w:val="0"/>
        <w:spacing w:before="0" w:after="60" w:line="240" w:lineRule="auto"/>
        <w:ind w:left="0" w:right="0" w:firstLine="0"/>
        <w:jc w:val="center"/>
      </w:pPr>
      <w:r>
        <w:rPr>
          <w:color w:val="000000"/>
          <w:spacing w:val="0"/>
          <w:w w:val="100"/>
          <w:position w:val="0"/>
          <w:sz w:val="24"/>
          <w:szCs w:val="24"/>
        </w:rPr>
        <w:t>审计报告</w:t>
      </w:r>
    </w:p>
    <w:p>
      <w:pPr>
        <w:pStyle w:val="Style222"/>
        <w:keepNext w:val="0"/>
        <w:keepLines w:val="0"/>
        <w:widowControl w:val="0"/>
        <w:shd w:val="clear" w:color="auto" w:fill="auto"/>
        <w:bidi w:val="0"/>
        <w:spacing w:before="0" w:after="220" w:line="240" w:lineRule="auto"/>
        <w:ind w:left="0" w:right="0" w:firstLine="0"/>
        <w:jc w:val="right"/>
        <w:rPr>
          <w:sz w:val="17"/>
          <w:szCs w:val="17"/>
        </w:rPr>
      </w:pPr>
      <w:r>
        <w:rPr>
          <w:rFonts w:ascii="SimSun" w:eastAsia="SimSun" w:hAnsi="SimSun" w:cs="SimSun"/>
          <w:color w:val="000000"/>
          <w:spacing w:val="0"/>
          <w:w w:val="100"/>
          <w:position w:val="0"/>
          <w:sz w:val="17"/>
          <w:szCs w:val="17"/>
        </w:rPr>
        <w:t>信会师报字</w:t>
      </w:r>
      <w:r>
        <w:rPr>
          <w:color w:val="000000"/>
          <w:spacing w:val="0"/>
          <w:w w:val="100"/>
          <w:position w:val="0"/>
          <w:sz w:val="18"/>
          <w:szCs w:val="18"/>
        </w:rPr>
        <w:t>［2021］</w:t>
      </w:r>
      <w:r>
        <w:rPr>
          <w:rFonts w:ascii="SimSun" w:eastAsia="SimSun" w:hAnsi="SimSun" w:cs="SimSun"/>
          <w:color w:val="000000"/>
          <w:spacing w:val="0"/>
          <w:w w:val="100"/>
          <w:position w:val="0"/>
          <w:sz w:val="17"/>
          <w:szCs w:val="17"/>
        </w:rPr>
        <w:t>第</w:t>
      </w:r>
      <w:r>
        <w:rPr>
          <w:color w:val="000000"/>
          <w:spacing w:val="0"/>
          <w:w w:val="100"/>
          <w:position w:val="0"/>
          <w:sz w:val="18"/>
          <w:szCs w:val="18"/>
        </w:rPr>
        <w:t>ZA11311</w:t>
      </w:r>
      <w:r>
        <w:rPr>
          <w:rFonts w:ascii="SimSun" w:eastAsia="SimSun" w:hAnsi="SimSun" w:cs="SimSun"/>
          <w:color w:val="000000"/>
          <w:spacing w:val="0"/>
          <w:w w:val="100"/>
          <w:position w:val="0"/>
          <w:sz w:val="17"/>
          <w:szCs w:val="17"/>
        </w:rPr>
        <w:t>号</w:t>
      </w:r>
    </w:p>
    <w:p>
      <w:pPr>
        <w:pStyle w:val="Style41"/>
        <w:keepNext w:val="0"/>
        <w:keepLines w:val="0"/>
        <w:widowControl w:val="0"/>
        <w:shd w:val="clear" w:color="auto" w:fill="auto"/>
        <w:bidi w:val="0"/>
        <w:spacing w:before="0" w:after="0" w:line="470" w:lineRule="exact"/>
        <w:ind w:left="0" w:right="0" w:firstLine="0"/>
        <w:jc w:val="both"/>
      </w:pPr>
      <w:r>
        <w:rPr>
          <w:b/>
          <w:bCs/>
          <w:color w:val="000000"/>
          <w:spacing w:val="0"/>
          <w:w w:val="100"/>
          <w:position w:val="0"/>
        </w:rPr>
        <w:t>北京神州泰岳软件股份有限公司全体股东：</w:t>
      </w:r>
    </w:p>
    <w:p>
      <w:pPr>
        <w:pStyle w:val="Style41"/>
        <w:keepNext w:val="0"/>
        <w:keepLines w:val="0"/>
        <w:widowControl w:val="0"/>
        <w:shd w:val="clear" w:color="auto" w:fill="auto"/>
        <w:tabs>
          <w:tab w:pos="440" w:val="left"/>
        </w:tabs>
        <w:bidi w:val="0"/>
        <w:spacing w:before="0" w:after="0" w:line="470" w:lineRule="exact"/>
        <w:ind w:left="0" w:right="0" w:firstLine="0"/>
        <w:jc w:val="both"/>
      </w:pPr>
      <w:bookmarkStart w:id="783" w:name="bookmark783"/>
      <w:r>
        <w:rPr>
          <w:b/>
          <w:bCs/>
          <w:color w:val="000000"/>
          <w:spacing w:val="0"/>
          <w:w w:val="100"/>
          <w:position w:val="0"/>
        </w:rPr>
        <w:t>一</w:t>
      </w:r>
      <w:bookmarkEnd w:id="783"/>
      <w:r>
        <w:rPr>
          <w:b/>
          <w:bCs/>
          <w:color w:val="000000"/>
          <w:spacing w:val="0"/>
          <w:w w:val="100"/>
          <w:position w:val="0"/>
        </w:rPr>
        <w:t>、</w:t>
        <w:tab/>
        <w:t>审计意见</w:t>
      </w:r>
    </w:p>
    <w:p>
      <w:pPr>
        <w:pStyle w:val="Style41"/>
        <w:keepNext w:val="0"/>
        <w:keepLines w:val="0"/>
        <w:widowControl w:val="0"/>
        <w:shd w:val="clear" w:color="auto" w:fill="auto"/>
        <w:bidi w:val="0"/>
        <w:spacing w:before="0" w:after="0" w:line="470" w:lineRule="exact"/>
        <w:ind w:left="0" w:right="0"/>
        <w:jc w:val="both"/>
      </w:pPr>
      <w:r>
        <w:rPr>
          <w:color w:val="000000"/>
          <w:spacing w:val="0"/>
          <w:w w:val="100"/>
          <w:position w:val="0"/>
        </w:rPr>
        <w:t>我们审计了北京神州泰岳软件股份有限公司（以下简称神州泰岳）财务报表，包括</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日的合并及母公司资产 负债表，</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年度的合并及母公司利润表、合并及母公司现金流量表、合并及母公司所有者权益变动表以及相关财务报表附 注。</w:t>
      </w:r>
    </w:p>
    <w:p>
      <w:pPr>
        <w:pStyle w:val="Style41"/>
        <w:keepNext w:val="0"/>
        <w:keepLines w:val="0"/>
        <w:widowControl w:val="0"/>
        <w:shd w:val="clear" w:color="auto" w:fill="auto"/>
        <w:bidi w:val="0"/>
        <w:spacing w:before="0" w:after="0" w:line="470" w:lineRule="exact"/>
        <w:ind w:left="0" w:right="0"/>
        <w:jc w:val="both"/>
      </w:pPr>
      <w:r>
        <w:rPr>
          <w:color w:val="000000"/>
          <w:spacing w:val="0"/>
          <w:w w:val="100"/>
          <w:position w:val="0"/>
        </w:rPr>
        <w:t>我们认为，后附的财务报表在所有重大方面按照企业会计准则的规定编制，公允反映了神州泰岳</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日的合并 及母公司财务状况以及</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年度的合并及母公司经营成果和现金流量。</w:t>
      </w:r>
    </w:p>
    <w:p>
      <w:pPr>
        <w:pStyle w:val="Style41"/>
        <w:keepNext w:val="0"/>
        <w:keepLines w:val="0"/>
        <w:widowControl w:val="0"/>
        <w:shd w:val="clear" w:color="auto" w:fill="auto"/>
        <w:tabs>
          <w:tab w:pos="440" w:val="left"/>
        </w:tabs>
        <w:bidi w:val="0"/>
        <w:spacing w:before="0" w:after="0" w:line="470" w:lineRule="exact"/>
        <w:ind w:left="0" w:right="0" w:firstLine="0"/>
        <w:jc w:val="both"/>
      </w:pPr>
      <w:bookmarkStart w:id="784" w:name="bookmark784"/>
      <w:r>
        <w:rPr>
          <w:b/>
          <w:bCs/>
          <w:color w:val="000000"/>
          <w:spacing w:val="0"/>
          <w:w w:val="100"/>
          <w:position w:val="0"/>
        </w:rPr>
        <w:t>二</w:t>
      </w:r>
      <w:bookmarkEnd w:id="784"/>
      <w:r>
        <w:rPr>
          <w:b/>
          <w:bCs/>
          <w:color w:val="000000"/>
          <w:spacing w:val="0"/>
          <w:w w:val="100"/>
          <w:position w:val="0"/>
        </w:rPr>
        <w:t>、</w:t>
        <w:tab/>
        <w:t>形成审计意见的基础</w:t>
      </w:r>
    </w:p>
    <w:p>
      <w:pPr>
        <w:pStyle w:val="Style41"/>
        <w:keepNext w:val="0"/>
        <w:keepLines w:val="0"/>
        <w:widowControl w:val="0"/>
        <w:shd w:val="clear" w:color="auto" w:fill="auto"/>
        <w:bidi w:val="0"/>
        <w:spacing w:before="0" w:after="0" w:line="470" w:lineRule="exact"/>
        <w:ind w:left="0" w:right="0"/>
        <w:jc w:val="both"/>
      </w:pPr>
      <w:r>
        <w:rPr>
          <w:color w:val="000000"/>
          <w:spacing w:val="0"/>
          <w:w w:val="100"/>
          <w:position w:val="0"/>
        </w:rPr>
        <w:t>我们按照中国注册会计师审计准则的规定执行了审计工作。审计报告的</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注册会计师对财务报表审计的责任</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部分进一步 阐述了我们在这些准则下的责任。按照中国注册会计师职业道德守则，我们独立于神州泰岳，并履行了职业道德方面的其他 责任。我们相信，我们获取的审计证据是充分、适当的，为发表审计意见提供了基础。</w:t>
      </w:r>
    </w:p>
    <w:p>
      <w:pPr>
        <w:pStyle w:val="Style41"/>
        <w:keepNext w:val="0"/>
        <w:keepLines w:val="0"/>
        <w:widowControl w:val="0"/>
        <w:shd w:val="clear" w:color="auto" w:fill="auto"/>
        <w:tabs>
          <w:tab w:pos="445" w:val="left"/>
        </w:tabs>
        <w:bidi w:val="0"/>
        <w:spacing w:before="0" w:after="0" w:line="470" w:lineRule="exact"/>
        <w:ind w:left="0" w:right="0" w:firstLine="0"/>
        <w:jc w:val="both"/>
      </w:pPr>
      <w:bookmarkStart w:id="785" w:name="bookmark785"/>
      <w:r>
        <w:rPr>
          <w:b/>
          <w:bCs/>
          <w:color w:val="000000"/>
          <w:spacing w:val="0"/>
          <w:w w:val="100"/>
          <w:position w:val="0"/>
        </w:rPr>
        <w:t>三</w:t>
      </w:r>
      <w:bookmarkEnd w:id="785"/>
      <w:r>
        <w:rPr>
          <w:b/>
          <w:bCs/>
          <w:color w:val="000000"/>
          <w:spacing w:val="0"/>
          <w:w w:val="100"/>
          <w:position w:val="0"/>
        </w:rPr>
        <w:t>、</w:t>
        <w:tab/>
        <w:t>关键审计事项</w:t>
      </w:r>
    </w:p>
    <w:p>
      <w:pPr>
        <w:pStyle w:val="Style41"/>
        <w:keepNext w:val="0"/>
        <w:keepLines w:val="0"/>
        <w:widowControl w:val="0"/>
        <w:shd w:val="clear" w:color="auto" w:fill="auto"/>
        <w:bidi w:val="0"/>
        <w:spacing w:before="0" w:after="0" w:line="470" w:lineRule="exact"/>
        <w:ind w:left="0" w:right="0"/>
        <w:jc w:val="both"/>
      </w:pPr>
      <w:r>
        <w:rPr>
          <w:color w:val="000000"/>
          <w:spacing w:val="0"/>
          <w:w w:val="100"/>
          <w:position w:val="0"/>
        </w:rPr>
        <w:t>关键审计事项是我们根据职业判断，认为对本期财务报表审计最为重要的事项。这些事项的应对以对财务报表整体进行 审计并形成审计意见为背景，我们不对这些事项单独发表意见。</w:t>
      </w:r>
    </w:p>
    <w:p>
      <w:pPr>
        <w:pStyle w:val="Style41"/>
        <w:keepNext w:val="0"/>
        <w:keepLines w:val="0"/>
        <w:widowControl w:val="0"/>
        <w:shd w:val="clear" w:color="auto" w:fill="auto"/>
        <w:bidi w:val="0"/>
        <w:spacing w:before="0" w:after="420" w:line="470" w:lineRule="exact"/>
        <w:ind w:left="0" w:right="0"/>
        <w:jc w:val="both"/>
      </w:pPr>
      <w:r>
        <w:rPr>
          <w:color w:val="000000"/>
          <w:spacing w:val="0"/>
          <w:w w:val="100"/>
          <w:position w:val="0"/>
        </w:rPr>
        <w:t>我们在审计中识别出的关键审计事项汇总如下：</w:t>
      </w:r>
    </w:p>
    <w:tbl>
      <w:tblPr>
        <w:tblOverlap w:val="never"/>
        <w:jc w:val="center"/>
        <w:tblLayout w:type="fixed"/>
      </w:tblPr>
      <w:tblGrid>
        <w:gridCol w:w="5141"/>
        <w:gridCol w:w="4536"/>
      </w:tblGrid>
      <w:tr>
        <w:trPr>
          <w:trHeight w:val="35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关键审计事项</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1260" w:right="0" w:firstLine="0"/>
              <w:jc w:val="left"/>
            </w:pPr>
            <w:r>
              <w:rPr>
                <w:b/>
                <w:bCs/>
                <w:color w:val="000000"/>
                <w:spacing w:val="0"/>
                <w:w w:val="100"/>
                <w:position w:val="0"/>
              </w:rPr>
              <w:t>该事项在审计中是如何应对的</w:t>
            </w:r>
          </w:p>
        </w:tc>
      </w:tr>
      <w:tr>
        <w:trPr>
          <w:trHeight w:val="346" w:hRule="exact"/>
        </w:trPr>
        <w:tc>
          <w:tcPr>
            <w:gridSpan w:val="2"/>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pPr>
            <w:r>
              <w:rPr>
                <w:b/>
                <w:bCs/>
                <w:color w:val="000000"/>
                <w:spacing w:val="0"/>
                <w:w w:val="100"/>
                <w:position w:val="0"/>
              </w:rPr>
              <w:t>（一）商誉减值</w:t>
            </w:r>
          </w:p>
        </w:tc>
      </w:tr>
      <w:tr>
        <w:trPr>
          <w:trHeight w:val="4728" w:hRule="exact"/>
        </w:trPr>
        <w:tc>
          <w:tcPr>
            <w:tcBorders>
              <w:top w:val="single" w:sz="4"/>
              <w:left w:val="single" w:sz="4"/>
              <w:bottom w:val="single" w:sz="4"/>
            </w:tcBorders>
            <w:shd w:val="clear" w:color="auto" w:fill="FFFFFF"/>
            <w:vAlign w:val="top"/>
          </w:tcPr>
          <w:p>
            <w:pPr>
              <w:pStyle w:val="Style2"/>
              <w:keepNext w:val="0"/>
              <w:keepLines w:val="0"/>
              <w:widowControl w:val="0"/>
              <w:shd w:val="clear" w:color="auto" w:fill="auto"/>
              <w:bidi w:val="0"/>
              <w:spacing w:before="0" w:after="0" w:line="312" w:lineRule="exact"/>
              <w:ind w:left="0" w:right="0" w:firstLine="360"/>
              <w:jc w:val="both"/>
            </w:pPr>
            <w:r>
              <w:rPr>
                <w:color w:val="000000"/>
                <w:spacing w:val="0"/>
                <w:w w:val="100"/>
                <w:position w:val="0"/>
              </w:rPr>
              <w:t>商誉减值的会计政策详情及分析请参见财务报表附注五、</w:t>
            </w:r>
            <w:r>
              <w:rPr>
                <w:rFonts w:ascii="Times New Roman" w:eastAsia="Times New Roman" w:hAnsi="Times New Roman" w:cs="Times New Roman"/>
                <w:color w:val="000000"/>
                <w:spacing w:val="0"/>
                <w:w w:val="100"/>
                <w:position w:val="0"/>
                <w:sz w:val="18"/>
                <w:szCs w:val="18"/>
              </w:rPr>
              <w:t xml:space="preserve">31 </w:t>
            </w:r>
            <w:r>
              <w:rPr>
                <w:color w:val="000000"/>
                <w:spacing w:val="0"/>
                <w:w w:val="100"/>
                <w:position w:val="0"/>
              </w:rPr>
              <w:t>长期资产减值以及财务报表附注七、</w:t>
            </w:r>
            <w:r>
              <w:rPr>
                <w:rFonts w:ascii="Times New Roman" w:eastAsia="Times New Roman" w:hAnsi="Times New Roman" w:cs="Times New Roman"/>
                <w:color w:val="000000"/>
                <w:spacing w:val="0"/>
                <w:w w:val="100"/>
                <w:position w:val="0"/>
                <w:sz w:val="18"/>
                <w:szCs w:val="18"/>
              </w:rPr>
              <w:t>28</w:t>
            </w:r>
            <w:r>
              <w:rPr>
                <w:color w:val="000000"/>
                <w:spacing w:val="0"/>
                <w:w w:val="100"/>
                <w:position w:val="0"/>
              </w:rPr>
              <w:t>商誉。</w:t>
            </w:r>
          </w:p>
          <w:p>
            <w:pPr>
              <w:pStyle w:val="Style2"/>
              <w:keepNext w:val="0"/>
              <w:keepLines w:val="0"/>
              <w:widowControl w:val="0"/>
              <w:shd w:val="clear" w:color="auto" w:fill="auto"/>
              <w:bidi w:val="0"/>
              <w:spacing w:before="0" w:after="0" w:line="312" w:lineRule="exact"/>
              <w:ind w:left="0" w:right="0" w:firstLine="360"/>
              <w:jc w:val="both"/>
            </w:pPr>
            <w:r>
              <w:rPr>
                <w:color w:val="000000"/>
                <w:spacing w:val="0"/>
                <w:w w:val="100"/>
                <w:position w:val="0"/>
              </w:rPr>
              <w:t>截至</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日，神州泰岳合并报表中商誉的账面价值 合计人民币</w:t>
            </w:r>
            <w:r>
              <w:rPr>
                <w:rFonts w:ascii="Times New Roman" w:eastAsia="Times New Roman" w:hAnsi="Times New Roman" w:cs="Times New Roman"/>
                <w:color w:val="000000"/>
                <w:spacing w:val="0"/>
                <w:w w:val="100"/>
                <w:position w:val="0"/>
                <w:sz w:val="18"/>
                <w:szCs w:val="18"/>
              </w:rPr>
              <w:t>2</w:t>
            </w:r>
            <w:r>
              <w:rPr>
                <w:rFonts w:ascii="Times New Roman" w:eastAsia="Times New Roman" w:hAnsi="Times New Roman" w:cs="Times New Roman"/>
                <w:color w:val="000000"/>
                <w:spacing w:val="0"/>
                <w:w w:val="100"/>
                <w:position w:val="0"/>
                <w:sz w:val="18"/>
                <w:szCs w:val="18"/>
              </w:rPr>
              <w:t>,078,941,446.74</w:t>
            </w:r>
            <w:r>
              <w:rPr>
                <w:color w:val="000000"/>
                <w:spacing w:val="0"/>
                <w:w w:val="100"/>
                <w:position w:val="0"/>
              </w:rPr>
              <w:t xml:space="preserve">元，相应的减值准备余额为人民币 </w:t>
            </w:r>
            <w:r>
              <w:rPr>
                <w:rFonts w:ascii="Times New Roman" w:eastAsia="Times New Roman" w:hAnsi="Times New Roman" w:cs="Times New Roman"/>
                <w:color w:val="000000"/>
                <w:spacing w:val="0"/>
                <w:w w:val="100"/>
                <w:position w:val="0"/>
                <w:sz w:val="18"/>
                <w:szCs w:val="18"/>
              </w:rPr>
              <w:t xml:space="preserve">541,702,269.45 </w:t>
            </w:r>
            <w:r>
              <w:rPr>
                <w:color w:val="000000"/>
                <w:spacing w:val="0"/>
                <w:w w:val="100"/>
                <w:position w:val="0"/>
              </w:rPr>
              <w:t>元。</w:t>
            </w:r>
          </w:p>
          <w:p>
            <w:pPr>
              <w:pStyle w:val="Style2"/>
              <w:keepNext w:val="0"/>
              <w:keepLines w:val="0"/>
              <w:widowControl w:val="0"/>
              <w:shd w:val="clear" w:color="auto" w:fill="auto"/>
              <w:bidi w:val="0"/>
              <w:spacing w:before="0" w:after="0" w:line="312" w:lineRule="exact"/>
              <w:ind w:left="0" w:right="0" w:firstLine="360"/>
              <w:jc w:val="both"/>
            </w:pPr>
            <w:r>
              <w:rPr>
                <w:color w:val="000000"/>
                <w:spacing w:val="0"/>
                <w:w w:val="100"/>
                <w:position w:val="0"/>
              </w:rPr>
              <w:t>管理层每年评估商誉可能出现减值的情况。商誉的减值评估 结果由管理层及其聘任的外部评估师编制的评估报告为基础进行 确定。减值评估是依据所编制的折现现金流预测而估计商誉的使 用价值。折现现金流预测的编制涉及运用重大判断和估计，特别 是确定收入增长率以及确定所应用的风险调整折现率时均存在固 有不确定性和可能受到管理层偏好的影响。</w:t>
            </w:r>
          </w:p>
          <w:p>
            <w:pPr>
              <w:pStyle w:val="Style2"/>
              <w:keepNext w:val="0"/>
              <w:keepLines w:val="0"/>
              <w:widowControl w:val="0"/>
              <w:shd w:val="clear" w:color="auto" w:fill="auto"/>
              <w:bidi w:val="0"/>
              <w:spacing w:before="0" w:after="0" w:line="312" w:lineRule="exact"/>
              <w:ind w:left="0" w:right="0" w:firstLine="360"/>
              <w:jc w:val="both"/>
            </w:pPr>
            <w:r>
              <w:rPr>
                <w:color w:val="000000"/>
                <w:spacing w:val="0"/>
                <w:w w:val="100"/>
                <w:position w:val="0"/>
              </w:rPr>
              <w:t>由于商誉的减值预测和折现未来现金流量涉及固有不确定 性，以及管理层在选用假设和估计时可能出现偏好的风险，我们 将评估商誉的减值视为关键审计事项。</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360"/>
              <w:jc w:val="left"/>
            </w:pPr>
            <w:r>
              <w:rPr>
                <w:color w:val="000000"/>
                <w:spacing w:val="0"/>
                <w:w w:val="100"/>
                <w:position w:val="0"/>
              </w:rPr>
              <w:t>与商誉减值有关的审计程序包括但不限于：</w:t>
            </w:r>
          </w:p>
          <w:p>
            <w:pPr>
              <w:pStyle w:val="Style2"/>
              <w:keepNext w:val="0"/>
              <w:keepLines w:val="0"/>
              <w:widowControl w:val="0"/>
              <w:shd w:val="clear" w:color="auto" w:fill="auto"/>
              <w:tabs>
                <w:tab w:pos="547" w:val="left"/>
              </w:tabs>
              <w:bidi w:val="0"/>
              <w:spacing w:before="0" w:after="0" w:line="317" w:lineRule="exact"/>
              <w:ind w:left="0" w:right="0" w:firstLine="36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w:t>
              <w:tab/>
              <w:t>我们关注了与商誉减值测试相关的内部控制的设计 及执行有效性，包括关键假设的采用及减值计提金额的复 核及审批；</w:t>
            </w:r>
          </w:p>
          <w:p>
            <w:pPr>
              <w:pStyle w:val="Style2"/>
              <w:keepNext w:val="0"/>
              <w:keepLines w:val="0"/>
              <w:widowControl w:val="0"/>
              <w:shd w:val="clear" w:color="auto" w:fill="auto"/>
              <w:tabs>
                <w:tab w:pos="590" w:val="left"/>
              </w:tabs>
              <w:bidi w:val="0"/>
              <w:spacing w:before="0" w:after="0" w:line="317" w:lineRule="exact"/>
              <w:ind w:left="0" w:right="0" w:firstLine="360"/>
              <w:jc w:val="left"/>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w:t>
              <w:tab/>
              <w:t>评价管理层委聘的外部估值专家的胜任能力、专业 素质和客观性；</w:t>
            </w:r>
          </w:p>
          <w:p>
            <w:pPr>
              <w:pStyle w:val="Style2"/>
              <w:keepNext w:val="0"/>
              <w:keepLines w:val="0"/>
              <w:widowControl w:val="0"/>
              <w:shd w:val="clear" w:color="auto" w:fill="auto"/>
              <w:tabs>
                <w:tab w:pos="634" w:val="left"/>
              </w:tabs>
              <w:bidi w:val="0"/>
              <w:spacing w:before="0" w:after="0" w:line="317" w:lineRule="exact"/>
              <w:ind w:left="0" w:right="0" w:firstLine="360"/>
              <w:jc w:val="left"/>
            </w:pPr>
            <w:r>
              <w:rPr>
                <w:rFonts w:ascii="Times New Roman" w:eastAsia="Times New Roman" w:hAnsi="Times New Roman" w:cs="Times New Roman"/>
                <w:color w:val="000000"/>
                <w:spacing w:val="0"/>
                <w:w w:val="100"/>
                <w:position w:val="0"/>
                <w:sz w:val="18"/>
                <w:szCs w:val="18"/>
              </w:rPr>
              <w:t>3</w:t>
            </w:r>
            <w:r>
              <w:rPr>
                <w:color w:val="000000"/>
                <w:spacing w:val="0"/>
                <w:w w:val="100"/>
                <w:position w:val="0"/>
              </w:rPr>
              <w:t>、</w:t>
              <w:tab/>
              <w:t>独立聘请外部估值专家，对其胜任能力进行评价, 要求其对管理层及其专家的估值结果中涉及的资产组划 分、关键参数等进行复核，提供专业意见；</w:t>
            </w:r>
          </w:p>
          <w:p>
            <w:pPr>
              <w:pStyle w:val="Style2"/>
              <w:keepNext w:val="0"/>
              <w:keepLines w:val="0"/>
              <w:widowControl w:val="0"/>
              <w:shd w:val="clear" w:color="auto" w:fill="auto"/>
              <w:tabs>
                <w:tab w:pos="590" w:val="left"/>
              </w:tabs>
              <w:bidi w:val="0"/>
              <w:spacing w:before="0" w:after="0" w:line="317" w:lineRule="exact"/>
              <w:ind w:left="0" w:right="0" w:firstLine="360"/>
              <w:jc w:val="left"/>
            </w:pPr>
            <w:r>
              <w:rPr>
                <w:rFonts w:ascii="Times New Roman" w:eastAsia="Times New Roman" w:hAnsi="Times New Roman" w:cs="Times New Roman"/>
                <w:color w:val="000000"/>
                <w:spacing w:val="0"/>
                <w:w w:val="100"/>
                <w:position w:val="0"/>
                <w:sz w:val="18"/>
                <w:szCs w:val="18"/>
              </w:rPr>
              <w:t>4</w:t>
            </w:r>
            <w:r>
              <w:rPr>
                <w:color w:val="000000"/>
                <w:spacing w:val="0"/>
                <w:w w:val="100"/>
                <w:position w:val="0"/>
              </w:rPr>
              <w:t>、</w:t>
              <w:tab/>
              <w:t>通过参考行业惯例，评估了管理层进行现金流量预 测时使用的估值方法的适当性；</w:t>
            </w:r>
          </w:p>
          <w:p>
            <w:pPr>
              <w:pStyle w:val="Style2"/>
              <w:keepNext w:val="0"/>
              <w:keepLines w:val="0"/>
              <w:widowControl w:val="0"/>
              <w:shd w:val="clear" w:color="auto" w:fill="auto"/>
              <w:tabs>
                <w:tab w:pos="634" w:val="left"/>
              </w:tabs>
              <w:bidi w:val="0"/>
              <w:spacing w:before="0" w:after="0" w:line="317" w:lineRule="exact"/>
              <w:ind w:left="0" w:right="0" w:firstLine="360"/>
              <w:jc w:val="left"/>
            </w:pPr>
            <w:r>
              <w:rPr>
                <w:rFonts w:ascii="Times New Roman" w:eastAsia="Times New Roman" w:hAnsi="Times New Roman" w:cs="Times New Roman"/>
                <w:color w:val="000000"/>
                <w:spacing w:val="0"/>
                <w:w w:val="100"/>
                <w:position w:val="0"/>
                <w:sz w:val="18"/>
                <w:szCs w:val="18"/>
              </w:rPr>
              <w:t>5</w:t>
            </w:r>
            <w:r>
              <w:rPr>
                <w:color w:val="000000"/>
                <w:spacing w:val="0"/>
                <w:w w:val="100"/>
                <w:position w:val="0"/>
              </w:rPr>
              <w:t>、</w:t>
              <w:tab/>
              <w:t>基于同行业可比公司的市场数据重新计算折现率, 并将我们的计算结果与管理层计算预计未来现金流量现值 时采用的折现率进行比较，以评价其计算预计未来现金流 量现值时采用的折现率；</w:t>
            </w:r>
          </w:p>
        </w:tc>
      </w:tr>
    </w:tbl>
    <w:p>
      <w:pPr>
        <w:spacing w:lineRule="exact" w:line="1"/>
        <w:rPr>
          <w:sz w:val="2"/>
          <w:szCs w:val="2"/>
        </w:rPr>
      </w:pPr>
      <w:r>
        <w:br w:type="page"/>
      </w:r>
    </w:p>
    <w:tbl>
      <w:tblPr>
        <w:tblOverlap w:val="never"/>
        <w:jc w:val="center"/>
        <w:tblLayout w:type="fixed"/>
      </w:tblPr>
      <w:tblGrid>
        <w:gridCol w:w="5141"/>
        <w:gridCol w:w="4536"/>
      </w:tblGrid>
      <w:tr>
        <w:trPr>
          <w:trHeight w:val="667"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26" w:lineRule="exact"/>
              <w:ind w:left="0" w:right="0" w:firstLine="360"/>
              <w:jc w:val="both"/>
            </w:pPr>
            <w:r>
              <w:rPr>
                <w:rFonts w:ascii="Times New Roman" w:eastAsia="Times New Roman" w:hAnsi="Times New Roman" w:cs="Times New Roman"/>
                <w:color w:val="000000"/>
                <w:spacing w:val="0"/>
                <w:w w:val="100"/>
                <w:position w:val="0"/>
                <w:sz w:val="18"/>
                <w:szCs w:val="18"/>
              </w:rPr>
              <w:t>6</w:t>
            </w:r>
            <w:r>
              <w:rPr>
                <w:color w:val="000000"/>
                <w:spacing w:val="0"/>
                <w:w w:val="100"/>
                <w:position w:val="0"/>
              </w:rPr>
              <w:t>、评价财务报表中与商誉相关的披露是否符合企业会 计准则的要求。</w:t>
            </w:r>
          </w:p>
        </w:tc>
      </w:tr>
      <w:tr>
        <w:trPr>
          <w:trHeight w:val="350" w:hRule="exact"/>
        </w:trPr>
        <w:tc>
          <w:tcPr>
            <w:gridSpan w:val="2"/>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pPr>
            <w:r>
              <w:rPr>
                <w:b/>
                <w:bCs/>
                <w:color w:val="000000"/>
                <w:spacing w:val="0"/>
                <w:w w:val="100"/>
                <w:position w:val="0"/>
              </w:rPr>
              <w:t>（二）诉讼事项</w:t>
            </w:r>
          </w:p>
        </w:tc>
      </w:tr>
      <w:tr>
        <w:trPr>
          <w:trHeight w:val="284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1" w:lineRule="exact"/>
              <w:ind w:left="0" w:right="0" w:firstLine="360"/>
              <w:jc w:val="both"/>
            </w:pPr>
            <w:r>
              <w:rPr>
                <w:color w:val="000000"/>
                <w:spacing w:val="0"/>
                <w:w w:val="100"/>
                <w:position w:val="0"/>
              </w:rPr>
              <w:t>如财务报表附注七、</w:t>
            </w:r>
            <w:r>
              <w:rPr>
                <w:rFonts w:ascii="Times New Roman" w:eastAsia="Times New Roman" w:hAnsi="Times New Roman" w:cs="Times New Roman"/>
                <w:color w:val="000000"/>
                <w:spacing w:val="0"/>
                <w:w w:val="100"/>
                <w:position w:val="0"/>
                <w:sz w:val="18"/>
                <w:szCs w:val="18"/>
              </w:rPr>
              <w:t>75</w:t>
            </w:r>
            <w:r>
              <w:rPr>
                <w:color w:val="000000"/>
                <w:spacing w:val="0"/>
                <w:w w:val="100"/>
                <w:position w:val="0"/>
              </w:rPr>
              <w:t>以及十六、</w:t>
            </w:r>
            <w:r>
              <w:rPr>
                <w:rFonts w:ascii="Times New Roman" w:eastAsia="Times New Roman" w:hAnsi="Times New Roman" w:cs="Times New Roman"/>
                <w:color w:val="000000"/>
                <w:spacing w:val="0"/>
                <w:w w:val="100"/>
                <w:position w:val="0"/>
                <w:sz w:val="18"/>
                <w:szCs w:val="18"/>
              </w:rPr>
              <w:t>7</w:t>
            </w:r>
            <w:r>
              <w:rPr>
                <w:color w:val="000000"/>
                <w:spacing w:val="0"/>
                <w:w w:val="100"/>
                <w:position w:val="0"/>
              </w:rPr>
              <w:t>所列述，公司全资子公司 北京神州泰岳系统集成有限公司涉及诉讼事项，主要系与大唐电 信科技股份有限公司旗下子公司大唐半导体设计有限公司、大唐 微电子技术有限公司之间的合同纠纷，账面涉诉其他应收款原值 不含利息金额为</w:t>
            </w:r>
            <w:r>
              <w:rPr>
                <w:rFonts w:ascii="Times New Roman" w:eastAsia="Times New Roman" w:hAnsi="Times New Roman" w:cs="Times New Roman"/>
                <w:color w:val="000000"/>
                <w:spacing w:val="0"/>
                <w:w w:val="100"/>
                <w:position w:val="0"/>
                <w:sz w:val="18"/>
                <w:szCs w:val="18"/>
              </w:rPr>
              <w:t>275,595,809.35</w:t>
            </w:r>
            <w:r>
              <w:rPr>
                <w:color w:val="000000"/>
                <w:spacing w:val="0"/>
                <w:w w:val="100"/>
                <w:position w:val="0"/>
              </w:rPr>
              <w:t xml:space="preserve">元，公司累计计提坏账准备 </w:t>
            </w:r>
            <w:r>
              <w:rPr>
                <w:rFonts w:ascii="Times New Roman" w:eastAsia="Times New Roman" w:hAnsi="Times New Roman" w:cs="Times New Roman"/>
                <w:color w:val="000000"/>
                <w:spacing w:val="0"/>
                <w:w w:val="100"/>
                <w:position w:val="0"/>
                <w:sz w:val="18"/>
                <w:szCs w:val="18"/>
              </w:rPr>
              <w:t xml:space="preserve">275,595,809.35 </w:t>
            </w:r>
            <w:r>
              <w:rPr>
                <w:color w:val="000000"/>
                <w:spacing w:val="0"/>
                <w:w w:val="100"/>
                <w:position w:val="0"/>
              </w:rPr>
              <w:t>元。</w:t>
            </w:r>
          </w:p>
          <w:p>
            <w:pPr>
              <w:pStyle w:val="Style2"/>
              <w:keepNext w:val="0"/>
              <w:keepLines w:val="0"/>
              <w:widowControl w:val="0"/>
              <w:shd w:val="clear" w:color="auto" w:fill="auto"/>
              <w:bidi w:val="0"/>
              <w:spacing w:before="0" w:after="0" w:line="311" w:lineRule="exact"/>
              <w:ind w:left="0" w:right="0" w:firstLine="360"/>
              <w:jc w:val="both"/>
            </w:pPr>
            <w:r>
              <w:rPr>
                <w:color w:val="000000"/>
                <w:spacing w:val="0"/>
                <w:w w:val="100"/>
                <w:position w:val="0"/>
              </w:rPr>
              <w:t>由于上述案件目前尚未进入实体审理阶段，在相关诉讼判决 之前评估案件结果对应收款项可收回性的影响金额需要管理层做 出重大的判断，因此我们把诉讼事项列为关键审计事项。</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360"/>
              <w:jc w:val="both"/>
            </w:pPr>
            <w:r>
              <w:rPr>
                <w:color w:val="000000"/>
                <w:spacing w:val="0"/>
                <w:w w:val="100"/>
                <w:position w:val="0"/>
              </w:rPr>
              <w:t>我们针对诉讼事项执行的审计程序包括但不限于：</w:t>
            </w:r>
          </w:p>
          <w:p>
            <w:pPr>
              <w:pStyle w:val="Style2"/>
              <w:keepNext w:val="0"/>
              <w:keepLines w:val="0"/>
              <w:widowControl w:val="0"/>
              <w:shd w:val="clear" w:color="auto" w:fill="auto"/>
              <w:tabs>
                <w:tab w:pos="595" w:val="left"/>
              </w:tabs>
              <w:bidi w:val="0"/>
              <w:spacing w:before="0" w:after="0" w:line="317" w:lineRule="exact"/>
              <w:ind w:left="0" w:right="0" w:firstLine="360"/>
              <w:jc w:val="both"/>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w:t>
              <w:tab/>
              <w:t>与管理层及公司法务部进行沟通，了解本年诉讼事 项的进展，评估管理层对相关诉讼处理是否恰当；</w:t>
            </w:r>
          </w:p>
          <w:p>
            <w:pPr>
              <w:pStyle w:val="Style2"/>
              <w:keepNext w:val="0"/>
              <w:keepLines w:val="0"/>
              <w:widowControl w:val="0"/>
              <w:shd w:val="clear" w:color="auto" w:fill="auto"/>
              <w:tabs>
                <w:tab w:pos="547" w:val="left"/>
              </w:tabs>
              <w:bidi w:val="0"/>
              <w:spacing w:before="0" w:after="0" w:line="317" w:lineRule="exact"/>
              <w:ind w:left="0" w:right="0" w:firstLine="360"/>
              <w:jc w:val="both"/>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w:t>
              <w:tab/>
              <w:t>收集相关资料及证据评价管理层对相关应收款项可 收回性的估计及相关诉讼事项的账务处理是否合理、充分;</w:t>
            </w:r>
          </w:p>
          <w:p>
            <w:pPr>
              <w:pStyle w:val="Style2"/>
              <w:keepNext w:val="0"/>
              <w:keepLines w:val="0"/>
              <w:widowControl w:val="0"/>
              <w:shd w:val="clear" w:color="auto" w:fill="auto"/>
              <w:tabs>
                <w:tab w:pos="542" w:val="left"/>
              </w:tabs>
              <w:bidi w:val="0"/>
              <w:spacing w:before="0" w:after="0" w:line="317" w:lineRule="exact"/>
              <w:ind w:left="0" w:right="0" w:firstLine="360"/>
              <w:jc w:val="both"/>
            </w:pPr>
            <w:r>
              <w:rPr>
                <w:rFonts w:ascii="Times New Roman" w:eastAsia="Times New Roman" w:hAnsi="Times New Roman" w:cs="Times New Roman"/>
                <w:color w:val="000000"/>
                <w:spacing w:val="0"/>
                <w:w w:val="100"/>
                <w:position w:val="0"/>
                <w:sz w:val="18"/>
                <w:szCs w:val="18"/>
              </w:rPr>
              <w:t>3</w:t>
            </w:r>
            <w:r>
              <w:rPr>
                <w:color w:val="000000"/>
                <w:spacing w:val="0"/>
                <w:w w:val="100"/>
                <w:position w:val="0"/>
              </w:rPr>
              <w:t>、</w:t>
              <w:tab/>
              <w:t>检查有关诉讼信息在财务报表及附注中的列报和披 露情况，评估相关信息的列报与披露是否恰当。</w:t>
            </w:r>
          </w:p>
        </w:tc>
      </w:tr>
      <w:tr>
        <w:trPr>
          <w:trHeight w:val="346" w:hRule="exact"/>
        </w:trPr>
        <w:tc>
          <w:tcPr>
            <w:gridSpan w:val="2"/>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pPr>
            <w:r>
              <w:rPr>
                <w:b/>
                <w:bCs/>
                <w:color w:val="000000"/>
                <w:spacing w:val="0"/>
                <w:w w:val="100"/>
                <w:position w:val="0"/>
              </w:rPr>
              <w:t>（三）收入确认及新收入准则实施的影响</w:t>
            </w:r>
          </w:p>
        </w:tc>
      </w:tr>
      <w:tr>
        <w:trPr>
          <w:trHeight w:val="4416"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360"/>
              <w:jc w:val="both"/>
            </w:pPr>
            <w:r>
              <w:rPr>
                <w:color w:val="000000"/>
                <w:spacing w:val="0"/>
                <w:w w:val="100"/>
                <w:position w:val="0"/>
              </w:rPr>
              <w:t>参见财务报表附注五、</w:t>
            </w:r>
            <w:r>
              <w:rPr>
                <w:rFonts w:ascii="Times New Roman" w:eastAsia="Times New Roman" w:hAnsi="Times New Roman" w:cs="Times New Roman"/>
                <w:color w:val="000000"/>
                <w:spacing w:val="0"/>
                <w:w w:val="100"/>
                <w:position w:val="0"/>
                <w:sz w:val="18"/>
                <w:szCs w:val="18"/>
              </w:rPr>
              <w:t>39</w:t>
            </w:r>
            <w:r>
              <w:rPr>
                <w:color w:val="000000"/>
                <w:spacing w:val="0"/>
                <w:w w:val="100"/>
                <w:position w:val="0"/>
              </w:rPr>
              <w:t>收入与财务报表附注七、</w:t>
            </w:r>
            <w:r>
              <w:rPr>
                <w:rFonts w:ascii="Times New Roman" w:eastAsia="Times New Roman" w:hAnsi="Times New Roman" w:cs="Times New Roman"/>
                <w:color w:val="000000"/>
                <w:spacing w:val="0"/>
                <w:w w:val="100"/>
                <w:position w:val="0"/>
                <w:sz w:val="18"/>
                <w:szCs w:val="18"/>
              </w:rPr>
              <w:t>61</w:t>
            </w:r>
            <w:r>
              <w:rPr>
                <w:color w:val="000000"/>
                <w:spacing w:val="0"/>
                <w:w w:val="100"/>
                <w:position w:val="0"/>
              </w:rPr>
              <w:t>营业收 入和营业成本。</w:t>
            </w:r>
          </w:p>
          <w:p>
            <w:pPr>
              <w:pStyle w:val="Style2"/>
              <w:keepNext w:val="0"/>
              <w:keepLines w:val="0"/>
              <w:widowControl w:val="0"/>
              <w:shd w:val="clear" w:color="auto" w:fill="auto"/>
              <w:bidi w:val="0"/>
              <w:spacing w:before="0" w:after="0" w:line="314" w:lineRule="exact"/>
              <w:ind w:left="0" w:right="0" w:firstLine="360"/>
              <w:jc w:val="both"/>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 xml:space="preserve">年度，神州泰岳合并财务报表中营业收入合计为 </w:t>
            </w:r>
            <w:r>
              <w:rPr>
                <w:rFonts w:ascii="Times New Roman" w:eastAsia="Times New Roman" w:hAnsi="Times New Roman" w:cs="Times New Roman"/>
                <w:color w:val="000000"/>
                <w:spacing w:val="0"/>
                <w:w w:val="100"/>
                <w:position w:val="0"/>
                <w:sz w:val="18"/>
                <w:szCs w:val="18"/>
              </w:rPr>
              <w:t>3,595,794,691.29</w:t>
            </w:r>
            <w:r>
              <w:rPr>
                <w:color w:val="000000"/>
                <w:spacing w:val="0"/>
                <w:w w:val="100"/>
                <w:position w:val="0"/>
              </w:rPr>
              <w:t>元。</w:t>
            </w:r>
          </w:p>
          <w:p>
            <w:pPr>
              <w:pStyle w:val="Style2"/>
              <w:keepNext w:val="0"/>
              <w:keepLines w:val="0"/>
              <w:widowControl w:val="0"/>
              <w:shd w:val="clear" w:color="auto" w:fill="auto"/>
              <w:bidi w:val="0"/>
              <w:spacing w:before="0" w:after="0" w:line="314" w:lineRule="exact"/>
              <w:ind w:left="0" w:right="0" w:firstLine="360"/>
              <w:jc w:val="both"/>
            </w:pPr>
            <w:r>
              <w:rPr>
                <w:color w:val="000000"/>
                <w:spacing w:val="0"/>
                <w:w w:val="100"/>
                <w:position w:val="0"/>
              </w:rPr>
              <w:t>由于收入是公司的关键业绩指标之一，存在管理层通过操纵 收入确认以达到特定目标或预期的固有风险；且</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日起, 公司采用《企业会计准则第</w:t>
            </w:r>
            <w:r>
              <w:rPr>
                <w:rFonts w:ascii="Times New Roman" w:eastAsia="Times New Roman" w:hAnsi="Times New Roman" w:cs="Times New Roman"/>
                <w:color w:val="000000"/>
                <w:spacing w:val="0"/>
                <w:w w:val="100"/>
                <w:position w:val="0"/>
                <w:sz w:val="18"/>
                <w:szCs w:val="18"/>
              </w:rPr>
              <w:t>14</w:t>
            </w:r>
            <w:r>
              <w:rPr>
                <w:color w:val="000000"/>
                <w:spacing w:val="0"/>
                <w:w w:val="100"/>
                <w:position w:val="0"/>
              </w:rPr>
              <w:t>号</w:t>
            </w:r>
            <w:r>
              <w:rPr>
                <w:color w:val="000000"/>
                <w:spacing w:val="0"/>
                <w:w w:val="100"/>
                <w:position w:val="0"/>
                <w:sz w:val="18"/>
                <w:szCs w:val="18"/>
              </w:rPr>
              <w:t>一</w:t>
            </w:r>
            <w:r>
              <w:rPr>
                <w:color w:val="000000"/>
                <w:spacing w:val="0"/>
                <w:w w:val="100"/>
                <w:position w:val="0"/>
              </w:rPr>
              <w:t>收入（</w:t>
            </w:r>
            <w:r>
              <w:rPr>
                <w:rFonts w:ascii="Times New Roman" w:eastAsia="Times New Roman" w:hAnsi="Times New Roman" w:cs="Times New Roman"/>
                <w:color w:val="000000"/>
                <w:spacing w:val="0"/>
                <w:w w:val="100"/>
                <w:position w:val="0"/>
                <w:sz w:val="18"/>
                <w:szCs w:val="18"/>
              </w:rPr>
              <w:t>2017</w:t>
            </w:r>
            <w:r>
              <w:rPr>
                <w:color w:val="000000"/>
                <w:spacing w:val="0"/>
                <w:w w:val="100"/>
                <w:position w:val="0"/>
              </w:rPr>
              <w:t>）》（简称</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新收入 准则</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），对新收入准则中按时点或时段确认收入的区分需要管理 层作出重大判断。因此，我们将公司的营业收入确认识别为关键 审计事项。</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318" w:lineRule="exact"/>
              <w:ind w:left="0" w:right="0" w:firstLine="360"/>
              <w:jc w:val="both"/>
            </w:pPr>
            <w:r>
              <w:rPr>
                <w:color w:val="000000"/>
                <w:spacing w:val="0"/>
                <w:w w:val="100"/>
                <w:position w:val="0"/>
              </w:rPr>
              <w:t>我们与收入确认有关的审计程序包括但不限于：</w:t>
            </w:r>
          </w:p>
          <w:p>
            <w:pPr>
              <w:pStyle w:val="Style2"/>
              <w:keepNext w:val="0"/>
              <w:keepLines w:val="0"/>
              <w:widowControl w:val="0"/>
              <w:shd w:val="clear" w:color="auto" w:fill="auto"/>
              <w:tabs>
                <w:tab w:pos="605" w:val="left"/>
              </w:tabs>
              <w:bidi w:val="0"/>
              <w:spacing w:before="0" w:after="0" w:line="318" w:lineRule="exact"/>
              <w:ind w:left="0" w:right="0" w:firstLine="360"/>
              <w:jc w:val="both"/>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w:t>
              <w:tab/>
              <w:t>了解、评价公司收入确认原则和方法以及收入具体 确认时点判断是否符合企业会计准则的规定；</w:t>
            </w:r>
          </w:p>
          <w:p>
            <w:pPr>
              <w:pStyle w:val="Style2"/>
              <w:keepNext w:val="0"/>
              <w:keepLines w:val="0"/>
              <w:widowControl w:val="0"/>
              <w:shd w:val="clear" w:color="auto" w:fill="auto"/>
              <w:tabs>
                <w:tab w:pos="605" w:val="left"/>
              </w:tabs>
              <w:bidi w:val="0"/>
              <w:spacing w:before="0" w:after="0" w:line="318" w:lineRule="exact"/>
              <w:ind w:left="0" w:right="0" w:firstLine="360"/>
              <w:jc w:val="both"/>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w:t>
              <w:tab/>
              <w:t>向管理层取得收入合同清单，选取样本对合同收入 进行测试，检查样本合同的条款，分析合同条款对收入确 认的影响，对履约进度或履约时点进行复核；</w:t>
            </w:r>
          </w:p>
          <w:p>
            <w:pPr>
              <w:pStyle w:val="Style2"/>
              <w:keepNext w:val="0"/>
              <w:keepLines w:val="0"/>
              <w:widowControl w:val="0"/>
              <w:shd w:val="clear" w:color="auto" w:fill="auto"/>
              <w:tabs>
                <w:tab w:pos="590" w:val="left"/>
              </w:tabs>
              <w:bidi w:val="0"/>
              <w:spacing w:before="0" w:after="100" w:line="318" w:lineRule="exact"/>
              <w:ind w:left="0" w:right="0" w:firstLine="360"/>
              <w:jc w:val="both"/>
            </w:pPr>
            <w:r>
              <w:rPr>
                <w:rFonts w:ascii="Times New Roman" w:eastAsia="Times New Roman" w:hAnsi="Times New Roman" w:cs="Times New Roman"/>
                <w:color w:val="000000"/>
                <w:spacing w:val="0"/>
                <w:w w:val="100"/>
                <w:position w:val="0"/>
                <w:sz w:val="18"/>
                <w:szCs w:val="18"/>
              </w:rPr>
              <w:t>3</w:t>
            </w:r>
            <w:r>
              <w:rPr>
                <w:color w:val="000000"/>
                <w:spacing w:val="0"/>
                <w:w w:val="100"/>
                <w:position w:val="0"/>
              </w:rPr>
              <w:t>、</w:t>
              <w:tab/>
              <w:t>通过检查支持性文件，对已经发生的成本进行抽样 测试；</w:t>
            </w:r>
          </w:p>
          <w:p>
            <w:pPr>
              <w:pStyle w:val="Style2"/>
              <w:keepNext w:val="0"/>
              <w:keepLines w:val="0"/>
              <w:widowControl w:val="0"/>
              <w:shd w:val="clear" w:color="auto" w:fill="auto"/>
              <w:tabs>
                <w:tab w:pos="614" w:val="left"/>
              </w:tabs>
              <w:bidi w:val="0"/>
              <w:spacing w:before="0" w:after="0" w:line="360" w:lineRule="auto"/>
              <w:ind w:left="0" w:right="0" w:firstLine="360"/>
              <w:jc w:val="both"/>
            </w:pPr>
            <w:r>
              <w:rPr>
                <w:rFonts w:ascii="Times New Roman" w:eastAsia="Times New Roman" w:hAnsi="Times New Roman" w:cs="Times New Roman"/>
                <w:color w:val="000000"/>
                <w:spacing w:val="0"/>
                <w:w w:val="100"/>
                <w:position w:val="0"/>
                <w:sz w:val="18"/>
                <w:szCs w:val="18"/>
              </w:rPr>
              <w:t>4</w:t>
            </w:r>
            <w:r>
              <w:rPr>
                <w:color w:val="000000"/>
                <w:spacing w:val="0"/>
                <w:w w:val="100"/>
                <w:position w:val="0"/>
              </w:rPr>
              <w:t>、</w:t>
              <w:tab/>
              <w:t>就合同执行情况向客户进行函证；</w:t>
            </w:r>
          </w:p>
          <w:p>
            <w:pPr>
              <w:pStyle w:val="Style2"/>
              <w:keepNext w:val="0"/>
              <w:keepLines w:val="0"/>
              <w:widowControl w:val="0"/>
              <w:shd w:val="clear" w:color="auto" w:fill="auto"/>
              <w:tabs>
                <w:tab w:pos="542" w:val="left"/>
              </w:tabs>
              <w:bidi w:val="0"/>
              <w:spacing w:before="0" w:after="0" w:line="318" w:lineRule="exact"/>
              <w:ind w:left="0" w:right="0" w:firstLine="360"/>
              <w:jc w:val="both"/>
            </w:pPr>
            <w:r>
              <w:rPr>
                <w:rFonts w:ascii="Times New Roman" w:eastAsia="Times New Roman" w:hAnsi="Times New Roman" w:cs="Times New Roman"/>
                <w:color w:val="000000"/>
                <w:spacing w:val="0"/>
                <w:w w:val="100"/>
                <w:position w:val="0"/>
                <w:sz w:val="18"/>
                <w:szCs w:val="18"/>
              </w:rPr>
              <w:t>5</w:t>
            </w:r>
            <w:r>
              <w:rPr>
                <w:color w:val="000000"/>
                <w:spacing w:val="0"/>
                <w:w w:val="100"/>
                <w:position w:val="0"/>
              </w:rPr>
              <w:t>、</w:t>
              <w:tab/>
              <w:t>对新收入准则实施导致的本期期初数调整实施检查 与分析，对本期新收入准则实施的影响金额进行测算与分 析；</w:t>
            </w:r>
          </w:p>
          <w:p>
            <w:pPr>
              <w:pStyle w:val="Style2"/>
              <w:keepNext w:val="0"/>
              <w:keepLines w:val="0"/>
              <w:widowControl w:val="0"/>
              <w:shd w:val="clear" w:color="auto" w:fill="auto"/>
              <w:tabs>
                <w:tab w:pos="547" w:val="left"/>
              </w:tabs>
              <w:bidi w:val="0"/>
              <w:spacing w:before="0" w:after="40" w:line="318" w:lineRule="exact"/>
              <w:ind w:left="0" w:right="0" w:firstLine="360"/>
              <w:jc w:val="both"/>
            </w:pPr>
            <w:r>
              <w:rPr>
                <w:rFonts w:ascii="Times New Roman" w:eastAsia="Times New Roman" w:hAnsi="Times New Roman" w:cs="Times New Roman"/>
                <w:color w:val="000000"/>
                <w:spacing w:val="0"/>
                <w:w w:val="100"/>
                <w:position w:val="0"/>
                <w:sz w:val="18"/>
                <w:szCs w:val="18"/>
              </w:rPr>
              <w:t>6</w:t>
            </w:r>
            <w:r>
              <w:rPr>
                <w:color w:val="000000"/>
                <w:spacing w:val="0"/>
                <w:w w:val="100"/>
                <w:position w:val="0"/>
              </w:rPr>
              <w:t>、</w:t>
              <w:tab/>
              <w:t>评价财务报表中与收入相关的披露是否符合企业会 计准则的要求。</w:t>
            </w:r>
          </w:p>
        </w:tc>
      </w:tr>
    </w:tbl>
    <w:p>
      <w:pPr>
        <w:widowControl w:val="0"/>
        <w:spacing w:after="359" w:line="1" w:lineRule="exact"/>
      </w:pPr>
    </w:p>
    <w:p>
      <w:pPr>
        <w:pStyle w:val="Style41"/>
        <w:keepNext w:val="0"/>
        <w:keepLines w:val="0"/>
        <w:widowControl w:val="0"/>
        <w:shd w:val="clear" w:color="auto" w:fill="auto"/>
        <w:tabs>
          <w:tab w:pos="426" w:val="left"/>
        </w:tabs>
        <w:bidi w:val="0"/>
        <w:spacing w:before="0" w:after="0" w:line="240" w:lineRule="auto"/>
        <w:ind w:left="0" w:right="0" w:firstLine="0"/>
        <w:jc w:val="both"/>
      </w:pPr>
      <w:bookmarkStart w:id="786" w:name="bookmark786"/>
      <w:r>
        <w:rPr>
          <w:b/>
          <w:bCs/>
          <w:color w:val="000000"/>
          <w:spacing w:val="0"/>
          <w:w w:val="100"/>
          <w:position w:val="0"/>
        </w:rPr>
        <w:t>四</w:t>
      </w:r>
      <w:bookmarkEnd w:id="786"/>
      <w:r>
        <w:rPr>
          <w:b/>
          <w:bCs/>
          <w:color w:val="000000"/>
          <w:spacing w:val="0"/>
          <w:w w:val="100"/>
          <w:position w:val="0"/>
        </w:rPr>
        <w:t>、</w:t>
        <w:tab/>
        <w:t>其他信息</w:t>
      </w:r>
    </w:p>
    <w:p>
      <w:pPr>
        <w:pStyle w:val="Style41"/>
        <w:keepNext w:val="0"/>
        <w:keepLines w:val="0"/>
        <w:widowControl w:val="0"/>
        <w:shd w:val="clear" w:color="auto" w:fill="auto"/>
        <w:bidi w:val="0"/>
        <w:spacing w:before="0" w:after="0" w:line="472" w:lineRule="exact"/>
        <w:ind w:left="0" w:right="0" w:firstLine="360"/>
        <w:jc w:val="both"/>
      </w:pPr>
      <w:r>
        <w:rPr>
          <w:color w:val="000000"/>
          <w:spacing w:val="0"/>
          <w:w w:val="100"/>
          <w:position w:val="0"/>
        </w:rPr>
        <w:t>神州泰岳管理层（以下简称管理层）对其他信息负责。其他信息包括神州泰岳</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年年度报告中涵盖的信息，但不包括 财务报表和我们的审计报告。</w:t>
      </w:r>
    </w:p>
    <w:p>
      <w:pPr>
        <w:pStyle w:val="Style41"/>
        <w:keepNext w:val="0"/>
        <w:keepLines w:val="0"/>
        <w:widowControl w:val="0"/>
        <w:shd w:val="clear" w:color="auto" w:fill="auto"/>
        <w:bidi w:val="0"/>
        <w:spacing w:before="0" w:after="0" w:line="472" w:lineRule="exact"/>
        <w:ind w:left="0" w:right="0" w:firstLine="360"/>
        <w:jc w:val="both"/>
      </w:pPr>
      <w:r>
        <w:rPr>
          <w:color w:val="000000"/>
          <w:spacing w:val="0"/>
          <w:w w:val="100"/>
          <w:position w:val="0"/>
        </w:rPr>
        <w:t>我们对财务报表发表的审计意见不涵盖其他信息，我们也不对其他信息发表任何形式的鉴证结论。</w:t>
      </w:r>
    </w:p>
    <w:p>
      <w:pPr>
        <w:pStyle w:val="Style41"/>
        <w:keepNext w:val="0"/>
        <w:keepLines w:val="0"/>
        <w:widowControl w:val="0"/>
        <w:shd w:val="clear" w:color="auto" w:fill="auto"/>
        <w:bidi w:val="0"/>
        <w:spacing w:before="0" w:after="0" w:line="472" w:lineRule="exact"/>
        <w:ind w:left="0" w:right="0" w:firstLine="360"/>
        <w:jc w:val="both"/>
      </w:pPr>
      <w:r>
        <w:rPr>
          <w:color w:val="000000"/>
          <w:spacing w:val="0"/>
          <w:w w:val="100"/>
          <w:position w:val="0"/>
        </w:rPr>
        <w:t>结合我们对财务报表的审计，我们的责任是阅读其他信息，在此过程中，考虑其他信息是否与财务报表或我们在审计过 程中了解到的情况存在重大不一致或者似乎存在重大错报。</w:t>
      </w:r>
    </w:p>
    <w:p>
      <w:pPr>
        <w:pStyle w:val="Style41"/>
        <w:keepNext w:val="0"/>
        <w:keepLines w:val="0"/>
        <w:widowControl w:val="0"/>
        <w:shd w:val="clear" w:color="auto" w:fill="auto"/>
        <w:bidi w:val="0"/>
        <w:spacing w:before="0" w:after="480" w:line="472" w:lineRule="exact"/>
        <w:ind w:left="0" w:right="0" w:firstLine="360"/>
        <w:jc w:val="both"/>
      </w:pPr>
      <w:r>
        <w:rPr>
          <w:color w:val="000000"/>
          <w:spacing w:val="0"/>
          <w:w w:val="100"/>
          <w:position w:val="0"/>
        </w:rPr>
        <w:t>基于我们已执行的工作，如果我们确定其他信息存在重大错报，我们应当报告该事实。在这方面，我们无任何事项需要 报告。</w:t>
      </w:r>
    </w:p>
    <w:p>
      <w:pPr>
        <w:pStyle w:val="Style41"/>
        <w:keepNext w:val="0"/>
        <w:keepLines w:val="0"/>
        <w:widowControl w:val="0"/>
        <w:shd w:val="clear" w:color="auto" w:fill="auto"/>
        <w:tabs>
          <w:tab w:pos="440" w:val="left"/>
        </w:tabs>
        <w:bidi w:val="0"/>
        <w:spacing w:before="0" w:after="0" w:line="240" w:lineRule="auto"/>
        <w:ind w:left="0" w:right="0" w:firstLine="0"/>
        <w:jc w:val="left"/>
      </w:pPr>
      <w:bookmarkStart w:id="787" w:name="bookmark787"/>
      <w:r>
        <w:rPr>
          <w:b/>
          <w:bCs/>
          <w:color w:val="000000"/>
          <w:spacing w:val="0"/>
          <w:w w:val="100"/>
          <w:position w:val="0"/>
        </w:rPr>
        <w:t>五</w:t>
      </w:r>
      <w:bookmarkEnd w:id="787"/>
      <w:r>
        <w:rPr>
          <w:b/>
          <w:bCs/>
          <w:color w:val="000000"/>
          <w:spacing w:val="0"/>
          <w:w w:val="100"/>
          <w:position w:val="0"/>
        </w:rPr>
        <w:t>、</w:t>
        <w:tab/>
        <w:t>管理层和治理层对财务报表的责任</w:t>
      </w:r>
    </w:p>
    <w:p>
      <w:pPr>
        <w:pStyle w:val="Style41"/>
        <w:keepNext w:val="0"/>
        <w:keepLines w:val="0"/>
        <w:widowControl w:val="0"/>
        <w:shd w:val="clear" w:color="auto" w:fill="auto"/>
        <w:bidi w:val="0"/>
        <w:spacing w:before="0" w:after="420" w:line="475" w:lineRule="exact"/>
        <w:ind w:left="0" w:right="0" w:firstLine="360"/>
        <w:jc w:val="both"/>
        <w:sectPr>
          <w:footnotePr>
            <w:pos w:val="pageBottom"/>
            <w:numFmt w:val="decimal"/>
            <w:numRestart w:val="continuous"/>
          </w:footnotePr>
          <w:pgSz w:w="11904" w:h="17375"/>
          <w:pgMar w:top="1708" w:right="1101" w:bottom="1732" w:left="1111" w:header="0" w:footer="3" w:gutter="0"/>
          <w:cols w:space="720"/>
          <w:noEndnote/>
          <w:rtlGutter w:val="0"/>
          <w:docGrid w:linePitch="360"/>
        </w:sectPr>
      </w:pPr>
      <w:r>
        <w:rPr>
          <w:color w:val="000000"/>
          <w:spacing w:val="0"/>
          <w:w w:val="100"/>
          <w:position w:val="0"/>
        </w:rPr>
        <w:t>管理层负责按照企业会计准则的规定编制财务报表，使其实现公允反映，并设计、执行和维护必要的内部控制，以使财 务报表不存在由于舞弊或错误导致的重大错报。</w:t>
      </w:r>
    </w:p>
    <w:p>
      <w:pPr>
        <w:pStyle w:val="Style212"/>
        <w:keepNext w:val="0"/>
        <w:keepLines w:val="0"/>
        <w:widowControl w:val="0"/>
        <w:shd w:val="clear" w:color="auto" w:fill="auto"/>
        <w:bidi w:val="0"/>
        <w:spacing w:before="0" w:after="0" w:line="240" w:lineRule="auto"/>
        <w:ind w:left="0" w:right="0" w:firstLine="0"/>
        <w:jc w:val="left"/>
      </w:pPr>
      <w:r>
        <w:rPr>
          <w:spacing w:val="0"/>
          <w:w w:val="100"/>
          <w:position w:val="0"/>
        </w:rPr>
        <w:t>Ultrapoiuer</w:t>
      </w:r>
    </w:p>
    <w:p>
      <w:pPr>
        <w:pStyle w:val="Style41"/>
        <w:keepNext w:val="0"/>
        <w:keepLines w:val="0"/>
        <w:widowControl w:val="0"/>
        <w:shd w:val="clear" w:color="auto" w:fill="auto"/>
        <w:bidi w:val="0"/>
        <w:spacing w:before="0" w:after="0" w:line="461" w:lineRule="exact"/>
        <w:ind w:left="0" w:right="0" w:firstLine="820"/>
        <w:jc w:val="both"/>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 在编制财务报表时，管理层负责评估神州泰岳的持续经营能力，披露与持续经营相关的事项（如适用），并运用持续经 营假设，除非计划进行清算、终止运营或别无其他现实的选择。</w:t>
      </w:r>
    </w:p>
    <w:p>
      <w:pPr>
        <w:pStyle w:val="Style41"/>
        <w:keepNext w:val="0"/>
        <w:keepLines w:val="0"/>
        <w:widowControl w:val="0"/>
        <w:shd w:val="clear" w:color="auto" w:fill="auto"/>
        <w:bidi w:val="0"/>
        <w:spacing w:before="0" w:after="500" w:line="461" w:lineRule="exact"/>
        <w:ind w:left="0" w:right="0"/>
        <w:jc w:val="both"/>
      </w:pPr>
      <w:r>
        <w:rPr>
          <w:color w:val="000000"/>
          <w:spacing w:val="0"/>
          <w:w w:val="100"/>
          <w:position w:val="0"/>
        </w:rPr>
        <w:t>治理层负责监督神州泰岳的财务报告过程。</w:t>
      </w:r>
    </w:p>
    <w:p>
      <w:pPr>
        <w:pStyle w:val="Style41"/>
        <w:keepNext w:val="0"/>
        <w:keepLines w:val="0"/>
        <w:widowControl w:val="0"/>
        <w:shd w:val="clear" w:color="auto" w:fill="auto"/>
        <w:bidi w:val="0"/>
        <w:spacing w:before="0" w:after="0" w:line="240" w:lineRule="auto"/>
        <w:ind w:left="0" w:right="0" w:firstLine="0"/>
        <w:jc w:val="both"/>
      </w:pPr>
      <w:bookmarkStart w:id="788" w:name="bookmark788"/>
      <w:r>
        <w:rPr>
          <w:b/>
          <w:bCs/>
          <w:color w:val="000000"/>
          <w:spacing w:val="0"/>
          <w:w w:val="100"/>
          <w:position w:val="0"/>
        </w:rPr>
        <w:t>六</w:t>
      </w:r>
      <w:bookmarkEnd w:id="788"/>
      <w:r>
        <w:rPr>
          <w:b/>
          <w:bCs/>
          <w:color w:val="000000"/>
          <w:spacing w:val="0"/>
          <w:w w:val="100"/>
          <w:position w:val="0"/>
        </w:rPr>
        <w:t>、注册会计师对财务报表审计的责任</w:t>
      </w:r>
    </w:p>
    <w:p>
      <w:pPr>
        <w:pStyle w:val="Style41"/>
        <w:keepNext w:val="0"/>
        <w:keepLines w:val="0"/>
        <w:widowControl w:val="0"/>
        <w:shd w:val="clear" w:color="auto" w:fill="auto"/>
        <w:bidi w:val="0"/>
        <w:spacing w:before="0" w:after="0" w:line="467" w:lineRule="exact"/>
        <w:ind w:left="0" w:right="0"/>
        <w:jc w:val="both"/>
      </w:pPr>
      <w:r>
        <w:rPr>
          <w:color w:val="000000"/>
          <w:spacing w:val="0"/>
          <w:w w:val="100"/>
          <w:position w:val="0"/>
        </w:rPr>
        <w:t>我们的目标是对财务报表整体是否不存在由于舞弊或错误导致的重大错报获取合理保证，并出具包含审计意见的审计报 告。合理保证是高水平的保证，但并不能保证按照审计准则执行的审计在某一重大错报存在时总能发现。错报可能由于舞弊 或错误导致，如果合理预期错报单独或汇总起来可能影响财务报表使用者依据财务报表作出的经济决策，则通常认为错报是 重大的。</w:t>
      </w:r>
    </w:p>
    <w:p>
      <w:pPr>
        <w:pStyle w:val="Style41"/>
        <w:keepNext w:val="0"/>
        <w:keepLines w:val="0"/>
        <w:widowControl w:val="0"/>
        <w:shd w:val="clear" w:color="auto" w:fill="auto"/>
        <w:bidi w:val="0"/>
        <w:spacing w:before="0" w:after="0" w:line="467" w:lineRule="exact"/>
        <w:ind w:left="0" w:right="0"/>
        <w:jc w:val="both"/>
      </w:pPr>
      <w:r>
        <w:rPr>
          <w:color w:val="000000"/>
          <w:spacing w:val="0"/>
          <w:w w:val="100"/>
          <w:position w:val="0"/>
        </w:rPr>
        <w:t>在按照审计准则执行审计工作的过程中，我们运用职业判断，并保持职业怀疑。同时，我们也执行以下工作：</w:t>
      </w:r>
    </w:p>
    <w:p>
      <w:pPr>
        <w:pStyle w:val="Style41"/>
        <w:keepNext w:val="0"/>
        <w:keepLines w:val="0"/>
        <w:widowControl w:val="0"/>
        <w:shd w:val="clear" w:color="auto" w:fill="auto"/>
        <w:tabs>
          <w:tab w:pos="956" w:val="left"/>
        </w:tabs>
        <w:bidi w:val="0"/>
        <w:spacing w:before="0" w:after="0" w:line="467" w:lineRule="exact"/>
        <w:ind w:left="0" w:right="0"/>
        <w:jc w:val="both"/>
      </w:pPr>
      <w:bookmarkStart w:id="789" w:name="bookmark789"/>
      <w:r>
        <w:rPr>
          <w:color w:val="000000"/>
          <w:spacing w:val="0"/>
          <w:w w:val="100"/>
          <w:position w:val="0"/>
        </w:rPr>
        <w:t>（</w:t>
      </w:r>
      <w:bookmarkEnd w:id="789"/>
      <w:r>
        <w:rPr>
          <w:color w:val="000000"/>
          <w:spacing w:val="0"/>
          <w:w w:val="100"/>
          <w:position w:val="0"/>
        </w:rPr>
        <w:t>一）</w:t>
        <w:tab/>
        <w:t>识别和评估由于舞弊或错误导致的财务报表重大错报风险，设计和实施审计程序以应对这些风险，并获取充分、 适当的审计证据，作为发表审计意见的基础。由于舞弊可能涉及串通、伪造、故意遗漏、虚假陈述或凌驾于内部控制之上， 未能发现由于舞弊导致的重大错报的风险高于未能发现由于错误导致的重大错报的风险。</w:t>
      </w:r>
    </w:p>
    <w:p>
      <w:pPr>
        <w:pStyle w:val="Style41"/>
        <w:keepNext w:val="0"/>
        <w:keepLines w:val="0"/>
        <w:widowControl w:val="0"/>
        <w:shd w:val="clear" w:color="auto" w:fill="auto"/>
        <w:tabs>
          <w:tab w:pos="885" w:val="left"/>
        </w:tabs>
        <w:bidi w:val="0"/>
        <w:spacing w:before="0" w:after="0" w:line="467" w:lineRule="exact"/>
        <w:ind w:left="0" w:right="0"/>
        <w:jc w:val="both"/>
      </w:pPr>
      <w:bookmarkStart w:id="790" w:name="bookmark790"/>
      <w:r>
        <w:rPr>
          <w:color w:val="000000"/>
          <w:spacing w:val="0"/>
          <w:w w:val="100"/>
          <w:position w:val="0"/>
        </w:rPr>
        <w:t>（</w:t>
      </w:r>
      <w:bookmarkEnd w:id="790"/>
      <w:r>
        <w:rPr>
          <w:color w:val="000000"/>
          <w:spacing w:val="0"/>
          <w:w w:val="100"/>
          <w:position w:val="0"/>
        </w:rPr>
        <w:t>二）</w:t>
        <w:tab/>
        <w:t>了解与审计相关的内部控制，以设计恰当的审计程序，但目的并非对内部控制的有效性发表意见。</w:t>
      </w:r>
    </w:p>
    <w:p>
      <w:pPr>
        <w:pStyle w:val="Style41"/>
        <w:keepNext w:val="0"/>
        <w:keepLines w:val="0"/>
        <w:widowControl w:val="0"/>
        <w:shd w:val="clear" w:color="auto" w:fill="auto"/>
        <w:tabs>
          <w:tab w:pos="885" w:val="left"/>
        </w:tabs>
        <w:bidi w:val="0"/>
        <w:spacing w:before="0" w:after="0" w:line="467" w:lineRule="exact"/>
        <w:ind w:left="0" w:right="0"/>
        <w:jc w:val="both"/>
      </w:pPr>
      <w:bookmarkStart w:id="791" w:name="bookmark791"/>
      <w:r>
        <w:rPr>
          <w:color w:val="000000"/>
          <w:spacing w:val="0"/>
          <w:w w:val="100"/>
          <w:position w:val="0"/>
        </w:rPr>
        <w:t>（</w:t>
      </w:r>
      <w:bookmarkEnd w:id="791"/>
      <w:r>
        <w:rPr>
          <w:color w:val="000000"/>
          <w:spacing w:val="0"/>
          <w:w w:val="100"/>
          <w:position w:val="0"/>
        </w:rPr>
        <w:t>三）</w:t>
        <w:tab/>
        <w:t>评价管理层选用会计政策的恰当性和作出会计估计及相关披露的合理性。</w:t>
      </w:r>
    </w:p>
    <w:p>
      <w:pPr>
        <w:pStyle w:val="Style41"/>
        <w:keepNext w:val="0"/>
        <w:keepLines w:val="0"/>
        <w:widowControl w:val="0"/>
        <w:shd w:val="clear" w:color="auto" w:fill="auto"/>
        <w:tabs>
          <w:tab w:pos="956" w:val="left"/>
        </w:tabs>
        <w:bidi w:val="0"/>
        <w:spacing w:before="0" w:after="0" w:line="467" w:lineRule="exact"/>
        <w:ind w:left="0" w:right="0"/>
        <w:jc w:val="both"/>
      </w:pPr>
      <w:bookmarkStart w:id="792" w:name="bookmark792"/>
      <w:r>
        <w:rPr>
          <w:color w:val="000000"/>
          <w:spacing w:val="0"/>
          <w:w w:val="100"/>
          <w:position w:val="0"/>
        </w:rPr>
        <w:t>（</w:t>
      </w:r>
      <w:bookmarkEnd w:id="792"/>
      <w:r>
        <w:rPr>
          <w:color w:val="000000"/>
          <w:spacing w:val="0"/>
          <w:w w:val="100"/>
          <w:position w:val="0"/>
        </w:rPr>
        <w:t>四）</w:t>
        <w:tab/>
        <w:t>对管理层使用持续经营假设的恰当性得出结论。同时，根据获取的审计证据，就可能导致对神州泰岳持续经营能 力产生重大疑虑的事项或情况是否存在重大不确定性得出结论。如果我们得出结论认为存在重大不确定性，审计准则要求我 们在审计报告中提请报表使用者注意财务报表中的相关披露；如果披露不充分，我们应当发表非无保留意见。我们的结论基 于截至审计报告日可获得的信息。然而，未来的事项或情况可能导致神州泰岳不能持续经营。</w:t>
      </w:r>
    </w:p>
    <w:p>
      <w:pPr>
        <w:pStyle w:val="Style41"/>
        <w:keepNext w:val="0"/>
        <w:keepLines w:val="0"/>
        <w:widowControl w:val="0"/>
        <w:shd w:val="clear" w:color="auto" w:fill="auto"/>
        <w:tabs>
          <w:tab w:pos="885" w:val="left"/>
        </w:tabs>
        <w:bidi w:val="0"/>
        <w:spacing w:before="0" w:after="0" w:line="467" w:lineRule="exact"/>
        <w:ind w:left="0" w:right="0"/>
        <w:jc w:val="both"/>
      </w:pPr>
      <w:bookmarkStart w:id="793" w:name="bookmark793"/>
      <w:r>
        <w:rPr>
          <w:color w:val="000000"/>
          <w:spacing w:val="0"/>
          <w:w w:val="100"/>
          <w:position w:val="0"/>
        </w:rPr>
        <w:t>（</w:t>
      </w:r>
      <w:bookmarkEnd w:id="793"/>
      <w:r>
        <w:rPr>
          <w:color w:val="000000"/>
          <w:spacing w:val="0"/>
          <w:w w:val="100"/>
          <w:position w:val="0"/>
        </w:rPr>
        <w:t>五）</w:t>
        <w:tab/>
        <w:t>评价财务报表的总体列报（包括披露）、结构和内容，并评价财务报表是否公允反映相关交易和事项。</w:t>
      </w:r>
    </w:p>
    <w:p>
      <w:pPr>
        <w:pStyle w:val="Style41"/>
        <w:keepNext w:val="0"/>
        <w:keepLines w:val="0"/>
        <w:widowControl w:val="0"/>
        <w:shd w:val="clear" w:color="auto" w:fill="auto"/>
        <w:tabs>
          <w:tab w:pos="951" w:val="left"/>
        </w:tabs>
        <w:bidi w:val="0"/>
        <w:spacing w:before="0" w:after="0" w:line="467" w:lineRule="exact"/>
        <w:ind w:left="0" w:right="0"/>
        <w:jc w:val="both"/>
      </w:pPr>
      <w:bookmarkStart w:id="794" w:name="bookmark794"/>
      <w:r>
        <w:rPr>
          <w:color w:val="000000"/>
          <w:spacing w:val="0"/>
          <w:w w:val="100"/>
          <w:position w:val="0"/>
        </w:rPr>
        <w:t>（</w:t>
      </w:r>
      <w:bookmarkEnd w:id="794"/>
      <w:r>
        <w:rPr>
          <w:color w:val="000000"/>
          <w:spacing w:val="0"/>
          <w:w w:val="100"/>
          <w:position w:val="0"/>
        </w:rPr>
        <w:t>六）</w:t>
        <w:tab/>
        <w:t>就神州泰岳中实体或业务活动的财务信息获取充分、适当的审计证据，以对合并财务报表发表审计意见。我们负 责指导、监督和执行集团审计，并对审计意见承担全部责任。</w:t>
      </w:r>
    </w:p>
    <w:p>
      <w:pPr>
        <w:pStyle w:val="Style41"/>
        <w:keepNext w:val="0"/>
        <w:keepLines w:val="0"/>
        <w:widowControl w:val="0"/>
        <w:shd w:val="clear" w:color="auto" w:fill="auto"/>
        <w:bidi w:val="0"/>
        <w:spacing w:before="0" w:after="0" w:line="467" w:lineRule="exact"/>
        <w:ind w:left="0" w:right="0"/>
        <w:jc w:val="both"/>
      </w:pPr>
      <w:r>
        <w:rPr>
          <w:color w:val="000000"/>
          <w:spacing w:val="0"/>
          <w:w w:val="100"/>
          <w:position w:val="0"/>
        </w:rPr>
        <w:t>我们与治理层就计划的审计范围、时间安排和重大审计发现等事项进行沟通，包括沟通我们在审计中识别出的值得关注 的内部控制缺陷。</w:t>
      </w:r>
    </w:p>
    <w:p>
      <w:pPr>
        <w:pStyle w:val="Style41"/>
        <w:keepNext w:val="0"/>
        <w:keepLines w:val="0"/>
        <w:widowControl w:val="0"/>
        <w:shd w:val="clear" w:color="auto" w:fill="auto"/>
        <w:bidi w:val="0"/>
        <w:spacing w:before="0" w:after="0" w:line="467" w:lineRule="exact"/>
        <w:ind w:left="0" w:right="0"/>
        <w:jc w:val="both"/>
      </w:pPr>
      <w:r>
        <w:rPr>
          <w:color w:val="000000"/>
          <w:spacing w:val="0"/>
          <w:w w:val="100"/>
          <w:position w:val="0"/>
        </w:rPr>
        <w:t>我们还就已遵守与独立性相关的职业道德要求向治理层提供声明，并与治理层沟通可能被合理认为影响我们独立性的所 有关系和其他事项，以及相关的防范措施（如适用）。</w:t>
      </w:r>
    </w:p>
    <w:p>
      <w:pPr>
        <w:pStyle w:val="Style41"/>
        <w:keepNext w:val="0"/>
        <w:keepLines w:val="0"/>
        <w:widowControl w:val="0"/>
        <w:shd w:val="clear" w:color="auto" w:fill="auto"/>
        <w:bidi w:val="0"/>
        <w:spacing w:before="0" w:after="0" w:line="467" w:lineRule="exact"/>
        <w:ind w:left="0" w:right="0"/>
        <w:jc w:val="both"/>
        <w:sectPr>
          <w:headerReference w:type="default" r:id="rId269"/>
          <w:footerReference w:type="default" r:id="rId270"/>
          <w:headerReference w:type="even" r:id="rId271"/>
          <w:footerReference w:type="even" r:id="rId272"/>
          <w:footnotePr>
            <w:pos w:val="pageBottom"/>
            <w:numFmt w:val="decimal"/>
            <w:numRestart w:val="continuous"/>
          </w:footnotePr>
          <w:pgSz w:w="11904" w:h="17375"/>
          <w:pgMar w:top="1070" w:right="1032" w:bottom="1425" w:left="1104" w:header="642" w:footer="3" w:gutter="0"/>
          <w:cols w:space="720"/>
          <w:noEndnote/>
          <w:rtlGutter w:val="0"/>
          <w:docGrid w:linePitch="360"/>
        </w:sectPr>
      </w:pPr>
      <w:r>
        <w:rPr>
          <w:color w:val="000000"/>
          <w:spacing w:val="0"/>
          <w:w w:val="100"/>
          <w:position w:val="0"/>
        </w:rPr>
        <w:t>从与治理层沟通过的事项中，我们确定哪些事项对本期财务报表审计最为重要，因而构成关键审计事项。我们在审计报 告中描述这些事项，除非法律法规禁止公开披露这些事项，或在极少数情形下，如果合理预期在审计报告中沟通某事项造成 的负面后果超过在公众利益方面产生的益处，我们确定不应在审计报告中沟通该事项。</w:t>
      </w:r>
    </w:p>
    <w:p>
      <w:pPr>
        <w:widowControl w:val="0"/>
        <w:spacing w:line="1" w:lineRule="exact"/>
      </w:pPr>
      <w:r>
        <mc:AlternateContent>
          <mc:Choice Requires="wps">
            <w:drawing>
              <wp:anchor distT="0" distB="1188720" distL="114300" distR="114300" simplePos="0" relativeHeight="125829492" behindDoc="0" locked="0" layoutInCell="1" allowOverlap="1">
                <wp:simplePos x="0" y="0"/>
                <wp:positionH relativeFrom="page">
                  <wp:posOffset>782320</wp:posOffset>
                </wp:positionH>
                <wp:positionV relativeFrom="paragraph">
                  <wp:posOffset>12700</wp:posOffset>
                </wp:positionV>
                <wp:extent cx="951230" cy="350520"/>
                <wp:wrapSquare wrapText="right"/>
                <wp:docPr id="705" name="Shape 705"/>
                <a:graphic xmlns:a="http://schemas.openxmlformats.org/drawingml/2006/main">
                  <a:graphicData uri="http://schemas.microsoft.com/office/word/2010/wordprocessingShape">
                    <wps:wsp>
                      <wps:cNvSpPr txBox="1"/>
                      <wps:spPr>
                        <a:xfrm>
                          <a:ext cx="951230" cy="350520"/>
                        </a:xfrm>
                        <a:prstGeom prst="rect"/>
                        <a:noFill/>
                      </wps:spPr>
                      <wps:txbx>
                        <w:txbxContent>
                          <w:p>
                            <w:pPr>
                              <w:pStyle w:val="Style41"/>
                              <w:keepNext w:val="0"/>
                              <w:keepLines w:val="0"/>
                              <w:widowControl w:val="0"/>
                              <w:shd w:val="clear" w:color="auto" w:fill="auto"/>
                              <w:bidi w:val="0"/>
                              <w:spacing w:before="0" w:after="100" w:line="240" w:lineRule="auto"/>
                              <w:ind w:left="0" w:right="0" w:firstLine="0"/>
                              <w:jc w:val="left"/>
                            </w:pPr>
                            <w:r>
                              <w:rPr>
                                <w:b/>
                                <w:bCs/>
                                <w:color w:val="000000"/>
                                <w:spacing w:val="0"/>
                                <w:w w:val="100"/>
                                <w:position w:val="0"/>
                              </w:rPr>
                              <w:t>立信会计师事务所</w:t>
                            </w:r>
                          </w:p>
                          <w:p>
                            <w:pPr>
                              <w:pStyle w:val="Style41"/>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（特殊普通合伙）</w:t>
                            </w:r>
                          </w:p>
                        </w:txbxContent>
                      </wps:txbx>
                      <wps:bodyPr lIns="0" tIns="0" rIns="0" bIns="0">
                        <a:noAutoFit/>
                      </wps:bodyPr>
                    </wps:wsp>
                  </a:graphicData>
                </a:graphic>
              </wp:anchor>
            </w:drawing>
          </mc:Choice>
          <mc:Fallback>
            <w:pict>
              <v:shape id="_x0000_s1731" type="#_x0000_t202" style="position:absolute;margin-left:61.600000000000001pt;margin-top:1.pt;width:74.900000000000006pt;height:27.600000000000001pt;z-index:-125829261;mso-wrap-distance-left:9.pt;mso-wrap-distance-right:9.pt;mso-wrap-distance-bottom:93.600000000000009pt;mso-position-horizontal-relative:page" filled="f" stroked="f">
                <v:textbox inset="0,0,0,0">
                  <w:txbxContent>
                    <w:p>
                      <w:pPr>
                        <w:pStyle w:val="Style41"/>
                        <w:keepNext w:val="0"/>
                        <w:keepLines w:val="0"/>
                        <w:widowControl w:val="0"/>
                        <w:shd w:val="clear" w:color="auto" w:fill="auto"/>
                        <w:bidi w:val="0"/>
                        <w:spacing w:before="0" w:after="100" w:line="240" w:lineRule="auto"/>
                        <w:ind w:left="0" w:right="0" w:firstLine="0"/>
                        <w:jc w:val="left"/>
                      </w:pPr>
                      <w:r>
                        <w:rPr>
                          <w:b/>
                          <w:bCs/>
                          <w:color w:val="000000"/>
                          <w:spacing w:val="0"/>
                          <w:w w:val="100"/>
                          <w:position w:val="0"/>
                        </w:rPr>
                        <w:t>立信会计师事务所</w:t>
                      </w:r>
                    </w:p>
                    <w:p>
                      <w:pPr>
                        <w:pStyle w:val="Style41"/>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（特殊普通合伙）</w:t>
                      </w:r>
                    </w:p>
                  </w:txbxContent>
                </v:textbox>
                <w10:wrap type="square" side="right" anchorx="page"/>
              </v:shape>
            </w:pict>
          </mc:Fallback>
        </mc:AlternateContent>
      </w:r>
      <w:r>
        <mc:AlternateContent>
          <mc:Choice Requires="wps">
            <w:drawing>
              <wp:anchor distT="1380490" distB="0" distL="300355" distR="361315" simplePos="0" relativeHeight="125829494" behindDoc="0" locked="0" layoutInCell="1" allowOverlap="1">
                <wp:simplePos x="0" y="0"/>
                <wp:positionH relativeFrom="page">
                  <wp:posOffset>968375</wp:posOffset>
                </wp:positionH>
                <wp:positionV relativeFrom="paragraph">
                  <wp:posOffset>1393190</wp:posOffset>
                </wp:positionV>
                <wp:extent cx="518160" cy="158750"/>
                <wp:wrapSquare wrapText="right"/>
                <wp:docPr id="707" name="Shape 707"/>
                <a:graphic xmlns:a="http://schemas.openxmlformats.org/drawingml/2006/main">
                  <a:graphicData uri="http://schemas.microsoft.com/office/word/2010/wordprocessingShape">
                    <wps:wsp>
                      <wps:cNvSpPr txBox="1"/>
                      <wps:spPr>
                        <a:xfrm>
                          <a:ext cx="518160" cy="15875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中国</w:t>
                            </w:r>
                            <w:r>
                              <w:rPr>
                                <w:rFonts w:ascii="Times New Roman" w:eastAsia="Times New Roman" w:hAnsi="Times New Roman" w:cs="Times New Roman"/>
                                <w:b/>
                                <w:bCs/>
                                <w:color w:val="000000"/>
                                <w:spacing w:val="0"/>
                                <w:w w:val="100"/>
                                <w:position w:val="0"/>
                                <w:sz w:val="18"/>
                                <w:szCs w:val="18"/>
                              </w:rPr>
                              <w:t>.</w:t>
                            </w:r>
                            <w:r>
                              <w:rPr>
                                <w:b/>
                                <w:bCs/>
                                <w:color w:val="000000"/>
                                <w:spacing w:val="0"/>
                                <w:w w:val="100"/>
                                <w:position w:val="0"/>
                              </w:rPr>
                              <w:t>上海</w:t>
                            </w:r>
                          </w:p>
                        </w:txbxContent>
                      </wps:txbx>
                      <wps:bodyPr wrap="none" lIns="0" tIns="0" rIns="0" bIns="0">
                        <a:noAutoFit/>
                      </wps:bodyPr>
                    </wps:wsp>
                  </a:graphicData>
                </a:graphic>
              </wp:anchor>
            </w:drawing>
          </mc:Choice>
          <mc:Fallback>
            <w:pict>
              <v:shape id="_x0000_s1733" type="#_x0000_t202" style="position:absolute;margin-left:76.25pt;margin-top:109.7pt;width:40.800000000000004pt;height:12.5pt;z-index:-125829259;mso-wrap-distance-left:23.650000000000002pt;mso-wrap-distance-top:108.7pt;mso-wrap-distance-right:28.449999999999999pt;mso-position-horizontal-relative:page" filled="f" stroked="f">
                <v:textbox inset="0,0,0,0">
                  <w:txbxContent>
                    <w:p>
                      <w:pPr>
                        <w:pStyle w:val="Style41"/>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中国</w:t>
                      </w:r>
                      <w:r>
                        <w:rPr>
                          <w:rFonts w:ascii="Times New Roman" w:eastAsia="Times New Roman" w:hAnsi="Times New Roman" w:cs="Times New Roman"/>
                          <w:b/>
                          <w:bCs/>
                          <w:color w:val="000000"/>
                          <w:spacing w:val="0"/>
                          <w:w w:val="100"/>
                          <w:position w:val="0"/>
                          <w:sz w:val="18"/>
                          <w:szCs w:val="18"/>
                        </w:rPr>
                        <w:t>.</w:t>
                      </w:r>
                      <w:r>
                        <w:rPr>
                          <w:b/>
                          <w:bCs/>
                          <w:color w:val="000000"/>
                          <w:spacing w:val="0"/>
                          <w:w w:val="100"/>
                          <w:position w:val="0"/>
                        </w:rPr>
                        <w:t>上海</w:t>
                      </w:r>
                    </w:p>
                  </w:txbxContent>
                </v:textbox>
                <w10:wrap type="square" side="right" anchorx="page"/>
              </v:shape>
            </w:pict>
          </mc:Fallback>
        </mc:AlternateContent>
      </w:r>
    </w:p>
    <w:p>
      <w:pPr>
        <w:pStyle w:val="Style41"/>
        <w:keepNext w:val="0"/>
        <w:keepLines w:val="0"/>
        <w:widowControl w:val="0"/>
        <w:shd w:val="clear" w:color="auto" w:fill="auto"/>
        <w:bidi w:val="0"/>
        <w:spacing w:before="0" w:after="100" w:line="240" w:lineRule="auto"/>
        <w:ind w:left="0" w:right="0" w:firstLine="0"/>
        <w:jc w:val="center"/>
      </w:pPr>
      <w:r>
        <w:rPr>
          <w:b/>
          <w:bCs/>
          <w:color w:val="000000"/>
          <w:spacing w:val="0"/>
          <w:w w:val="100"/>
          <w:position w:val="0"/>
        </w:rPr>
        <w:t>中国注册会计师：王一芳</w:t>
      </w:r>
    </w:p>
    <w:p>
      <w:pPr>
        <w:pStyle w:val="Style41"/>
        <w:keepNext w:val="0"/>
        <w:keepLines w:val="0"/>
        <w:widowControl w:val="0"/>
        <w:shd w:val="clear" w:color="auto" w:fill="auto"/>
        <w:bidi w:val="0"/>
        <w:spacing w:before="0" w:after="720" w:line="240" w:lineRule="auto"/>
        <w:ind w:left="0" w:right="0" w:firstLine="0"/>
        <w:jc w:val="center"/>
      </w:pPr>
      <w:r>
        <w:rPr>
          <w:b/>
          <w:bCs/>
          <w:color w:val="000000"/>
          <w:spacing w:val="0"/>
          <w:w w:val="100"/>
          <w:position w:val="0"/>
        </w:rPr>
        <w:t>（项目合伙人）</w:t>
      </w:r>
    </w:p>
    <w:p>
      <w:pPr>
        <w:pStyle w:val="Style41"/>
        <w:keepNext w:val="0"/>
        <w:keepLines w:val="0"/>
        <w:widowControl w:val="0"/>
        <w:shd w:val="clear" w:color="auto" w:fill="auto"/>
        <w:bidi w:val="0"/>
        <w:spacing w:before="0" w:after="720" w:line="240" w:lineRule="auto"/>
        <w:ind w:left="4540" w:right="0" w:firstLine="0"/>
        <w:jc w:val="left"/>
      </w:pPr>
      <w:r>
        <w:rPr>
          <w:b/>
          <w:bCs/>
          <w:color w:val="000000"/>
          <w:spacing w:val="0"/>
          <w:w w:val="100"/>
          <w:position w:val="0"/>
        </w:rPr>
        <w:t>中国注册会计师：张佳朕</w:t>
      </w:r>
    </w:p>
    <w:p>
      <w:pPr>
        <w:pStyle w:val="Style41"/>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二</w:t>
      </w:r>
      <w:r>
        <w:rPr>
          <w:rFonts w:ascii="Arial" w:eastAsia="Arial" w:hAnsi="Arial" w:cs="Arial"/>
          <w:b/>
          <w:bCs/>
          <w:color w:val="000000"/>
          <w:spacing w:val="0"/>
          <w:w w:val="100"/>
          <w:position w:val="0"/>
          <w:sz w:val="8"/>
          <w:szCs w:val="8"/>
        </w:rPr>
        <w:t>O</w:t>
      </w:r>
      <w:r>
        <w:rPr>
          <w:b/>
          <w:bCs/>
          <w:color w:val="000000"/>
          <w:spacing w:val="0"/>
          <w:w w:val="100"/>
          <w:position w:val="0"/>
        </w:rPr>
        <w:t>二一年四月二十七日</w:t>
      </w:r>
      <w:r>
        <w:br w:type="page"/>
      </w:r>
    </w:p>
    <w:p>
      <w:pPr>
        <w:pStyle w:val="Style39"/>
        <w:keepNext/>
        <w:keepLines/>
        <w:widowControl w:val="0"/>
        <w:shd w:val="clear" w:color="auto" w:fill="auto"/>
        <w:bidi w:val="0"/>
        <w:spacing w:before="0" w:after="380" w:line="240" w:lineRule="auto"/>
        <w:ind w:left="0" w:right="0" w:firstLine="0"/>
        <w:jc w:val="left"/>
      </w:pPr>
      <w:bookmarkStart w:id="795" w:name="bookmark795"/>
      <w:bookmarkStart w:id="796" w:name="bookmark796"/>
      <w:bookmarkStart w:id="797" w:name="bookmark797"/>
      <w:r>
        <w:rPr>
          <w:color w:val="000000"/>
          <w:spacing w:val="0"/>
          <w:w w:val="100"/>
          <w:position w:val="0"/>
          <w:sz w:val="24"/>
          <w:szCs w:val="24"/>
        </w:rPr>
        <w:t>二、财务报表</w:t>
      </w:r>
      <w:bookmarkEnd w:id="795"/>
      <w:bookmarkEnd w:id="796"/>
      <w:bookmarkEnd w:id="797"/>
    </w:p>
    <w:p>
      <w:pPr>
        <w:pStyle w:val="Style41"/>
        <w:keepNext w:val="0"/>
        <w:keepLines w:val="0"/>
        <w:widowControl w:val="0"/>
        <w:shd w:val="clear" w:color="auto" w:fill="auto"/>
        <w:bidi w:val="0"/>
        <w:spacing w:before="0" w:after="380" w:line="240" w:lineRule="auto"/>
        <w:ind w:left="0" w:right="0" w:firstLine="0"/>
        <w:jc w:val="left"/>
      </w:pPr>
      <w:r>
        <w:rPr>
          <w:color w:val="000000"/>
          <w:spacing w:val="0"/>
          <w:w w:val="100"/>
          <w:position w:val="0"/>
        </w:rPr>
        <w:t>财务附注中报表的单位为：元</w:t>
      </w:r>
    </w:p>
    <w:p>
      <w:pPr>
        <w:pStyle w:val="Style47"/>
        <w:keepNext/>
        <w:keepLines/>
        <w:widowControl w:val="0"/>
        <w:shd w:val="clear" w:color="auto" w:fill="auto"/>
        <w:bidi w:val="0"/>
        <w:spacing w:before="0" w:after="380" w:line="240" w:lineRule="auto"/>
        <w:ind w:left="0" w:right="0" w:firstLine="0"/>
        <w:jc w:val="left"/>
      </w:pPr>
      <w:bookmarkStart w:id="798" w:name="bookmark798"/>
      <w:bookmarkStart w:id="799" w:name="bookmark799"/>
      <w:bookmarkStart w:id="800" w:name="bookmark800"/>
      <w:bookmarkStart w:id="801" w:name="bookmark801"/>
      <w:r>
        <w:rPr>
          <w:color w:val="000000"/>
          <w:spacing w:val="0"/>
          <w:w w:val="100"/>
          <w:position w:val="0"/>
        </w:rPr>
        <w:t>1</w:t>
      </w:r>
      <w:bookmarkEnd w:id="800"/>
      <w:r>
        <w:rPr>
          <w:color w:val="000000"/>
          <w:spacing w:val="0"/>
          <w:w w:val="100"/>
          <w:position w:val="0"/>
        </w:rPr>
        <w:t>、合并资产负债表</w:t>
      </w:r>
      <w:bookmarkEnd w:id="798"/>
      <w:bookmarkEnd w:id="799"/>
      <w:bookmarkEnd w:id="801"/>
    </w:p>
    <w:p>
      <w:pPr>
        <w:pStyle w:val="Style41"/>
        <w:keepNext w:val="0"/>
        <w:keepLines w:val="0"/>
        <w:widowControl w:val="0"/>
        <w:shd w:val="clear" w:color="auto" w:fill="auto"/>
        <w:bidi w:val="0"/>
        <w:spacing w:before="0" w:after="120" w:line="240" w:lineRule="auto"/>
        <w:ind w:left="0" w:right="0" w:firstLine="0"/>
        <w:jc w:val="left"/>
      </w:pPr>
      <w:r>
        <w:rPr>
          <w:color w:val="000000"/>
          <w:spacing w:val="0"/>
          <w:w w:val="100"/>
          <w:position w:val="0"/>
        </w:rPr>
        <w:t>编制单位：北京神州泰岳软件股份有限公司</w:t>
      </w:r>
    </w:p>
    <w:p>
      <w:pPr>
        <w:pStyle w:val="Style222"/>
        <w:keepNext w:val="0"/>
        <w:keepLines w:val="0"/>
        <w:widowControl w:val="0"/>
        <w:shd w:val="clear" w:color="auto" w:fill="auto"/>
        <w:bidi w:val="0"/>
        <w:spacing w:before="0" w:after="120" w:line="240" w:lineRule="auto"/>
        <w:ind w:left="0" w:right="0" w:firstLine="0"/>
        <w:jc w:val="center"/>
        <w:rPr>
          <w:sz w:val="17"/>
          <w:szCs w:val="17"/>
        </w:rPr>
      </w:pP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31</w:t>
      </w:r>
      <w:r>
        <w:rPr>
          <w:rFonts w:ascii="SimSun" w:eastAsia="SimSun" w:hAnsi="SimSun" w:cs="SimSun"/>
          <w:color w:val="000000"/>
          <w:spacing w:val="0"/>
          <w:w w:val="100"/>
          <w:position w:val="0"/>
          <w:sz w:val="17"/>
          <w:szCs w:val="17"/>
        </w:rPr>
        <w:t>日</w:t>
      </w:r>
    </w:p>
    <w:p>
      <w:pPr>
        <w:pStyle w:val="Style20"/>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单位：元</w:t>
      </w:r>
    </w:p>
    <w:tbl>
      <w:tblPr>
        <w:tblOverlap w:val="never"/>
        <w:jc w:val="center"/>
        <w:tblLayout w:type="fixed"/>
      </w:tblPr>
      <w:tblGrid>
        <w:gridCol w:w="3010"/>
        <w:gridCol w:w="3346"/>
        <w:gridCol w:w="3355"/>
      </w:tblGrid>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日</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2019</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日</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流动资产：</w:t>
            </w:r>
          </w:p>
        </w:tc>
        <w:tc>
          <w:tcPr>
            <w:tcBorders>
              <w:top w:val="single" w:sz="4"/>
              <w:left w:val="single" w:sz="4"/>
            </w:tcBorders>
            <w:shd w:val="clear" w:color="auto" w:fill="D7D7D7"/>
            <w:vAlign w:val="top"/>
          </w:tcPr>
          <w:p>
            <w:pPr>
              <w:widowControl w:val="0"/>
              <w:rPr>
                <w:sz w:val="10"/>
                <w:szCs w:val="10"/>
              </w:rPr>
            </w:pPr>
          </w:p>
        </w:tc>
        <w:tc>
          <w:tcPr>
            <w:tcBorders>
              <w:top w:val="single" w:sz="4"/>
              <w:left w:val="single" w:sz="4"/>
              <w:right w:val="single" w:sz="4"/>
            </w:tcBorders>
            <w:shd w:val="clear" w:color="auto" w:fill="D7D7D7"/>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货币资金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80" w:right="0" w:firstLine="0"/>
              <w:jc w:val="left"/>
              <w:rPr>
                <w:sz w:val="18"/>
                <w:szCs w:val="18"/>
              </w:rPr>
            </w:pPr>
            <w:r>
              <w:rPr>
                <w:rFonts w:ascii="Times New Roman" w:eastAsia="Times New Roman" w:hAnsi="Times New Roman" w:cs="Times New Roman"/>
                <w:color w:val="000000"/>
                <w:spacing w:val="0"/>
                <w:w w:val="100"/>
                <w:position w:val="0"/>
                <w:sz w:val="18"/>
                <w:szCs w:val="18"/>
              </w:rPr>
              <w:t>876,724,344.29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80" w:right="0" w:firstLine="0"/>
              <w:jc w:val="both"/>
              <w:rPr>
                <w:sz w:val="18"/>
                <w:szCs w:val="18"/>
              </w:rPr>
            </w:pPr>
            <w:r>
              <w:rPr>
                <w:rFonts w:ascii="Times New Roman" w:eastAsia="Times New Roman" w:hAnsi="Times New Roman" w:cs="Times New Roman"/>
                <w:color w:val="000000"/>
                <w:spacing w:val="0"/>
                <w:w w:val="100"/>
                <w:position w:val="0"/>
                <w:sz w:val="18"/>
                <w:szCs w:val="18"/>
              </w:rPr>
              <w:t>854,479,661.77</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结算备付金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拆出资金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交易性金融资产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80" w:right="0" w:firstLine="0"/>
              <w:jc w:val="left"/>
              <w:rPr>
                <w:sz w:val="18"/>
                <w:szCs w:val="18"/>
              </w:rPr>
            </w:pPr>
            <w:r>
              <w:rPr>
                <w:rFonts w:ascii="Times New Roman" w:eastAsia="Times New Roman" w:hAnsi="Times New Roman" w:cs="Times New Roman"/>
                <w:color w:val="000000"/>
                <w:spacing w:val="0"/>
                <w:w w:val="100"/>
                <w:position w:val="0"/>
                <w:sz w:val="18"/>
                <w:szCs w:val="18"/>
              </w:rPr>
              <w:t>145,591,819.22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80" w:right="0" w:firstLine="0"/>
              <w:jc w:val="both"/>
              <w:rPr>
                <w:sz w:val="18"/>
                <w:szCs w:val="18"/>
              </w:rPr>
            </w:pPr>
            <w:r>
              <w:rPr>
                <w:rFonts w:ascii="Times New Roman" w:eastAsia="Times New Roman" w:hAnsi="Times New Roman" w:cs="Times New Roman"/>
                <w:color w:val="000000"/>
                <w:spacing w:val="0"/>
                <w:w w:val="100"/>
                <w:position w:val="0"/>
                <w:sz w:val="18"/>
                <w:szCs w:val="18"/>
              </w:rPr>
              <w:t>41,752,400.00</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衍生金融资产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应收票据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3,877,151.40</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应收账款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80" w:right="0" w:firstLine="0"/>
              <w:jc w:val="left"/>
              <w:rPr>
                <w:sz w:val="18"/>
                <w:szCs w:val="18"/>
              </w:rPr>
            </w:pPr>
            <w:r>
              <w:rPr>
                <w:rFonts w:ascii="Times New Roman" w:eastAsia="Times New Roman" w:hAnsi="Times New Roman" w:cs="Times New Roman"/>
                <w:color w:val="000000"/>
                <w:spacing w:val="0"/>
                <w:w w:val="100"/>
                <w:position w:val="0"/>
                <w:sz w:val="18"/>
                <w:szCs w:val="18"/>
              </w:rPr>
              <w:t>633,763,520.54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80" w:right="0" w:firstLine="0"/>
              <w:jc w:val="both"/>
              <w:rPr>
                <w:sz w:val="18"/>
                <w:szCs w:val="18"/>
              </w:rPr>
            </w:pPr>
            <w:r>
              <w:rPr>
                <w:rFonts w:ascii="Times New Roman" w:eastAsia="Times New Roman" w:hAnsi="Times New Roman" w:cs="Times New Roman"/>
                <w:color w:val="000000"/>
                <w:spacing w:val="0"/>
                <w:w w:val="100"/>
                <w:position w:val="0"/>
                <w:sz w:val="18"/>
                <w:szCs w:val="18"/>
              </w:rPr>
              <w:t>748,673,750.79</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应收款项融资</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9,157,699.17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80" w:right="0" w:firstLine="0"/>
              <w:jc w:val="both"/>
              <w:rPr>
                <w:sz w:val="18"/>
                <w:szCs w:val="18"/>
              </w:rPr>
            </w:pPr>
            <w:r>
              <w:rPr>
                <w:rFonts w:ascii="Times New Roman" w:eastAsia="Times New Roman" w:hAnsi="Times New Roman" w:cs="Times New Roman"/>
                <w:color w:val="000000"/>
                <w:spacing w:val="0"/>
                <w:w w:val="100"/>
                <w:position w:val="0"/>
                <w:sz w:val="18"/>
                <w:szCs w:val="18"/>
              </w:rPr>
              <w:t>14,520,394.13</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预付款项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15,364,995.24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80" w:right="0" w:firstLine="0"/>
              <w:jc w:val="both"/>
              <w:rPr>
                <w:sz w:val="18"/>
                <w:szCs w:val="18"/>
              </w:rPr>
            </w:pPr>
            <w:r>
              <w:rPr>
                <w:rFonts w:ascii="Times New Roman" w:eastAsia="Times New Roman" w:hAnsi="Times New Roman" w:cs="Times New Roman"/>
                <w:color w:val="000000"/>
                <w:spacing w:val="0"/>
                <w:w w:val="100"/>
                <w:position w:val="0"/>
                <w:sz w:val="18"/>
                <w:szCs w:val="18"/>
              </w:rPr>
              <w:t>39,228,664.02</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应收保费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应收分保账款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应收分保合同准备金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其他应收款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20,302,809.45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80" w:right="0" w:firstLine="0"/>
              <w:jc w:val="both"/>
              <w:rPr>
                <w:sz w:val="18"/>
                <w:szCs w:val="18"/>
              </w:rPr>
            </w:pPr>
            <w:r>
              <w:rPr>
                <w:rFonts w:ascii="Times New Roman" w:eastAsia="Times New Roman" w:hAnsi="Times New Roman" w:cs="Times New Roman"/>
                <w:color w:val="000000"/>
                <w:spacing w:val="0"/>
                <w:w w:val="100"/>
                <w:position w:val="0"/>
                <w:sz w:val="18"/>
                <w:szCs w:val="18"/>
              </w:rPr>
              <w:t>60,212,377.79</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560"/>
              <w:jc w:val="left"/>
            </w:pPr>
            <w:r>
              <w:rPr>
                <w:color w:val="000000"/>
                <w:spacing w:val="0"/>
                <w:w w:val="100"/>
                <w:position w:val="0"/>
              </w:rPr>
              <w:t>其中：应收利息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1100" w:right="0" w:firstLine="0"/>
              <w:jc w:val="left"/>
            </w:pPr>
            <w:r>
              <w:rPr>
                <w:color w:val="000000"/>
                <w:spacing w:val="0"/>
                <w:w w:val="100"/>
                <w:position w:val="0"/>
              </w:rPr>
              <w:t>应收股利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买入返售金融资产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存货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80" w:right="0" w:firstLine="0"/>
              <w:jc w:val="left"/>
              <w:rPr>
                <w:sz w:val="18"/>
                <w:szCs w:val="18"/>
              </w:rPr>
            </w:pPr>
            <w:r>
              <w:rPr>
                <w:rFonts w:ascii="Times New Roman" w:eastAsia="Times New Roman" w:hAnsi="Times New Roman" w:cs="Times New Roman"/>
                <w:color w:val="000000"/>
                <w:spacing w:val="0"/>
                <w:w w:val="100"/>
                <w:position w:val="0"/>
                <w:sz w:val="18"/>
                <w:szCs w:val="18"/>
              </w:rPr>
              <w:t>208,404,481.45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80" w:right="0" w:firstLine="0"/>
              <w:jc w:val="both"/>
              <w:rPr>
                <w:sz w:val="18"/>
                <w:szCs w:val="18"/>
              </w:rPr>
            </w:pPr>
            <w:r>
              <w:rPr>
                <w:rFonts w:ascii="Times New Roman" w:eastAsia="Times New Roman" w:hAnsi="Times New Roman" w:cs="Times New Roman"/>
                <w:color w:val="000000"/>
                <w:spacing w:val="0"/>
                <w:w w:val="100"/>
                <w:position w:val="0"/>
                <w:sz w:val="18"/>
                <w:szCs w:val="18"/>
              </w:rPr>
              <w:t>222,866,954.71</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合同资产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持有待售资产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一年内到期的非流动资产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其他流动资产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5,671,108.97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8,616,467.17</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流动资产合计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1,914,980,778.33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1,994,227,821.78</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非流动资产：</w:t>
            </w:r>
          </w:p>
        </w:tc>
        <w:tc>
          <w:tcPr>
            <w:tcBorders>
              <w:top w:val="single" w:sz="4"/>
              <w:left w:val="single" w:sz="4"/>
            </w:tcBorders>
            <w:shd w:val="clear" w:color="auto" w:fill="D7D7D7"/>
            <w:vAlign w:val="top"/>
          </w:tcPr>
          <w:p>
            <w:pPr>
              <w:widowControl w:val="0"/>
              <w:rPr>
                <w:sz w:val="10"/>
                <w:szCs w:val="10"/>
              </w:rPr>
            </w:pPr>
          </w:p>
        </w:tc>
        <w:tc>
          <w:tcPr>
            <w:tcBorders>
              <w:top w:val="single" w:sz="4"/>
              <w:left w:val="single" w:sz="4"/>
              <w:right w:val="single" w:sz="4"/>
            </w:tcBorders>
            <w:shd w:val="clear" w:color="auto" w:fill="D7D7D7"/>
            <w:vAlign w:val="top"/>
          </w:tcPr>
          <w:p>
            <w:pPr>
              <w:widowControl w:val="0"/>
              <w:rPr>
                <w:sz w:val="10"/>
                <w:szCs w:val="10"/>
              </w:rPr>
            </w:pP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发放贷款和垫款</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pPr>
      <w:r>
        <w:br w:type="page"/>
      </w:r>
    </w:p>
    <w:tbl>
      <w:tblPr>
        <w:tblOverlap w:val="never"/>
        <w:jc w:val="center"/>
        <w:tblLayout w:type="fixed"/>
      </w:tblPr>
      <w:tblGrid>
        <w:gridCol w:w="3010"/>
        <w:gridCol w:w="3346"/>
        <w:gridCol w:w="3355"/>
      </w:tblGrid>
      <w:tr>
        <w:trPr>
          <w:trHeight w:val="480"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债权投资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其他债权投资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长期应收款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长期股权投资</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80" w:right="0" w:firstLine="0"/>
              <w:jc w:val="both"/>
              <w:rPr>
                <w:sz w:val="18"/>
                <w:szCs w:val="18"/>
              </w:rPr>
            </w:pPr>
            <w:r>
              <w:rPr>
                <w:rFonts w:ascii="Times New Roman" w:eastAsia="Times New Roman" w:hAnsi="Times New Roman" w:cs="Times New Roman"/>
                <w:color w:val="000000"/>
                <w:spacing w:val="0"/>
                <w:w w:val="100"/>
                <w:position w:val="0"/>
                <w:sz w:val="18"/>
                <w:szCs w:val="18"/>
              </w:rPr>
              <w:t>124,696,129.28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73,680,787.97</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其他权益工具投资</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80" w:right="0" w:firstLine="0"/>
              <w:jc w:val="both"/>
              <w:rPr>
                <w:sz w:val="18"/>
                <w:szCs w:val="18"/>
              </w:rPr>
            </w:pPr>
            <w:r>
              <w:rPr>
                <w:rFonts w:ascii="Times New Roman" w:eastAsia="Times New Roman" w:hAnsi="Times New Roman" w:cs="Times New Roman"/>
                <w:color w:val="000000"/>
                <w:spacing w:val="0"/>
                <w:w w:val="100"/>
                <w:position w:val="0"/>
                <w:sz w:val="18"/>
                <w:szCs w:val="18"/>
              </w:rPr>
              <w:t>16,538,743.49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16,792,264.49</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其他非流动金融资产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80" w:right="0" w:firstLine="0"/>
              <w:jc w:val="both"/>
              <w:rPr>
                <w:sz w:val="18"/>
                <w:szCs w:val="18"/>
              </w:rPr>
            </w:pPr>
            <w:r>
              <w:rPr>
                <w:rFonts w:ascii="Times New Roman" w:eastAsia="Times New Roman" w:hAnsi="Times New Roman" w:cs="Times New Roman"/>
                <w:color w:val="000000"/>
                <w:spacing w:val="0"/>
                <w:w w:val="100"/>
                <w:position w:val="0"/>
                <w:sz w:val="18"/>
                <w:szCs w:val="18"/>
              </w:rPr>
              <w:t>177,727,023.21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176,542,160.12</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投资性房地产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80" w:right="0" w:firstLine="0"/>
              <w:jc w:val="both"/>
              <w:rPr>
                <w:sz w:val="18"/>
                <w:szCs w:val="18"/>
              </w:rPr>
            </w:pPr>
            <w:r>
              <w:rPr>
                <w:rFonts w:ascii="Times New Roman" w:eastAsia="Times New Roman" w:hAnsi="Times New Roman" w:cs="Times New Roman"/>
                <w:color w:val="000000"/>
                <w:spacing w:val="0"/>
                <w:w w:val="100"/>
                <w:position w:val="0"/>
                <w:sz w:val="18"/>
                <w:szCs w:val="18"/>
              </w:rPr>
              <w:t>203,436,618.40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208,669,911.88</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固定资产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80" w:right="0" w:firstLine="0"/>
              <w:jc w:val="both"/>
              <w:rPr>
                <w:sz w:val="18"/>
                <w:szCs w:val="18"/>
              </w:rPr>
            </w:pPr>
            <w:r>
              <w:rPr>
                <w:rFonts w:ascii="Times New Roman" w:eastAsia="Times New Roman" w:hAnsi="Times New Roman" w:cs="Times New Roman"/>
                <w:color w:val="000000"/>
                <w:spacing w:val="0"/>
                <w:w w:val="100"/>
                <w:position w:val="0"/>
                <w:sz w:val="18"/>
                <w:szCs w:val="18"/>
              </w:rPr>
              <w:t>376,709,225.03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388,432,648.04</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在建工程</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生产性生物资产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油气资产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使用权资产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无形资产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80" w:right="0" w:firstLine="0"/>
              <w:jc w:val="both"/>
              <w:rPr>
                <w:sz w:val="18"/>
                <w:szCs w:val="18"/>
              </w:rPr>
            </w:pPr>
            <w:r>
              <w:rPr>
                <w:rFonts w:ascii="Times New Roman" w:eastAsia="Times New Roman" w:hAnsi="Times New Roman" w:cs="Times New Roman"/>
                <w:color w:val="000000"/>
                <w:spacing w:val="0"/>
                <w:w w:val="100"/>
                <w:position w:val="0"/>
                <w:sz w:val="18"/>
                <w:szCs w:val="18"/>
              </w:rPr>
              <w:t>383,012,563.46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381,938,488.29</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开发支出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80" w:right="0" w:firstLine="0"/>
              <w:jc w:val="both"/>
              <w:rPr>
                <w:sz w:val="18"/>
                <w:szCs w:val="18"/>
              </w:rPr>
            </w:pPr>
            <w:r>
              <w:rPr>
                <w:rFonts w:ascii="Times New Roman" w:eastAsia="Times New Roman" w:hAnsi="Times New Roman" w:cs="Times New Roman"/>
                <w:color w:val="000000"/>
                <w:spacing w:val="0"/>
                <w:w w:val="100"/>
                <w:position w:val="0"/>
                <w:sz w:val="18"/>
                <w:szCs w:val="18"/>
              </w:rPr>
              <w:t>28,119,775.09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41,459,914.87</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商誉</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both"/>
              <w:rPr>
                <w:sz w:val="18"/>
                <w:szCs w:val="18"/>
              </w:rPr>
            </w:pPr>
            <w:r>
              <w:rPr>
                <w:rFonts w:ascii="Times New Roman" w:eastAsia="Times New Roman" w:hAnsi="Times New Roman" w:cs="Times New Roman"/>
                <w:color w:val="000000"/>
                <w:spacing w:val="0"/>
                <w:w w:val="100"/>
                <w:position w:val="0"/>
                <w:sz w:val="18"/>
                <w:szCs w:val="18"/>
              </w:rPr>
              <w:t>1,537,239,177.29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both"/>
              <w:rPr>
                <w:sz w:val="18"/>
                <w:szCs w:val="18"/>
              </w:rPr>
            </w:pPr>
            <w:r>
              <w:rPr>
                <w:rFonts w:ascii="Times New Roman" w:eastAsia="Times New Roman" w:hAnsi="Times New Roman" w:cs="Times New Roman"/>
                <w:color w:val="000000"/>
                <w:spacing w:val="0"/>
                <w:w w:val="100"/>
                <w:position w:val="0"/>
                <w:sz w:val="18"/>
                <w:szCs w:val="18"/>
              </w:rPr>
              <w:t>1,570,266,785.41</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长期待摊费用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5,079,019.30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7,736,953.70</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递延所得税资产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80" w:right="0" w:firstLine="0"/>
              <w:jc w:val="both"/>
              <w:rPr>
                <w:sz w:val="18"/>
                <w:szCs w:val="18"/>
              </w:rPr>
            </w:pPr>
            <w:r>
              <w:rPr>
                <w:rFonts w:ascii="Times New Roman" w:eastAsia="Times New Roman" w:hAnsi="Times New Roman" w:cs="Times New Roman"/>
                <w:color w:val="000000"/>
                <w:spacing w:val="0"/>
                <w:w w:val="100"/>
                <w:position w:val="0"/>
                <w:sz w:val="18"/>
                <w:szCs w:val="18"/>
              </w:rPr>
              <w:t>28,354,653.79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29,527,891.54</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其他非流动资产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80" w:right="0" w:firstLine="0"/>
              <w:jc w:val="both"/>
              <w:rPr>
                <w:sz w:val="18"/>
                <w:szCs w:val="18"/>
              </w:rPr>
            </w:pPr>
            <w:r>
              <w:rPr>
                <w:rFonts w:ascii="Times New Roman" w:eastAsia="Times New Roman" w:hAnsi="Times New Roman" w:cs="Times New Roman"/>
                <w:color w:val="000000"/>
                <w:spacing w:val="0"/>
                <w:w w:val="100"/>
                <w:position w:val="0"/>
                <w:sz w:val="18"/>
                <w:szCs w:val="18"/>
              </w:rPr>
              <w:t>394,277,194.64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393,359,763.45</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非流动资产合计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both"/>
              <w:rPr>
                <w:sz w:val="18"/>
                <w:szCs w:val="18"/>
              </w:rPr>
            </w:pPr>
            <w:r>
              <w:rPr>
                <w:rFonts w:ascii="Times New Roman" w:eastAsia="Times New Roman" w:hAnsi="Times New Roman" w:cs="Times New Roman"/>
                <w:color w:val="000000"/>
                <w:spacing w:val="0"/>
                <w:w w:val="100"/>
                <w:position w:val="0"/>
                <w:sz w:val="18"/>
                <w:szCs w:val="18"/>
              </w:rPr>
              <w:t>3,275,190,122.98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both"/>
              <w:rPr>
                <w:sz w:val="18"/>
                <w:szCs w:val="18"/>
              </w:rPr>
            </w:pPr>
            <w:r>
              <w:rPr>
                <w:rFonts w:ascii="Times New Roman" w:eastAsia="Times New Roman" w:hAnsi="Times New Roman" w:cs="Times New Roman"/>
                <w:color w:val="000000"/>
                <w:spacing w:val="0"/>
                <w:w w:val="100"/>
                <w:position w:val="0"/>
                <w:sz w:val="18"/>
                <w:szCs w:val="18"/>
              </w:rPr>
              <w:t>3,288,407,569.76</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资产总计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both"/>
              <w:rPr>
                <w:sz w:val="18"/>
                <w:szCs w:val="18"/>
              </w:rPr>
            </w:pPr>
            <w:r>
              <w:rPr>
                <w:rFonts w:ascii="Times New Roman" w:eastAsia="Times New Roman" w:hAnsi="Times New Roman" w:cs="Times New Roman"/>
                <w:color w:val="000000"/>
                <w:spacing w:val="0"/>
                <w:w w:val="100"/>
                <w:position w:val="0"/>
                <w:sz w:val="18"/>
                <w:szCs w:val="18"/>
              </w:rPr>
              <w:t>5,190,170,901.31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both"/>
              <w:rPr>
                <w:sz w:val="18"/>
                <w:szCs w:val="18"/>
              </w:rPr>
            </w:pPr>
            <w:r>
              <w:rPr>
                <w:rFonts w:ascii="Times New Roman" w:eastAsia="Times New Roman" w:hAnsi="Times New Roman" w:cs="Times New Roman"/>
                <w:color w:val="000000"/>
                <w:spacing w:val="0"/>
                <w:w w:val="100"/>
                <w:position w:val="0"/>
                <w:sz w:val="18"/>
                <w:szCs w:val="18"/>
              </w:rPr>
              <w:t>5,282,635,391.54</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流动负债：</w:t>
            </w:r>
          </w:p>
        </w:tc>
        <w:tc>
          <w:tcPr>
            <w:tcBorders>
              <w:top w:val="single" w:sz="4"/>
              <w:left w:val="single" w:sz="4"/>
            </w:tcBorders>
            <w:shd w:val="clear" w:color="auto" w:fill="D7D7D7"/>
            <w:vAlign w:val="top"/>
          </w:tcPr>
          <w:p>
            <w:pPr>
              <w:widowControl w:val="0"/>
              <w:rPr>
                <w:sz w:val="10"/>
                <w:szCs w:val="10"/>
              </w:rPr>
            </w:pPr>
          </w:p>
        </w:tc>
        <w:tc>
          <w:tcPr>
            <w:tcBorders>
              <w:top w:val="single" w:sz="4"/>
              <w:left w:val="single" w:sz="4"/>
              <w:right w:val="single" w:sz="4"/>
            </w:tcBorders>
            <w:shd w:val="clear" w:color="auto" w:fill="D7D7D7"/>
            <w:vAlign w:val="top"/>
          </w:tcPr>
          <w:p>
            <w:pPr>
              <w:widowControl w:val="0"/>
              <w:rPr>
                <w:sz w:val="10"/>
                <w:szCs w:val="10"/>
              </w:rPr>
            </w:pP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短期借款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80" w:right="0" w:firstLine="0"/>
              <w:jc w:val="both"/>
              <w:rPr>
                <w:sz w:val="18"/>
                <w:szCs w:val="18"/>
              </w:rPr>
            </w:pPr>
            <w:r>
              <w:rPr>
                <w:rFonts w:ascii="Times New Roman" w:eastAsia="Times New Roman" w:hAnsi="Times New Roman" w:cs="Times New Roman"/>
                <w:color w:val="000000"/>
                <w:spacing w:val="0"/>
                <w:w w:val="100"/>
                <w:position w:val="0"/>
                <w:sz w:val="18"/>
                <w:szCs w:val="18"/>
              </w:rPr>
              <w:t>305,995,730.29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739,312,386.40</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向中央银行借款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拆入资金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交易性金融负债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衍生金融负债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应付票据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应付账款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80" w:right="0" w:firstLine="0"/>
              <w:jc w:val="both"/>
              <w:rPr>
                <w:sz w:val="18"/>
                <w:szCs w:val="18"/>
              </w:rPr>
            </w:pPr>
            <w:r>
              <w:rPr>
                <w:rFonts w:ascii="Times New Roman" w:eastAsia="Times New Roman" w:hAnsi="Times New Roman" w:cs="Times New Roman"/>
                <w:color w:val="000000"/>
                <w:spacing w:val="0"/>
                <w:w w:val="100"/>
                <w:position w:val="0"/>
                <w:sz w:val="18"/>
                <w:szCs w:val="18"/>
              </w:rPr>
              <w:t>386,279,478.04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294,018,896.50</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预收款项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2,294,910.53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174,228,663.85</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合同负债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80" w:right="0" w:firstLine="0"/>
              <w:jc w:val="both"/>
              <w:rPr>
                <w:sz w:val="18"/>
                <w:szCs w:val="18"/>
              </w:rPr>
            </w:pPr>
            <w:r>
              <w:rPr>
                <w:rFonts w:ascii="Times New Roman" w:eastAsia="Times New Roman" w:hAnsi="Times New Roman" w:cs="Times New Roman"/>
                <w:color w:val="000000"/>
                <w:spacing w:val="0"/>
                <w:w w:val="100"/>
                <w:position w:val="0"/>
                <w:sz w:val="18"/>
                <w:szCs w:val="18"/>
              </w:rPr>
              <w:t>221,627,393.18</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卖出回购金融资产款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吸收存款及同业存放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代理买卖证券款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代理承销证券款</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pPr>
      <w:r>
        <w:br w:type="page"/>
      </w:r>
    </w:p>
    <w:tbl>
      <w:tblPr>
        <w:tblOverlap w:val="never"/>
        <w:jc w:val="center"/>
        <w:tblLayout w:type="fixed"/>
      </w:tblPr>
      <w:tblGrid>
        <w:gridCol w:w="3010"/>
        <w:gridCol w:w="3346"/>
        <w:gridCol w:w="3355"/>
      </w:tblGrid>
      <w:tr>
        <w:trPr>
          <w:trHeight w:val="480"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应付职工薪酬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80" w:right="0" w:firstLine="0"/>
              <w:jc w:val="both"/>
              <w:rPr>
                <w:sz w:val="18"/>
                <w:szCs w:val="18"/>
              </w:rPr>
            </w:pPr>
            <w:r>
              <w:rPr>
                <w:rFonts w:ascii="Times New Roman" w:eastAsia="Times New Roman" w:hAnsi="Times New Roman" w:cs="Times New Roman"/>
                <w:color w:val="000000"/>
                <w:spacing w:val="0"/>
                <w:w w:val="100"/>
                <w:position w:val="0"/>
                <w:sz w:val="18"/>
                <w:szCs w:val="18"/>
              </w:rPr>
              <w:t>140,452,826.57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80" w:right="0" w:firstLine="0"/>
              <w:jc w:val="both"/>
              <w:rPr>
                <w:sz w:val="18"/>
                <w:szCs w:val="18"/>
              </w:rPr>
            </w:pPr>
            <w:r>
              <w:rPr>
                <w:rFonts w:ascii="Times New Roman" w:eastAsia="Times New Roman" w:hAnsi="Times New Roman" w:cs="Times New Roman"/>
                <w:color w:val="000000"/>
                <w:spacing w:val="0"/>
                <w:w w:val="100"/>
                <w:position w:val="0"/>
                <w:sz w:val="18"/>
                <w:szCs w:val="18"/>
              </w:rPr>
              <w:t>112,447,924.37</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应交税费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80" w:right="0" w:firstLine="0"/>
              <w:jc w:val="both"/>
              <w:rPr>
                <w:sz w:val="18"/>
                <w:szCs w:val="18"/>
              </w:rPr>
            </w:pPr>
            <w:r>
              <w:rPr>
                <w:rFonts w:ascii="Times New Roman" w:eastAsia="Times New Roman" w:hAnsi="Times New Roman" w:cs="Times New Roman"/>
                <w:color w:val="000000"/>
                <w:spacing w:val="0"/>
                <w:w w:val="100"/>
                <w:position w:val="0"/>
                <w:sz w:val="18"/>
                <w:szCs w:val="18"/>
              </w:rPr>
              <w:t>67,920,444.49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80" w:right="0" w:firstLine="0"/>
              <w:jc w:val="both"/>
              <w:rPr>
                <w:sz w:val="18"/>
                <w:szCs w:val="18"/>
              </w:rPr>
            </w:pPr>
            <w:r>
              <w:rPr>
                <w:rFonts w:ascii="Times New Roman" w:eastAsia="Times New Roman" w:hAnsi="Times New Roman" w:cs="Times New Roman"/>
                <w:color w:val="000000"/>
                <w:spacing w:val="0"/>
                <w:w w:val="100"/>
                <w:position w:val="0"/>
                <w:sz w:val="18"/>
                <w:szCs w:val="18"/>
              </w:rPr>
              <w:t>52,021,027.31</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其他应付款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80" w:right="0" w:firstLine="0"/>
              <w:jc w:val="both"/>
              <w:rPr>
                <w:sz w:val="18"/>
                <w:szCs w:val="18"/>
              </w:rPr>
            </w:pPr>
            <w:r>
              <w:rPr>
                <w:rFonts w:ascii="Times New Roman" w:eastAsia="Times New Roman" w:hAnsi="Times New Roman" w:cs="Times New Roman"/>
                <w:color w:val="000000"/>
                <w:spacing w:val="0"/>
                <w:w w:val="100"/>
                <w:position w:val="0"/>
                <w:sz w:val="18"/>
                <w:szCs w:val="18"/>
              </w:rPr>
              <w:t>84,097,640.43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80" w:right="0" w:firstLine="0"/>
              <w:jc w:val="both"/>
              <w:rPr>
                <w:sz w:val="18"/>
                <w:szCs w:val="18"/>
              </w:rPr>
            </w:pPr>
            <w:r>
              <w:rPr>
                <w:rFonts w:ascii="Times New Roman" w:eastAsia="Times New Roman" w:hAnsi="Times New Roman" w:cs="Times New Roman"/>
                <w:color w:val="000000"/>
                <w:spacing w:val="0"/>
                <w:w w:val="100"/>
                <w:position w:val="0"/>
                <w:sz w:val="18"/>
                <w:szCs w:val="18"/>
              </w:rPr>
              <w:t>79,694,171.29</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560"/>
              <w:jc w:val="left"/>
            </w:pPr>
            <w:r>
              <w:rPr>
                <w:color w:val="000000"/>
                <w:spacing w:val="0"/>
                <w:w w:val="100"/>
                <w:position w:val="0"/>
              </w:rPr>
              <w:t>其中：应付利息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1100" w:right="0" w:firstLine="0"/>
              <w:jc w:val="left"/>
            </w:pPr>
            <w:r>
              <w:rPr>
                <w:color w:val="000000"/>
                <w:spacing w:val="0"/>
                <w:w w:val="100"/>
                <w:position w:val="0"/>
              </w:rPr>
              <w:t>应付股利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应付手续费及佣金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应付分保账款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持有待售负债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一年内到期的非流动负债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80" w:right="0" w:firstLine="0"/>
              <w:jc w:val="both"/>
              <w:rPr>
                <w:sz w:val="18"/>
                <w:szCs w:val="18"/>
              </w:rPr>
            </w:pPr>
            <w:r>
              <w:rPr>
                <w:rFonts w:ascii="Times New Roman" w:eastAsia="Times New Roman" w:hAnsi="Times New Roman" w:cs="Times New Roman"/>
                <w:color w:val="000000"/>
                <w:spacing w:val="0"/>
                <w:w w:val="100"/>
                <w:position w:val="0"/>
                <w:sz w:val="18"/>
                <w:szCs w:val="18"/>
              </w:rPr>
              <w:t>30,053,900.00</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其他流动负债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流动负债合计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both"/>
              <w:rPr>
                <w:sz w:val="18"/>
                <w:szCs w:val="18"/>
              </w:rPr>
            </w:pPr>
            <w:r>
              <w:rPr>
                <w:rFonts w:ascii="Times New Roman" w:eastAsia="Times New Roman" w:hAnsi="Times New Roman" w:cs="Times New Roman"/>
                <w:color w:val="000000"/>
                <w:spacing w:val="0"/>
                <w:w w:val="100"/>
                <w:position w:val="0"/>
                <w:sz w:val="18"/>
                <w:szCs w:val="18"/>
              </w:rPr>
              <w:t>1,208,668,423.53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both"/>
              <w:rPr>
                <w:sz w:val="18"/>
                <w:szCs w:val="18"/>
              </w:rPr>
            </w:pPr>
            <w:r>
              <w:rPr>
                <w:rFonts w:ascii="Times New Roman" w:eastAsia="Times New Roman" w:hAnsi="Times New Roman" w:cs="Times New Roman"/>
                <w:color w:val="000000"/>
                <w:spacing w:val="0"/>
                <w:w w:val="100"/>
                <w:position w:val="0"/>
                <w:sz w:val="18"/>
                <w:szCs w:val="18"/>
              </w:rPr>
              <w:t>1,481,776,969.72</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非流动负债：</w:t>
            </w:r>
          </w:p>
        </w:tc>
        <w:tc>
          <w:tcPr>
            <w:tcBorders>
              <w:top w:val="single" w:sz="4"/>
              <w:left w:val="single" w:sz="4"/>
            </w:tcBorders>
            <w:shd w:val="clear" w:color="auto" w:fill="D7D7D7"/>
            <w:vAlign w:val="top"/>
          </w:tcPr>
          <w:p>
            <w:pPr>
              <w:widowControl w:val="0"/>
              <w:rPr>
                <w:sz w:val="10"/>
                <w:szCs w:val="10"/>
              </w:rPr>
            </w:pPr>
          </w:p>
        </w:tc>
        <w:tc>
          <w:tcPr>
            <w:tcBorders>
              <w:top w:val="single" w:sz="4"/>
              <w:left w:val="single" w:sz="4"/>
              <w:right w:val="single" w:sz="4"/>
            </w:tcBorders>
            <w:shd w:val="clear" w:color="auto" w:fill="D7D7D7"/>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保险合同准备金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长期借款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80" w:right="0" w:firstLine="0"/>
              <w:jc w:val="both"/>
              <w:rPr>
                <w:sz w:val="18"/>
                <w:szCs w:val="18"/>
              </w:rPr>
            </w:pPr>
            <w:r>
              <w:rPr>
                <w:rFonts w:ascii="Times New Roman" w:eastAsia="Times New Roman" w:hAnsi="Times New Roman" w:cs="Times New Roman"/>
                <w:color w:val="000000"/>
                <w:spacing w:val="0"/>
                <w:w w:val="100"/>
                <w:position w:val="0"/>
                <w:sz w:val="18"/>
                <w:szCs w:val="18"/>
              </w:rPr>
              <w:t>32,558,391.67</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应付债券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560"/>
              <w:jc w:val="left"/>
            </w:pPr>
            <w:r>
              <w:rPr>
                <w:color w:val="000000"/>
                <w:spacing w:val="0"/>
                <w:w w:val="100"/>
                <w:position w:val="0"/>
              </w:rPr>
              <w:t>其中：优先股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1100" w:right="0" w:firstLine="0"/>
              <w:jc w:val="left"/>
            </w:pPr>
            <w:r>
              <w:rPr>
                <w:color w:val="000000"/>
                <w:spacing w:val="0"/>
                <w:w w:val="100"/>
                <w:position w:val="0"/>
              </w:rPr>
              <w:t>永续债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租赁负债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长期应付款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长期应付职工薪酬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预计负债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80" w:right="0" w:firstLine="0"/>
              <w:jc w:val="both"/>
              <w:rPr>
                <w:sz w:val="18"/>
                <w:szCs w:val="18"/>
              </w:rPr>
            </w:pPr>
            <w:r>
              <w:rPr>
                <w:rFonts w:ascii="Times New Roman" w:eastAsia="Times New Roman" w:hAnsi="Times New Roman" w:cs="Times New Roman"/>
                <w:color w:val="000000"/>
                <w:spacing w:val="0"/>
                <w:w w:val="100"/>
                <w:position w:val="0"/>
                <w:sz w:val="18"/>
                <w:szCs w:val="18"/>
              </w:rPr>
              <w:t>22,496,136.15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80" w:right="0" w:firstLine="0"/>
              <w:jc w:val="both"/>
              <w:rPr>
                <w:sz w:val="18"/>
                <w:szCs w:val="18"/>
              </w:rPr>
            </w:pPr>
            <w:r>
              <w:rPr>
                <w:rFonts w:ascii="Times New Roman" w:eastAsia="Times New Roman" w:hAnsi="Times New Roman" w:cs="Times New Roman"/>
                <w:color w:val="000000"/>
                <w:spacing w:val="0"/>
                <w:w w:val="100"/>
                <w:position w:val="0"/>
                <w:sz w:val="18"/>
                <w:szCs w:val="18"/>
              </w:rPr>
              <w:t>19,946,178.96</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递延收益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974,418.92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1,278,235.91</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递延所得税负债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2,006,775.62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517,383.48</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其他非流动负债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非流动负债合计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80" w:right="0" w:firstLine="0"/>
              <w:jc w:val="both"/>
              <w:rPr>
                <w:sz w:val="18"/>
                <w:szCs w:val="18"/>
              </w:rPr>
            </w:pPr>
            <w:r>
              <w:rPr>
                <w:rFonts w:ascii="Times New Roman" w:eastAsia="Times New Roman" w:hAnsi="Times New Roman" w:cs="Times New Roman"/>
                <w:color w:val="000000"/>
                <w:spacing w:val="0"/>
                <w:w w:val="100"/>
                <w:position w:val="0"/>
                <w:sz w:val="18"/>
                <w:szCs w:val="18"/>
              </w:rPr>
              <w:t>25,477,330.69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80" w:right="0" w:firstLine="0"/>
              <w:jc w:val="both"/>
              <w:rPr>
                <w:sz w:val="18"/>
                <w:szCs w:val="18"/>
              </w:rPr>
            </w:pPr>
            <w:r>
              <w:rPr>
                <w:rFonts w:ascii="Times New Roman" w:eastAsia="Times New Roman" w:hAnsi="Times New Roman" w:cs="Times New Roman"/>
                <w:color w:val="000000"/>
                <w:spacing w:val="0"/>
                <w:w w:val="100"/>
                <w:position w:val="0"/>
                <w:sz w:val="18"/>
                <w:szCs w:val="18"/>
              </w:rPr>
              <w:t>54,300,190.02</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负债合计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both"/>
              <w:rPr>
                <w:sz w:val="18"/>
                <w:szCs w:val="18"/>
              </w:rPr>
            </w:pPr>
            <w:r>
              <w:rPr>
                <w:rFonts w:ascii="Times New Roman" w:eastAsia="Times New Roman" w:hAnsi="Times New Roman" w:cs="Times New Roman"/>
                <w:color w:val="000000"/>
                <w:spacing w:val="0"/>
                <w:w w:val="100"/>
                <w:position w:val="0"/>
                <w:sz w:val="18"/>
                <w:szCs w:val="18"/>
              </w:rPr>
              <w:t>1,234,145,754.22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both"/>
              <w:rPr>
                <w:sz w:val="18"/>
                <w:szCs w:val="18"/>
              </w:rPr>
            </w:pPr>
            <w:r>
              <w:rPr>
                <w:rFonts w:ascii="Times New Roman" w:eastAsia="Times New Roman" w:hAnsi="Times New Roman" w:cs="Times New Roman"/>
                <w:color w:val="000000"/>
                <w:spacing w:val="0"/>
                <w:w w:val="100"/>
                <w:position w:val="0"/>
                <w:sz w:val="18"/>
                <w:szCs w:val="18"/>
              </w:rPr>
              <w:t>1,536,077,159.74</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所有者权益：</w:t>
            </w:r>
          </w:p>
        </w:tc>
        <w:tc>
          <w:tcPr>
            <w:tcBorders>
              <w:top w:val="single" w:sz="4"/>
              <w:left w:val="single" w:sz="4"/>
            </w:tcBorders>
            <w:shd w:val="clear" w:color="auto" w:fill="D7D7D7"/>
            <w:vAlign w:val="top"/>
          </w:tcPr>
          <w:p>
            <w:pPr>
              <w:widowControl w:val="0"/>
              <w:rPr>
                <w:sz w:val="10"/>
                <w:szCs w:val="10"/>
              </w:rPr>
            </w:pPr>
          </w:p>
        </w:tc>
        <w:tc>
          <w:tcPr>
            <w:tcBorders>
              <w:top w:val="single" w:sz="4"/>
              <w:left w:val="single" w:sz="4"/>
              <w:right w:val="single" w:sz="4"/>
            </w:tcBorders>
            <w:shd w:val="clear" w:color="auto" w:fill="D7D7D7"/>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股本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both"/>
              <w:rPr>
                <w:sz w:val="18"/>
                <w:szCs w:val="18"/>
              </w:rPr>
            </w:pPr>
            <w:r>
              <w:rPr>
                <w:rFonts w:ascii="Times New Roman" w:eastAsia="Times New Roman" w:hAnsi="Times New Roman" w:cs="Times New Roman"/>
                <w:color w:val="000000"/>
                <w:spacing w:val="0"/>
                <w:w w:val="100"/>
                <w:position w:val="0"/>
                <w:sz w:val="18"/>
                <w:szCs w:val="18"/>
              </w:rPr>
              <w:t>1,961,091,984.00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both"/>
              <w:rPr>
                <w:sz w:val="18"/>
                <w:szCs w:val="18"/>
              </w:rPr>
            </w:pPr>
            <w:r>
              <w:rPr>
                <w:rFonts w:ascii="Times New Roman" w:eastAsia="Times New Roman" w:hAnsi="Times New Roman" w:cs="Times New Roman"/>
                <w:color w:val="000000"/>
                <w:spacing w:val="0"/>
                <w:w w:val="100"/>
                <w:position w:val="0"/>
                <w:sz w:val="18"/>
                <w:szCs w:val="18"/>
              </w:rPr>
              <w:t>1,961,091,984.00</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其他权益工具</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560"/>
              <w:jc w:val="left"/>
            </w:pPr>
            <w:r>
              <w:rPr>
                <w:color w:val="000000"/>
                <w:spacing w:val="0"/>
                <w:w w:val="100"/>
                <w:position w:val="0"/>
              </w:rPr>
              <w:t>其中：优先股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1100" w:right="0" w:firstLine="0"/>
              <w:jc w:val="left"/>
            </w:pPr>
            <w:r>
              <w:rPr>
                <w:color w:val="000000"/>
                <w:spacing w:val="0"/>
                <w:w w:val="100"/>
                <w:position w:val="0"/>
              </w:rPr>
              <w:t>永续债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资本公积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80" w:right="0" w:firstLine="0"/>
              <w:jc w:val="both"/>
              <w:rPr>
                <w:sz w:val="18"/>
                <w:szCs w:val="18"/>
              </w:rPr>
            </w:pPr>
            <w:r>
              <w:rPr>
                <w:rFonts w:ascii="Times New Roman" w:eastAsia="Times New Roman" w:hAnsi="Times New Roman" w:cs="Times New Roman"/>
                <w:color w:val="000000"/>
                <w:spacing w:val="0"/>
                <w:w w:val="100"/>
                <w:position w:val="0"/>
                <w:sz w:val="18"/>
                <w:szCs w:val="18"/>
              </w:rPr>
              <w:t>584,234,264.59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477,277,883.42</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减：库存股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80" w:right="0" w:firstLine="0"/>
              <w:jc w:val="both"/>
              <w:rPr>
                <w:sz w:val="18"/>
                <w:szCs w:val="18"/>
              </w:rPr>
            </w:pPr>
            <w:r>
              <w:rPr>
                <w:rFonts w:ascii="Times New Roman" w:eastAsia="Times New Roman" w:hAnsi="Times New Roman" w:cs="Times New Roman"/>
                <w:color w:val="000000"/>
                <w:spacing w:val="0"/>
                <w:w w:val="100"/>
                <w:position w:val="0"/>
                <w:sz w:val="18"/>
                <w:szCs w:val="18"/>
              </w:rPr>
              <w:t>100,973,450.64</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其他综合收益</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-31,285,386.92</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-19,806,836.31</w:t>
            </w:r>
          </w:p>
        </w:tc>
      </w:tr>
    </w:tbl>
    <w:p>
      <w:pPr>
        <w:widowControl w:val="0"/>
        <w:spacing w:line="1" w:lineRule="exact"/>
      </w:pPr>
      <w:r>
        <w:br w:type="page"/>
      </w:r>
    </w:p>
    <w:tbl>
      <w:tblPr>
        <w:tblOverlap w:val="never"/>
        <w:jc w:val="center"/>
        <w:tblLayout w:type="fixed"/>
      </w:tblPr>
      <w:tblGrid>
        <w:gridCol w:w="3010"/>
        <w:gridCol w:w="3346"/>
        <w:gridCol w:w="3355"/>
      </w:tblGrid>
      <w:tr>
        <w:trPr>
          <w:trHeight w:val="480"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专项储备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盈余公积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240,601,619.97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240,601,619.97</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一般风险准备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未分配利润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rPr>
                <w:sz w:val="18"/>
                <w:szCs w:val="18"/>
              </w:rPr>
            </w:pPr>
            <w:r>
              <w:rPr>
                <w:rFonts w:ascii="Times New Roman" w:eastAsia="Times New Roman" w:hAnsi="Times New Roman" w:cs="Times New Roman"/>
                <w:color w:val="000000"/>
                <w:spacing w:val="0"/>
                <w:w w:val="100"/>
                <w:position w:val="0"/>
                <w:sz w:val="18"/>
                <w:szCs w:val="18"/>
              </w:rPr>
              <w:t>1,272,784,846.29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both"/>
              <w:rPr>
                <w:sz w:val="18"/>
                <w:szCs w:val="18"/>
              </w:rPr>
            </w:pPr>
            <w:r>
              <w:rPr>
                <w:rFonts w:ascii="Times New Roman" w:eastAsia="Times New Roman" w:hAnsi="Times New Roman" w:cs="Times New Roman"/>
                <w:color w:val="000000"/>
                <w:spacing w:val="0"/>
                <w:w w:val="100"/>
                <w:position w:val="0"/>
                <w:sz w:val="18"/>
                <w:szCs w:val="18"/>
              </w:rPr>
              <w:t>1,063,910,046.52</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归属于母公司所有者权益合计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rPr>
                <w:sz w:val="18"/>
                <w:szCs w:val="18"/>
              </w:rPr>
            </w:pPr>
            <w:r>
              <w:rPr>
                <w:rFonts w:ascii="Times New Roman" w:eastAsia="Times New Roman" w:hAnsi="Times New Roman" w:cs="Times New Roman"/>
                <w:color w:val="000000"/>
                <w:spacing w:val="0"/>
                <w:w w:val="100"/>
                <w:position w:val="0"/>
                <w:sz w:val="18"/>
                <w:szCs w:val="18"/>
              </w:rPr>
              <w:t>3,926,453,877.29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both"/>
              <w:rPr>
                <w:sz w:val="18"/>
                <w:szCs w:val="18"/>
              </w:rPr>
            </w:pPr>
            <w:r>
              <w:rPr>
                <w:rFonts w:ascii="Times New Roman" w:eastAsia="Times New Roman" w:hAnsi="Times New Roman" w:cs="Times New Roman"/>
                <w:color w:val="000000"/>
                <w:spacing w:val="0"/>
                <w:w w:val="100"/>
                <w:position w:val="0"/>
                <w:sz w:val="18"/>
                <w:szCs w:val="18"/>
              </w:rPr>
              <w:t>3,723,074,697.60</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少数股东权益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29,571,269.80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23,483,534.20</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所有者权益合计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rPr>
                <w:sz w:val="18"/>
                <w:szCs w:val="18"/>
              </w:rPr>
            </w:pPr>
            <w:r>
              <w:rPr>
                <w:rFonts w:ascii="Times New Roman" w:eastAsia="Times New Roman" w:hAnsi="Times New Roman" w:cs="Times New Roman"/>
                <w:color w:val="000000"/>
                <w:spacing w:val="0"/>
                <w:w w:val="100"/>
                <w:position w:val="0"/>
                <w:sz w:val="18"/>
                <w:szCs w:val="18"/>
              </w:rPr>
              <w:t>3,956,025,147.09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both"/>
              <w:rPr>
                <w:sz w:val="18"/>
                <w:szCs w:val="18"/>
              </w:rPr>
            </w:pPr>
            <w:r>
              <w:rPr>
                <w:rFonts w:ascii="Times New Roman" w:eastAsia="Times New Roman" w:hAnsi="Times New Roman" w:cs="Times New Roman"/>
                <w:color w:val="000000"/>
                <w:spacing w:val="0"/>
                <w:w w:val="100"/>
                <w:position w:val="0"/>
                <w:sz w:val="18"/>
                <w:szCs w:val="18"/>
              </w:rPr>
              <w:t>3,746,558,231.80</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负债和所有者权益总计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rPr>
                <w:sz w:val="18"/>
                <w:szCs w:val="18"/>
              </w:rPr>
            </w:pPr>
            <w:r>
              <w:rPr>
                <w:rFonts w:ascii="Times New Roman" w:eastAsia="Times New Roman" w:hAnsi="Times New Roman" w:cs="Times New Roman"/>
                <w:color w:val="000000"/>
                <w:spacing w:val="0"/>
                <w:w w:val="100"/>
                <w:position w:val="0"/>
                <w:sz w:val="18"/>
                <w:szCs w:val="18"/>
              </w:rPr>
              <w:t>5,190,170,901.31</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both"/>
              <w:rPr>
                <w:sz w:val="18"/>
                <w:szCs w:val="18"/>
              </w:rPr>
            </w:pPr>
            <w:r>
              <w:rPr>
                <w:rFonts w:ascii="Times New Roman" w:eastAsia="Times New Roman" w:hAnsi="Times New Roman" w:cs="Times New Roman"/>
                <w:color w:val="000000"/>
                <w:spacing w:val="0"/>
                <w:w w:val="100"/>
                <w:position w:val="0"/>
                <w:sz w:val="18"/>
                <w:szCs w:val="18"/>
              </w:rPr>
              <w:t>5,282,635,391.54</w:t>
            </w:r>
          </w:p>
        </w:tc>
      </w:tr>
    </w:tbl>
    <w:p>
      <w:pPr>
        <w:pStyle w:val="Style47"/>
        <w:keepNext/>
        <w:keepLines/>
        <w:widowControl w:val="0"/>
        <w:shd w:val="clear" w:color="auto" w:fill="auto"/>
        <w:bidi w:val="0"/>
        <w:spacing w:before="0" w:after="420" w:line="240" w:lineRule="auto"/>
        <w:ind w:left="0" w:right="0" w:firstLine="0"/>
        <w:jc w:val="left"/>
      </w:pPr>
      <w:r>
        <mc:AlternateContent>
          <mc:Choice Requires="wps">
            <w:drawing>
              <wp:anchor distT="152400" distB="3175" distL="114300" distR="4918075" simplePos="0" relativeHeight="125829496" behindDoc="0" locked="0" layoutInCell="1" allowOverlap="1">
                <wp:simplePos x="0" y="0"/>
                <wp:positionH relativeFrom="page">
                  <wp:posOffset>694055</wp:posOffset>
                </wp:positionH>
                <wp:positionV relativeFrom="margin">
                  <wp:posOffset>2313305</wp:posOffset>
                </wp:positionV>
                <wp:extent cx="1283335" cy="146050"/>
                <wp:wrapTopAndBottom/>
                <wp:docPr id="709" name="Shape 709"/>
                <a:graphic xmlns:a="http://schemas.openxmlformats.org/drawingml/2006/main">
                  <a:graphicData uri="http://schemas.microsoft.com/office/word/2010/wordprocessingShape">
                    <wps:wsp>
                      <wps:cNvSpPr txBox="1"/>
                      <wps:spPr>
                        <a:xfrm>
                          <a:ext cx="1283335" cy="14605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color w:val="000000"/>
                                <w:spacing w:val="0"/>
                                <w:w w:val="100"/>
                                <w:position w:val="0"/>
                              </w:rPr>
                              <w:t>法定代表人：冒大卫先生</w:t>
                            </w:r>
                          </w:p>
                        </w:txbxContent>
                      </wps:txbx>
                      <wps:bodyPr wrap="none" lIns="0" tIns="0" rIns="0" bIns="0">
                        <a:noAutoFit/>
                      </wps:bodyPr>
                    </wps:wsp>
                  </a:graphicData>
                </a:graphic>
              </wp:anchor>
            </w:drawing>
          </mc:Choice>
          <mc:Fallback>
            <w:pict>
              <v:shape id="_x0000_s1735" type="#_x0000_t202" style="position:absolute;margin-left:54.649999999999999pt;margin-top:182.15000000000001pt;width:101.05pt;height:11.5pt;z-index:-125829257;mso-wrap-distance-left:9.pt;mso-wrap-distance-top:12.pt;mso-wrap-distance-right:387.25pt;mso-wrap-distance-bottom:0.25pt;mso-position-horizontal-relative:page;mso-position-vertical-relative:margin" filled="f" stroked="f">
                <v:textbox inset="0,0,0,0">
                  <w:txbxContent>
                    <w:p>
                      <w:pPr>
                        <w:pStyle w:val="Style41"/>
                        <w:keepNext w:val="0"/>
                        <w:keepLines w:val="0"/>
                        <w:widowControl w:val="0"/>
                        <w:shd w:val="clear" w:color="auto" w:fill="auto"/>
                        <w:bidi w:val="0"/>
                        <w:spacing w:before="0" w:after="0" w:line="240" w:lineRule="auto"/>
                        <w:ind w:left="0" w:right="0" w:firstLine="0"/>
                        <w:jc w:val="left"/>
                      </w:pPr>
                      <w:r>
                        <w:rPr>
                          <w:color w:val="000000"/>
                          <w:spacing w:val="0"/>
                          <w:w w:val="100"/>
                          <w:position w:val="0"/>
                        </w:rPr>
                        <w:t>法定代表人：冒大卫先生</w:t>
                      </w:r>
                    </w:p>
                  </w:txbxContent>
                </v:textbox>
                <w10:wrap type="topAndBottom" anchorx="page" anchory="margin"/>
              </v:shape>
            </w:pict>
          </mc:Fallback>
        </mc:AlternateContent>
      </w:r>
      <w:r>
        <mc:AlternateContent>
          <mc:Choice Requires="wps">
            <w:drawing>
              <wp:anchor distT="152400" distB="3175" distL="2174875" distR="2403475" simplePos="0" relativeHeight="125829498" behindDoc="0" locked="0" layoutInCell="1" allowOverlap="1">
                <wp:simplePos x="0" y="0"/>
                <wp:positionH relativeFrom="page">
                  <wp:posOffset>2754630</wp:posOffset>
                </wp:positionH>
                <wp:positionV relativeFrom="margin">
                  <wp:posOffset>2313305</wp:posOffset>
                </wp:positionV>
                <wp:extent cx="1737360" cy="146050"/>
                <wp:wrapTopAndBottom/>
                <wp:docPr id="711" name="Shape 711"/>
                <a:graphic xmlns:a="http://schemas.openxmlformats.org/drawingml/2006/main">
                  <a:graphicData uri="http://schemas.microsoft.com/office/word/2010/wordprocessingShape">
                    <wps:wsp>
                      <wps:cNvSpPr txBox="1"/>
                      <wps:spPr>
                        <a:xfrm>
                          <a:ext cx="1737360" cy="14605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color w:val="000000"/>
                                <w:spacing w:val="0"/>
                                <w:w w:val="100"/>
                                <w:position w:val="0"/>
                              </w:rPr>
                              <w:t>主管会计工作负责人：戈爱晶女士</w:t>
                            </w:r>
                          </w:p>
                        </w:txbxContent>
                      </wps:txbx>
                      <wps:bodyPr wrap="none" lIns="0" tIns="0" rIns="0" bIns="0">
                        <a:noAutoFit/>
                      </wps:bodyPr>
                    </wps:wsp>
                  </a:graphicData>
                </a:graphic>
              </wp:anchor>
            </w:drawing>
          </mc:Choice>
          <mc:Fallback>
            <w:pict>
              <v:shape id="_x0000_s1737" type="#_x0000_t202" style="position:absolute;margin-left:216.90000000000001pt;margin-top:182.15000000000001pt;width:136.80000000000001pt;height:11.5pt;z-index:-125829255;mso-wrap-distance-left:171.25pt;mso-wrap-distance-top:12.pt;mso-wrap-distance-right:189.25pt;mso-wrap-distance-bottom:0.25pt;mso-position-horizontal-relative:page;mso-position-vertical-relative:margin" filled="f" stroked="f">
                <v:textbox inset="0,0,0,0">
                  <w:txbxContent>
                    <w:p>
                      <w:pPr>
                        <w:pStyle w:val="Style41"/>
                        <w:keepNext w:val="0"/>
                        <w:keepLines w:val="0"/>
                        <w:widowControl w:val="0"/>
                        <w:shd w:val="clear" w:color="auto" w:fill="auto"/>
                        <w:bidi w:val="0"/>
                        <w:spacing w:before="0" w:after="0" w:line="240" w:lineRule="auto"/>
                        <w:ind w:left="0" w:right="0" w:firstLine="0"/>
                        <w:jc w:val="left"/>
                      </w:pPr>
                      <w:r>
                        <w:rPr>
                          <w:color w:val="000000"/>
                          <w:spacing w:val="0"/>
                          <w:w w:val="100"/>
                          <w:position w:val="0"/>
                        </w:rPr>
                        <w:t>主管会计工作负责人：戈爱晶女士</w:t>
                      </w:r>
                    </w:p>
                  </w:txbxContent>
                </v:textbox>
                <w10:wrap type="topAndBottom" anchorx="page" anchory="margin"/>
              </v:shape>
            </w:pict>
          </mc:Fallback>
        </mc:AlternateContent>
      </w:r>
      <w:r>
        <mc:AlternateContent>
          <mc:Choice Requires="wps">
            <w:drawing>
              <wp:anchor distT="152400" distB="0" distL="4686300" distR="114300" simplePos="0" relativeHeight="125829500" behindDoc="0" locked="0" layoutInCell="1" allowOverlap="1">
                <wp:simplePos x="0" y="0"/>
                <wp:positionH relativeFrom="page">
                  <wp:posOffset>5266055</wp:posOffset>
                </wp:positionH>
                <wp:positionV relativeFrom="margin">
                  <wp:posOffset>2313305</wp:posOffset>
                </wp:positionV>
                <wp:extent cx="1515110" cy="149225"/>
                <wp:wrapTopAndBottom/>
                <wp:docPr id="713" name="Shape 713"/>
                <a:graphic xmlns:a="http://schemas.openxmlformats.org/drawingml/2006/main">
                  <a:graphicData uri="http://schemas.microsoft.com/office/word/2010/wordprocessingShape">
                    <wps:wsp>
                      <wps:cNvSpPr txBox="1"/>
                      <wps:spPr>
                        <a:xfrm>
                          <a:ext cx="1515110" cy="14922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color w:val="000000"/>
                                <w:spacing w:val="0"/>
                                <w:w w:val="100"/>
                                <w:position w:val="0"/>
                              </w:rPr>
                              <w:t>会计机构负责人：刘晓峰先生</w:t>
                            </w:r>
                          </w:p>
                        </w:txbxContent>
                      </wps:txbx>
                      <wps:bodyPr wrap="none" lIns="0" tIns="0" rIns="0" bIns="0">
                        <a:noAutoFit/>
                      </wps:bodyPr>
                    </wps:wsp>
                  </a:graphicData>
                </a:graphic>
              </wp:anchor>
            </w:drawing>
          </mc:Choice>
          <mc:Fallback>
            <w:pict>
              <v:shape id="_x0000_s1739" type="#_x0000_t202" style="position:absolute;margin-left:414.65000000000003pt;margin-top:182.15000000000001pt;width:119.3pt;height:11.75pt;z-index:-125829253;mso-wrap-distance-left:369.pt;mso-wrap-distance-top:12.pt;mso-wrap-distance-right:9.pt;mso-position-horizontal-relative:page;mso-position-vertical-relative:margin" filled="f" stroked="f">
                <v:textbox inset="0,0,0,0">
                  <w:txbxContent>
                    <w:p>
                      <w:pPr>
                        <w:pStyle w:val="Style41"/>
                        <w:keepNext w:val="0"/>
                        <w:keepLines w:val="0"/>
                        <w:widowControl w:val="0"/>
                        <w:shd w:val="clear" w:color="auto" w:fill="auto"/>
                        <w:bidi w:val="0"/>
                        <w:spacing w:before="0" w:after="0" w:line="240" w:lineRule="auto"/>
                        <w:ind w:left="0" w:right="0" w:firstLine="0"/>
                        <w:jc w:val="left"/>
                      </w:pPr>
                      <w:r>
                        <w:rPr>
                          <w:color w:val="000000"/>
                          <w:spacing w:val="0"/>
                          <w:w w:val="100"/>
                          <w:position w:val="0"/>
                        </w:rPr>
                        <w:t>会计机构负责人：刘晓峰先生</w:t>
                      </w:r>
                    </w:p>
                  </w:txbxContent>
                </v:textbox>
                <w10:wrap type="topAndBottom" anchorx="page" anchory="margin"/>
              </v:shape>
            </w:pict>
          </mc:Fallback>
        </mc:AlternateContent>
      </w:r>
      <w:bookmarkStart w:id="802" w:name="bookmark802"/>
      <w:bookmarkStart w:id="803" w:name="bookmark803"/>
      <w:bookmarkStart w:id="804" w:name="bookmark804"/>
      <w:bookmarkStart w:id="805" w:name="bookmark805"/>
      <w:r>
        <w:rPr>
          <w:color w:val="000000"/>
          <w:spacing w:val="0"/>
          <w:w w:val="100"/>
          <w:position w:val="0"/>
        </w:rPr>
        <w:t>2</w:t>
      </w:r>
      <w:bookmarkEnd w:id="804"/>
      <w:r>
        <w:rPr>
          <w:color w:val="000000"/>
          <w:spacing w:val="0"/>
          <w:w w:val="100"/>
          <w:position w:val="0"/>
        </w:rPr>
        <w:t>、母公司资产负债表</w:t>
      </w:r>
      <w:bookmarkEnd w:id="802"/>
      <w:bookmarkEnd w:id="803"/>
      <w:bookmarkEnd w:id="805"/>
    </w:p>
    <w:p>
      <w:pPr>
        <w:pStyle w:val="Style41"/>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2971"/>
        <w:gridCol w:w="3302"/>
        <w:gridCol w:w="3307"/>
      </w:tblGrid>
      <w:tr>
        <w:trPr>
          <w:trHeight w:val="40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日</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2019</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日</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流动资产：</w:t>
            </w:r>
          </w:p>
        </w:tc>
        <w:tc>
          <w:tcPr>
            <w:tcBorders>
              <w:top w:val="single" w:sz="4"/>
              <w:left w:val="single" w:sz="4"/>
            </w:tcBorders>
            <w:shd w:val="clear" w:color="auto" w:fill="D7D7D7"/>
            <w:vAlign w:val="top"/>
          </w:tcPr>
          <w:p>
            <w:pPr>
              <w:widowControl w:val="0"/>
              <w:rPr>
                <w:sz w:val="10"/>
                <w:szCs w:val="10"/>
              </w:rPr>
            </w:pPr>
          </w:p>
        </w:tc>
        <w:tc>
          <w:tcPr>
            <w:tcBorders>
              <w:top w:val="single" w:sz="4"/>
              <w:left w:val="single" w:sz="4"/>
              <w:right w:val="single" w:sz="4"/>
            </w:tcBorders>
            <w:shd w:val="clear" w:color="auto" w:fill="D7D7D7"/>
            <w:vAlign w:val="top"/>
          </w:tcPr>
          <w:p>
            <w:pPr>
              <w:widowControl w:val="0"/>
              <w:rPr>
                <w:sz w:val="10"/>
                <w:szCs w:val="10"/>
              </w:rPr>
            </w:pP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货币资金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left"/>
              <w:rPr>
                <w:sz w:val="18"/>
                <w:szCs w:val="18"/>
              </w:rPr>
            </w:pPr>
            <w:r>
              <w:rPr>
                <w:rFonts w:ascii="Times New Roman" w:eastAsia="Times New Roman" w:hAnsi="Times New Roman" w:cs="Times New Roman"/>
                <w:color w:val="000000"/>
                <w:spacing w:val="0"/>
                <w:w w:val="100"/>
                <w:position w:val="0"/>
                <w:sz w:val="18"/>
                <w:szCs w:val="18"/>
              </w:rPr>
              <w:t>229,230,301.53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352,648,033.47</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交易性金融资产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56,421,125.73</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衍生金融资产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应收票据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3,877,151.40</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应收账款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left"/>
              <w:rPr>
                <w:sz w:val="18"/>
                <w:szCs w:val="18"/>
              </w:rPr>
            </w:pPr>
            <w:r>
              <w:rPr>
                <w:rFonts w:ascii="Times New Roman" w:eastAsia="Times New Roman" w:hAnsi="Times New Roman" w:cs="Times New Roman"/>
                <w:color w:val="000000"/>
                <w:spacing w:val="0"/>
                <w:w w:val="100"/>
                <w:position w:val="0"/>
                <w:sz w:val="18"/>
                <w:szCs w:val="18"/>
              </w:rPr>
              <w:t>230,942,505.70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359,007,463.47</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应收款项融资</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9,157,699.17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13,520,394.13</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预付款项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4,761,053.45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20,368,105.24</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其他应收款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left"/>
              <w:rPr>
                <w:sz w:val="18"/>
                <w:szCs w:val="18"/>
              </w:rPr>
            </w:pPr>
            <w:r>
              <w:rPr>
                <w:rFonts w:ascii="Times New Roman" w:eastAsia="Times New Roman" w:hAnsi="Times New Roman" w:cs="Times New Roman"/>
                <w:color w:val="000000"/>
                <w:spacing w:val="0"/>
                <w:w w:val="100"/>
                <w:position w:val="0"/>
                <w:sz w:val="18"/>
                <w:szCs w:val="18"/>
              </w:rPr>
              <w:t>658,472,464.12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702,928,706.77</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560"/>
              <w:jc w:val="left"/>
            </w:pPr>
            <w:r>
              <w:rPr>
                <w:color w:val="000000"/>
                <w:spacing w:val="0"/>
                <w:w w:val="100"/>
                <w:position w:val="0"/>
              </w:rPr>
              <w:t>其中：应收利息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应收股利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存货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left"/>
              <w:rPr>
                <w:sz w:val="18"/>
                <w:szCs w:val="18"/>
              </w:rPr>
            </w:pPr>
            <w:r>
              <w:rPr>
                <w:rFonts w:ascii="Times New Roman" w:eastAsia="Times New Roman" w:hAnsi="Times New Roman" w:cs="Times New Roman"/>
                <w:color w:val="000000"/>
                <w:spacing w:val="0"/>
                <w:w w:val="100"/>
                <w:position w:val="0"/>
                <w:sz w:val="18"/>
                <w:szCs w:val="18"/>
              </w:rPr>
              <w:t>139,768,244.07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121,485,225.22</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合同资产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持有待售资产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一年内到期的非流动资产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其他流动资产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61,822.85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61,822.85</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流动资产合计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1,328,815,216.62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1,573,896,902.55</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非流动资产：</w:t>
            </w:r>
          </w:p>
        </w:tc>
        <w:tc>
          <w:tcPr>
            <w:tcBorders>
              <w:top w:val="single" w:sz="4"/>
              <w:left w:val="single" w:sz="4"/>
            </w:tcBorders>
            <w:shd w:val="clear" w:color="auto" w:fill="D7D7D7"/>
            <w:vAlign w:val="top"/>
          </w:tcPr>
          <w:p>
            <w:pPr>
              <w:widowControl w:val="0"/>
              <w:rPr>
                <w:sz w:val="10"/>
                <w:szCs w:val="10"/>
              </w:rPr>
            </w:pPr>
          </w:p>
        </w:tc>
        <w:tc>
          <w:tcPr>
            <w:tcBorders>
              <w:top w:val="single" w:sz="4"/>
              <w:left w:val="single" w:sz="4"/>
              <w:right w:val="single" w:sz="4"/>
            </w:tcBorders>
            <w:shd w:val="clear" w:color="auto" w:fill="D7D7D7"/>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债权投资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其他债权投资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长期应收款</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pPr>
      <w:r>
        <w:br w:type="page"/>
      </w:r>
    </w:p>
    <w:tbl>
      <w:tblPr>
        <w:tblOverlap w:val="never"/>
        <w:jc w:val="center"/>
        <w:tblLayout w:type="fixed"/>
      </w:tblPr>
      <w:tblGrid>
        <w:gridCol w:w="2971"/>
        <w:gridCol w:w="3302"/>
        <w:gridCol w:w="3307"/>
      </w:tblGrid>
      <w:tr>
        <w:trPr>
          <w:trHeight w:val="480"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长期股权投资</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00" w:right="0" w:firstLine="0"/>
              <w:jc w:val="both"/>
              <w:rPr>
                <w:sz w:val="18"/>
                <w:szCs w:val="18"/>
              </w:rPr>
            </w:pPr>
            <w:r>
              <w:rPr>
                <w:rFonts w:ascii="Times New Roman" w:eastAsia="Times New Roman" w:hAnsi="Times New Roman" w:cs="Times New Roman"/>
                <w:color w:val="000000"/>
                <w:spacing w:val="0"/>
                <w:w w:val="100"/>
                <w:position w:val="0"/>
                <w:sz w:val="18"/>
                <w:szCs w:val="18"/>
              </w:rPr>
              <w:t>3,170,589,263.93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20" w:right="0" w:firstLine="0"/>
              <w:jc w:val="both"/>
              <w:rPr>
                <w:sz w:val="18"/>
                <w:szCs w:val="18"/>
              </w:rPr>
            </w:pPr>
            <w:r>
              <w:rPr>
                <w:rFonts w:ascii="Times New Roman" w:eastAsia="Times New Roman" w:hAnsi="Times New Roman" w:cs="Times New Roman"/>
                <w:color w:val="000000"/>
                <w:spacing w:val="0"/>
                <w:w w:val="100"/>
                <w:position w:val="0"/>
                <w:sz w:val="18"/>
                <w:szCs w:val="18"/>
              </w:rPr>
              <w:t>3,152,741,649.32</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其他权益工具投资</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20" w:right="0" w:firstLine="0"/>
              <w:jc w:val="both"/>
              <w:rPr>
                <w:sz w:val="18"/>
                <w:szCs w:val="18"/>
              </w:rPr>
            </w:pPr>
            <w:r>
              <w:rPr>
                <w:rFonts w:ascii="Times New Roman" w:eastAsia="Times New Roman" w:hAnsi="Times New Roman" w:cs="Times New Roman"/>
                <w:color w:val="000000"/>
                <w:spacing w:val="0"/>
                <w:w w:val="100"/>
                <w:position w:val="0"/>
                <w:sz w:val="18"/>
                <w:szCs w:val="18"/>
              </w:rPr>
              <w:t>1,538,743.49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1,792,264.49</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其他非流动金融资产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177,727,023.21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176,542,160.12</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投资性房地产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147,736,181.12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151,817,643.32</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固定资产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190,227,798.92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199,999,322.42</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在建工程</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生产性生物资产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油气资产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使用权资产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无形资产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143,607,377.11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154,517,392.48</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开发支出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both"/>
              <w:rPr>
                <w:sz w:val="18"/>
                <w:szCs w:val="18"/>
              </w:rPr>
            </w:pPr>
            <w:r>
              <w:rPr>
                <w:rFonts w:ascii="Times New Roman" w:eastAsia="Times New Roman" w:hAnsi="Times New Roman" w:cs="Times New Roman"/>
                <w:color w:val="000000"/>
                <w:spacing w:val="0"/>
                <w:w w:val="100"/>
                <w:position w:val="0"/>
                <w:sz w:val="18"/>
                <w:szCs w:val="18"/>
              </w:rPr>
              <w:t>23,351,698.11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15,470,500.00</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商誉</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长期待摊费用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递延所得税资产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both"/>
              <w:rPr>
                <w:sz w:val="18"/>
                <w:szCs w:val="18"/>
              </w:rPr>
            </w:pPr>
            <w:r>
              <w:rPr>
                <w:rFonts w:ascii="Times New Roman" w:eastAsia="Times New Roman" w:hAnsi="Times New Roman" w:cs="Times New Roman"/>
                <w:color w:val="000000"/>
                <w:spacing w:val="0"/>
                <w:w w:val="100"/>
                <w:position w:val="0"/>
                <w:sz w:val="18"/>
                <w:szCs w:val="18"/>
              </w:rPr>
              <w:t>18,040,635.93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20,889,358.11</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其他非流动资产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917,431.19</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非流动资产合计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00" w:right="0" w:firstLine="0"/>
              <w:jc w:val="both"/>
              <w:rPr>
                <w:sz w:val="18"/>
                <w:szCs w:val="18"/>
              </w:rPr>
            </w:pPr>
            <w:r>
              <w:rPr>
                <w:rFonts w:ascii="Times New Roman" w:eastAsia="Times New Roman" w:hAnsi="Times New Roman" w:cs="Times New Roman"/>
                <w:color w:val="000000"/>
                <w:spacing w:val="0"/>
                <w:w w:val="100"/>
                <w:position w:val="0"/>
                <w:sz w:val="18"/>
                <w:szCs w:val="18"/>
              </w:rPr>
              <w:t>3,873,736,153.01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20" w:right="0" w:firstLine="0"/>
              <w:jc w:val="both"/>
              <w:rPr>
                <w:sz w:val="18"/>
                <w:szCs w:val="18"/>
              </w:rPr>
            </w:pPr>
            <w:r>
              <w:rPr>
                <w:rFonts w:ascii="Times New Roman" w:eastAsia="Times New Roman" w:hAnsi="Times New Roman" w:cs="Times New Roman"/>
                <w:color w:val="000000"/>
                <w:spacing w:val="0"/>
                <w:w w:val="100"/>
                <w:position w:val="0"/>
                <w:sz w:val="18"/>
                <w:szCs w:val="18"/>
              </w:rPr>
              <w:t>3,873,770,290.26</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资产总计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00" w:right="0" w:firstLine="0"/>
              <w:jc w:val="both"/>
              <w:rPr>
                <w:sz w:val="18"/>
                <w:szCs w:val="18"/>
              </w:rPr>
            </w:pPr>
            <w:r>
              <w:rPr>
                <w:rFonts w:ascii="Times New Roman" w:eastAsia="Times New Roman" w:hAnsi="Times New Roman" w:cs="Times New Roman"/>
                <w:color w:val="000000"/>
                <w:spacing w:val="0"/>
                <w:w w:val="100"/>
                <w:position w:val="0"/>
                <w:sz w:val="18"/>
                <w:szCs w:val="18"/>
              </w:rPr>
              <w:t>5,202,551,369.63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20" w:right="0" w:firstLine="0"/>
              <w:jc w:val="both"/>
              <w:rPr>
                <w:sz w:val="18"/>
                <w:szCs w:val="18"/>
              </w:rPr>
            </w:pPr>
            <w:r>
              <w:rPr>
                <w:rFonts w:ascii="Times New Roman" w:eastAsia="Times New Roman" w:hAnsi="Times New Roman" w:cs="Times New Roman"/>
                <w:color w:val="000000"/>
                <w:spacing w:val="0"/>
                <w:w w:val="100"/>
                <w:position w:val="0"/>
                <w:sz w:val="18"/>
                <w:szCs w:val="18"/>
              </w:rPr>
              <w:t>5,447,667,192.81</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流动负债：</w:t>
            </w:r>
          </w:p>
        </w:tc>
        <w:tc>
          <w:tcPr>
            <w:tcBorders>
              <w:top w:val="single" w:sz="4"/>
              <w:left w:val="single" w:sz="4"/>
            </w:tcBorders>
            <w:shd w:val="clear" w:color="auto" w:fill="D7D7D7"/>
            <w:vAlign w:val="top"/>
          </w:tcPr>
          <w:p>
            <w:pPr>
              <w:widowControl w:val="0"/>
              <w:rPr>
                <w:sz w:val="10"/>
                <w:szCs w:val="10"/>
              </w:rPr>
            </w:pPr>
          </w:p>
        </w:tc>
        <w:tc>
          <w:tcPr>
            <w:tcBorders>
              <w:top w:val="single" w:sz="4"/>
              <w:left w:val="single" w:sz="4"/>
              <w:right w:val="single" w:sz="4"/>
            </w:tcBorders>
            <w:shd w:val="clear" w:color="auto" w:fill="D7D7D7"/>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短期借款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305,995,730.29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703,900,158.38</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交易性金融负债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衍生金融负债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应付票据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35,412,228.02</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应付账款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200,396,522.72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149,536,207.76</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预收款项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20" w:right="0" w:firstLine="0"/>
              <w:jc w:val="both"/>
              <w:rPr>
                <w:sz w:val="18"/>
                <w:szCs w:val="18"/>
              </w:rPr>
            </w:pPr>
            <w:r>
              <w:rPr>
                <w:rFonts w:ascii="Times New Roman" w:eastAsia="Times New Roman" w:hAnsi="Times New Roman" w:cs="Times New Roman"/>
                <w:color w:val="000000"/>
                <w:spacing w:val="0"/>
                <w:w w:val="100"/>
                <w:position w:val="0"/>
                <w:sz w:val="18"/>
                <w:szCs w:val="18"/>
              </w:rPr>
              <w:t>1,528,197.94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88,481,731.26</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合同负债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155,367,310.97</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应付职工薪酬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both"/>
              <w:rPr>
                <w:sz w:val="18"/>
                <w:szCs w:val="18"/>
              </w:rPr>
            </w:pPr>
            <w:r>
              <w:rPr>
                <w:rFonts w:ascii="Times New Roman" w:eastAsia="Times New Roman" w:hAnsi="Times New Roman" w:cs="Times New Roman"/>
                <w:color w:val="000000"/>
                <w:spacing w:val="0"/>
                <w:w w:val="100"/>
                <w:position w:val="0"/>
                <w:sz w:val="18"/>
                <w:szCs w:val="18"/>
              </w:rPr>
              <w:t>81,552,088.59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59,360,852.17</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应交税费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both"/>
              <w:rPr>
                <w:sz w:val="18"/>
                <w:szCs w:val="18"/>
              </w:rPr>
            </w:pPr>
            <w:r>
              <w:rPr>
                <w:rFonts w:ascii="Times New Roman" w:eastAsia="Times New Roman" w:hAnsi="Times New Roman" w:cs="Times New Roman"/>
                <w:color w:val="000000"/>
                <w:spacing w:val="0"/>
                <w:w w:val="100"/>
                <w:position w:val="0"/>
                <w:sz w:val="18"/>
                <w:szCs w:val="18"/>
              </w:rPr>
              <w:t>12,497,624.56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12,185,178.98</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其他应付款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00" w:right="0" w:firstLine="0"/>
              <w:jc w:val="both"/>
              <w:rPr>
                <w:sz w:val="18"/>
                <w:szCs w:val="18"/>
              </w:rPr>
            </w:pPr>
            <w:r>
              <w:rPr>
                <w:rFonts w:ascii="Times New Roman" w:eastAsia="Times New Roman" w:hAnsi="Times New Roman" w:cs="Times New Roman"/>
                <w:color w:val="000000"/>
                <w:spacing w:val="0"/>
                <w:w w:val="100"/>
                <w:position w:val="0"/>
                <w:sz w:val="18"/>
                <w:szCs w:val="18"/>
              </w:rPr>
              <w:t>1,804,085,171.82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20" w:right="0" w:firstLine="0"/>
              <w:jc w:val="both"/>
              <w:rPr>
                <w:sz w:val="18"/>
                <w:szCs w:val="18"/>
              </w:rPr>
            </w:pPr>
            <w:r>
              <w:rPr>
                <w:rFonts w:ascii="Times New Roman" w:eastAsia="Times New Roman" w:hAnsi="Times New Roman" w:cs="Times New Roman"/>
                <w:color w:val="000000"/>
                <w:spacing w:val="0"/>
                <w:w w:val="100"/>
                <w:position w:val="0"/>
                <w:sz w:val="18"/>
                <w:szCs w:val="18"/>
              </w:rPr>
              <w:t>1,433,852,370.41</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560"/>
              <w:jc w:val="left"/>
            </w:pPr>
            <w:r>
              <w:rPr>
                <w:color w:val="000000"/>
                <w:spacing w:val="0"/>
                <w:w w:val="100"/>
                <w:position w:val="0"/>
              </w:rPr>
              <w:t>其中：应付利息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1100" w:right="0" w:firstLine="0"/>
              <w:jc w:val="left"/>
            </w:pPr>
            <w:r>
              <w:rPr>
                <w:color w:val="000000"/>
                <w:spacing w:val="0"/>
                <w:w w:val="100"/>
                <w:position w:val="0"/>
              </w:rPr>
              <w:t>应付股利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持有待售负债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一年内到期的非流动负债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30,053,900.00</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其他流动负债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流动负债合计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00" w:right="0" w:firstLine="0"/>
              <w:jc w:val="both"/>
              <w:rPr>
                <w:sz w:val="18"/>
                <w:szCs w:val="18"/>
              </w:rPr>
            </w:pPr>
            <w:r>
              <w:rPr>
                <w:rFonts w:ascii="Times New Roman" w:eastAsia="Times New Roman" w:hAnsi="Times New Roman" w:cs="Times New Roman"/>
                <w:color w:val="000000"/>
                <w:spacing w:val="0"/>
                <w:w w:val="100"/>
                <w:position w:val="0"/>
                <w:sz w:val="18"/>
                <w:szCs w:val="18"/>
              </w:rPr>
              <w:t>2,561,422,646.89</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20" w:right="0" w:firstLine="0"/>
              <w:jc w:val="both"/>
              <w:rPr>
                <w:sz w:val="18"/>
                <w:szCs w:val="18"/>
              </w:rPr>
            </w:pPr>
            <w:r>
              <w:rPr>
                <w:rFonts w:ascii="Times New Roman" w:eastAsia="Times New Roman" w:hAnsi="Times New Roman" w:cs="Times New Roman"/>
                <w:color w:val="000000"/>
                <w:spacing w:val="0"/>
                <w:w w:val="100"/>
                <w:position w:val="0"/>
                <w:sz w:val="18"/>
                <w:szCs w:val="18"/>
              </w:rPr>
              <w:t>2,512,782,626.98</w:t>
            </w:r>
          </w:p>
        </w:tc>
      </w:tr>
    </w:tbl>
    <w:p>
      <w:pPr>
        <w:widowControl w:val="0"/>
        <w:spacing w:line="1" w:lineRule="exact"/>
      </w:pPr>
      <w:r>
        <w:br w:type="page"/>
      </w:r>
    </w:p>
    <w:tbl>
      <w:tblPr>
        <w:tblOverlap w:val="never"/>
        <w:jc w:val="center"/>
        <w:tblLayout w:type="fixed"/>
      </w:tblPr>
      <w:tblGrid>
        <w:gridCol w:w="2971"/>
        <w:gridCol w:w="3302"/>
        <w:gridCol w:w="3307"/>
      </w:tblGrid>
      <w:tr>
        <w:trPr>
          <w:trHeight w:val="480"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非流动负债：</w:t>
            </w:r>
          </w:p>
        </w:tc>
        <w:tc>
          <w:tcPr>
            <w:tcBorders>
              <w:top w:val="single" w:sz="4"/>
              <w:left w:val="single" w:sz="4"/>
            </w:tcBorders>
            <w:shd w:val="clear" w:color="auto" w:fill="D7D7D7"/>
            <w:vAlign w:val="top"/>
          </w:tcPr>
          <w:p>
            <w:pPr>
              <w:widowControl w:val="0"/>
              <w:rPr>
                <w:sz w:val="10"/>
                <w:szCs w:val="10"/>
              </w:rPr>
            </w:pPr>
          </w:p>
        </w:tc>
        <w:tc>
          <w:tcPr>
            <w:tcBorders>
              <w:top w:val="single" w:sz="4"/>
              <w:left w:val="single" w:sz="4"/>
              <w:right w:val="single" w:sz="4"/>
            </w:tcBorders>
            <w:shd w:val="clear" w:color="auto" w:fill="D7D7D7"/>
            <w:vAlign w:val="top"/>
          </w:tcPr>
          <w:p>
            <w:pPr>
              <w:widowControl w:val="0"/>
              <w:rPr>
                <w:sz w:val="10"/>
                <w:szCs w:val="10"/>
              </w:rPr>
            </w:pP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长期借款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32,558,391.67</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应付债券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560"/>
              <w:jc w:val="left"/>
            </w:pPr>
            <w:r>
              <w:rPr>
                <w:color w:val="000000"/>
                <w:spacing w:val="0"/>
                <w:w w:val="100"/>
                <w:position w:val="0"/>
              </w:rPr>
              <w:t>其中：优先股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1100" w:right="0" w:firstLine="0"/>
              <w:jc w:val="left"/>
            </w:pPr>
            <w:r>
              <w:rPr>
                <w:color w:val="000000"/>
                <w:spacing w:val="0"/>
                <w:w w:val="100"/>
                <w:position w:val="0"/>
              </w:rPr>
              <w:t>永续债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租赁负债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长期应付款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长期应付职工薪酬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预计负债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both"/>
              <w:rPr>
                <w:sz w:val="18"/>
                <w:szCs w:val="18"/>
              </w:rPr>
            </w:pPr>
            <w:r>
              <w:rPr>
                <w:rFonts w:ascii="Times New Roman" w:eastAsia="Times New Roman" w:hAnsi="Times New Roman" w:cs="Times New Roman"/>
                <w:color w:val="000000"/>
                <w:spacing w:val="0"/>
                <w:w w:val="100"/>
                <w:position w:val="0"/>
                <w:sz w:val="18"/>
                <w:szCs w:val="18"/>
              </w:rPr>
              <w:t>10,667,401.89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11,026,135.70</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递延收益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102,752.40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111,569.35</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递延所得税负债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63,168.86</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其他非流动负债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非流动负债合计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both"/>
              <w:rPr>
                <w:sz w:val="18"/>
                <w:szCs w:val="18"/>
              </w:rPr>
            </w:pPr>
            <w:r>
              <w:rPr>
                <w:rFonts w:ascii="Times New Roman" w:eastAsia="Times New Roman" w:hAnsi="Times New Roman" w:cs="Times New Roman"/>
                <w:color w:val="000000"/>
                <w:spacing w:val="0"/>
                <w:w w:val="100"/>
                <w:position w:val="0"/>
                <w:sz w:val="18"/>
                <w:szCs w:val="18"/>
              </w:rPr>
              <w:t>10,833,323.15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43,696,096.72</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负债合计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00" w:right="0" w:firstLine="0"/>
              <w:jc w:val="both"/>
              <w:rPr>
                <w:sz w:val="18"/>
                <w:szCs w:val="18"/>
              </w:rPr>
            </w:pPr>
            <w:r>
              <w:rPr>
                <w:rFonts w:ascii="Times New Roman" w:eastAsia="Times New Roman" w:hAnsi="Times New Roman" w:cs="Times New Roman"/>
                <w:color w:val="000000"/>
                <w:spacing w:val="0"/>
                <w:w w:val="100"/>
                <w:position w:val="0"/>
                <w:sz w:val="18"/>
                <w:szCs w:val="18"/>
              </w:rPr>
              <w:t>2,572,255,970.04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20" w:right="0" w:firstLine="0"/>
              <w:jc w:val="both"/>
              <w:rPr>
                <w:sz w:val="18"/>
                <w:szCs w:val="18"/>
              </w:rPr>
            </w:pPr>
            <w:r>
              <w:rPr>
                <w:rFonts w:ascii="Times New Roman" w:eastAsia="Times New Roman" w:hAnsi="Times New Roman" w:cs="Times New Roman"/>
                <w:color w:val="000000"/>
                <w:spacing w:val="0"/>
                <w:w w:val="100"/>
                <w:position w:val="0"/>
                <w:sz w:val="18"/>
                <w:szCs w:val="18"/>
              </w:rPr>
              <w:t>2,556,478,723.70</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所有者权益：</w:t>
            </w:r>
          </w:p>
        </w:tc>
        <w:tc>
          <w:tcPr>
            <w:tcBorders>
              <w:top w:val="single" w:sz="4"/>
              <w:left w:val="single" w:sz="4"/>
            </w:tcBorders>
            <w:shd w:val="clear" w:color="auto" w:fill="D7D7D7"/>
            <w:vAlign w:val="top"/>
          </w:tcPr>
          <w:p>
            <w:pPr>
              <w:widowControl w:val="0"/>
              <w:rPr>
                <w:sz w:val="10"/>
                <w:szCs w:val="10"/>
              </w:rPr>
            </w:pPr>
          </w:p>
        </w:tc>
        <w:tc>
          <w:tcPr>
            <w:tcBorders>
              <w:top w:val="single" w:sz="4"/>
              <w:left w:val="single" w:sz="4"/>
              <w:right w:val="single" w:sz="4"/>
            </w:tcBorders>
            <w:shd w:val="clear" w:color="auto" w:fill="D7D7D7"/>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股本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00" w:right="0" w:firstLine="0"/>
              <w:jc w:val="both"/>
              <w:rPr>
                <w:sz w:val="18"/>
                <w:szCs w:val="18"/>
              </w:rPr>
            </w:pPr>
            <w:r>
              <w:rPr>
                <w:rFonts w:ascii="Times New Roman" w:eastAsia="Times New Roman" w:hAnsi="Times New Roman" w:cs="Times New Roman"/>
                <w:color w:val="000000"/>
                <w:spacing w:val="0"/>
                <w:w w:val="100"/>
                <w:position w:val="0"/>
                <w:sz w:val="18"/>
                <w:szCs w:val="18"/>
              </w:rPr>
              <w:t>1,961,091,984.00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20" w:right="0" w:firstLine="0"/>
              <w:jc w:val="both"/>
              <w:rPr>
                <w:sz w:val="18"/>
                <w:szCs w:val="18"/>
              </w:rPr>
            </w:pPr>
            <w:r>
              <w:rPr>
                <w:rFonts w:ascii="Times New Roman" w:eastAsia="Times New Roman" w:hAnsi="Times New Roman" w:cs="Times New Roman"/>
                <w:color w:val="000000"/>
                <w:spacing w:val="0"/>
                <w:w w:val="100"/>
                <w:position w:val="0"/>
                <w:sz w:val="18"/>
                <w:szCs w:val="18"/>
              </w:rPr>
              <w:t>1,961,091,984.00</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其他权益工具</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560"/>
              <w:jc w:val="left"/>
            </w:pPr>
            <w:r>
              <w:rPr>
                <w:color w:val="000000"/>
                <w:spacing w:val="0"/>
                <w:w w:val="100"/>
                <w:position w:val="0"/>
              </w:rPr>
              <w:t>其中：优先股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1100" w:right="0" w:firstLine="0"/>
              <w:jc w:val="left"/>
            </w:pPr>
            <w:r>
              <w:rPr>
                <w:color w:val="000000"/>
                <w:spacing w:val="0"/>
                <w:w w:val="100"/>
                <w:position w:val="0"/>
              </w:rPr>
              <w:t>永续债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资本公积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442,255,709.13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432,914,459.13</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减：库存股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100,973,450.64</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其他综合收益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-24,526,066.63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-24,272,545.63</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专项储备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盈余公积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239,696,322.69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239,696,322.69</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未分配利润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112,750,901.04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281,758,248.92</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所有者权益合计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00" w:right="0" w:firstLine="0"/>
              <w:jc w:val="both"/>
              <w:rPr>
                <w:sz w:val="18"/>
                <w:szCs w:val="18"/>
              </w:rPr>
            </w:pPr>
            <w:r>
              <w:rPr>
                <w:rFonts w:ascii="Times New Roman" w:eastAsia="Times New Roman" w:hAnsi="Times New Roman" w:cs="Times New Roman"/>
                <w:color w:val="000000"/>
                <w:spacing w:val="0"/>
                <w:w w:val="100"/>
                <w:position w:val="0"/>
                <w:sz w:val="18"/>
                <w:szCs w:val="18"/>
              </w:rPr>
              <w:t>2,630,295,399.59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20" w:right="0" w:firstLine="0"/>
              <w:jc w:val="both"/>
              <w:rPr>
                <w:sz w:val="18"/>
                <w:szCs w:val="18"/>
              </w:rPr>
            </w:pPr>
            <w:r>
              <w:rPr>
                <w:rFonts w:ascii="Times New Roman" w:eastAsia="Times New Roman" w:hAnsi="Times New Roman" w:cs="Times New Roman"/>
                <w:color w:val="000000"/>
                <w:spacing w:val="0"/>
                <w:w w:val="100"/>
                <w:position w:val="0"/>
                <w:sz w:val="18"/>
                <w:szCs w:val="18"/>
              </w:rPr>
              <w:t>2,891,188,469.11</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负债和所有者权益总计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00" w:right="0" w:firstLine="0"/>
              <w:jc w:val="both"/>
              <w:rPr>
                <w:sz w:val="18"/>
                <w:szCs w:val="18"/>
              </w:rPr>
            </w:pPr>
            <w:r>
              <w:rPr>
                <w:rFonts w:ascii="Times New Roman" w:eastAsia="Times New Roman" w:hAnsi="Times New Roman" w:cs="Times New Roman"/>
                <w:color w:val="000000"/>
                <w:spacing w:val="0"/>
                <w:w w:val="100"/>
                <w:position w:val="0"/>
                <w:sz w:val="18"/>
                <w:szCs w:val="18"/>
              </w:rPr>
              <w:t>5,202,551,369.63</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20" w:right="0" w:firstLine="0"/>
              <w:jc w:val="both"/>
              <w:rPr>
                <w:sz w:val="18"/>
                <w:szCs w:val="18"/>
              </w:rPr>
            </w:pPr>
            <w:r>
              <w:rPr>
                <w:rFonts w:ascii="Times New Roman" w:eastAsia="Times New Roman" w:hAnsi="Times New Roman" w:cs="Times New Roman"/>
                <w:color w:val="000000"/>
                <w:spacing w:val="0"/>
                <w:w w:val="100"/>
                <w:position w:val="0"/>
                <w:sz w:val="18"/>
                <w:szCs w:val="18"/>
              </w:rPr>
              <w:t>5,447,667,192.81</w:t>
            </w:r>
          </w:p>
        </w:tc>
      </w:tr>
    </w:tbl>
    <w:p>
      <w:pPr>
        <w:widowControl w:val="0"/>
        <w:spacing w:after="319" w:line="1" w:lineRule="exact"/>
      </w:pPr>
    </w:p>
    <w:p>
      <w:pPr>
        <w:pStyle w:val="Style47"/>
        <w:keepNext/>
        <w:keepLines/>
        <w:widowControl w:val="0"/>
        <w:shd w:val="clear" w:color="auto" w:fill="auto"/>
        <w:bidi w:val="0"/>
        <w:spacing w:before="0" w:after="420" w:line="240" w:lineRule="auto"/>
        <w:ind w:left="0" w:right="0" w:firstLine="0"/>
        <w:jc w:val="left"/>
      </w:pPr>
      <w:bookmarkStart w:id="806" w:name="bookmark806"/>
      <w:bookmarkStart w:id="807" w:name="bookmark807"/>
      <w:bookmarkStart w:id="808" w:name="bookmark808"/>
      <w:bookmarkStart w:id="809" w:name="bookmark809"/>
      <w:r>
        <w:rPr>
          <w:color w:val="000000"/>
          <w:spacing w:val="0"/>
          <w:w w:val="100"/>
          <w:position w:val="0"/>
        </w:rPr>
        <w:t>3</w:t>
      </w:r>
      <w:bookmarkEnd w:id="808"/>
      <w:r>
        <w:rPr>
          <w:color w:val="000000"/>
          <w:spacing w:val="0"/>
          <w:w w:val="100"/>
          <w:position w:val="0"/>
        </w:rPr>
        <w:t>、合并利润表</w:t>
      </w:r>
      <w:bookmarkEnd w:id="806"/>
      <w:bookmarkEnd w:id="807"/>
      <w:bookmarkEnd w:id="809"/>
    </w:p>
    <w:p>
      <w:pPr>
        <w:pStyle w:val="Style41"/>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3086"/>
        <w:gridCol w:w="3206"/>
        <w:gridCol w:w="3288"/>
      </w:tblGrid>
      <w:tr>
        <w:trPr>
          <w:trHeight w:val="40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年度</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2019</w:t>
            </w:r>
            <w:r>
              <w:rPr>
                <w:color w:val="000000"/>
                <w:spacing w:val="0"/>
                <w:w w:val="100"/>
                <w:position w:val="0"/>
              </w:rPr>
              <w:t>年度</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一、营业总收入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20" w:right="0" w:firstLine="0"/>
              <w:jc w:val="left"/>
              <w:rPr>
                <w:sz w:val="18"/>
                <w:szCs w:val="18"/>
              </w:rPr>
            </w:pPr>
            <w:r>
              <w:rPr>
                <w:rFonts w:ascii="Times New Roman" w:eastAsia="Times New Roman" w:hAnsi="Times New Roman" w:cs="Times New Roman"/>
                <w:color w:val="000000"/>
                <w:spacing w:val="0"/>
                <w:w w:val="100"/>
                <w:position w:val="0"/>
                <w:sz w:val="18"/>
                <w:szCs w:val="18"/>
              </w:rPr>
              <w:t>3,595,794,691.29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1,777,248,241.56</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其中：营业收入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20" w:right="0" w:firstLine="0"/>
              <w:jc w:val="left"/>
              <w:rPr>
                <w:sz w:val="18"/>
                <w:szCs w:val="18"/>
              </w:rPr>
            </w:pPr>
            <w:r>
              <w:rPr>
                <w:rFonts w:ascii="Times New Roman" w:eastAsia="Times New Roman" w:hAnsi="Times New Roman" w:cs="Times New Roman"/>
                <w:color w:val="000000"/>
                <w:spacing w:val="0"/>
                <w:w w:val="100"/>
                <w:position w:val="0"/>
                <w:sz w:val="18"/>
                <w:szCs w:val="18"/>
              </w:rPr>
              <w:t>3,595,794,691.29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1,777,248,241.56</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920"/>
              <w:jc w:val="left"/>
            </w:pPr>
            <w:r>
              <w:rPr>
                <w:color w:val="000000"/>
                <w:spacing w:val="0"/>
                <w:w w:val="100"/>
                <w:position w:val="0"/>
              </w:rPr>
              <w:t>利息收入</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pPr>
      <w:r>
        <w:br w:type="page"/>
      </w:r>
    </w:p>
    <w:tbl>
      <w:tblPr>
        <w:tblOverlap w:val="never"/>
        <w:jc w:val="center"/>
        <w:tblLayout w:type="fixed"/>
      </w:tblPr>
      <w:tblGrid>
        <w:gridCol w:w="3086"/>
        <w:gridCol w:w="3206"/>
        <w:gridCol w:w="3288"/>
      </w:tblGrid>
      <w:tr>
        <w:trPr>
          <w:trHeight w:val="480"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920"/>
              <w:jc w:val="left"/>
            </w:pPr>
            <w:r>
              <w:rPr>
                <w:color w:val="000000"/>
                <w:spacing w:val="0"/>
                <w:w w:val="100"/>
                <w:position w:val="0"/>
              </w:rPr>
              <w:t>已赚保费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920"/>
              <w:jc w:val="left"/>
            </w:pPr>
            <w:r>
              <w:rPr>
                <w:color w:val="000000"/>
                <w:spacing w:val="0"/>
                <w:w w:val="100"/>
                <w:position w:val="0"/>
              </w:rPr>
              <w:t>手续费及佣金收入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二、营业总成本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3,172,383,685.87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2,176,838,137.88</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both"/>
            </w:pPr>
            <w:r>
              <w:rPr>
                <w:color w:val="000000"/>
                <w:spacing w:val="0"/>
                <w:w w:val="100"/>
                <w:position w:val="0"/>
              </w:rPr>
              <w:t>其中：营业成本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1,429,557,937.32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622,059,363.56</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920"/>
              <w:jc w:val="left"/>
            </w:pPr>
            <w:r>
              <w:rPr>
                <w:color w:val="000000"/>
                <w:spacing w:val="0"/>
                <w:w w:val="100"/>
                <w:position w:val="0"/>
              </w:rPr>
              <w:t>利息支出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920"/>
              <w:jc w:val="left"/>
            </w:pPr>
            <w:r>
              <w:rPr>
                <w:color w:val="000000"/>
                <w:spacing w:val="0"/>
                <w:w w:val="100"/>
                <w:position w:val="0"/>
              </w:rPr>
              <w:t>手续费及佣金支出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920"/>
              <w:jc w:val="left"/>
            </w:pPr>
            <w:r>
              <w:rPr>
                <w:color w:val="000000"/>
                <w:spacing w:val="0"/>
                <w:w w:val="100"/>
                <w:position w:val="0"/>
              </w:rPr>
              <w:t>退保金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920"/>
              <w:jc w:val="left"/>
            </w:pPr>
            <w:r>
              <w:rPr>
                <w:color w:val="000000"/>
                <w:spacing w:val="0"/>
                <w:w w:val="100"/>
                <w:position w:val="0"/>
              </w:rPr>
              <w:t>赔付支出净额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firstLine="920"/>
              <w:jc w:val="left"/>
            </w:pPr>
            <w:r>
              <w:rPr>
                <w:color w:val="000000"/>
                <w:spacing w:val="0"/>
                <w:w w:val="100"/>
                <w:position w:val="0"/>
              </w:rPr>
              <w:t>提取保险责任合同准备金 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920"/>
              <w:jc w:val="left"/>
            </w:pPr>
            <w:r>
              <w:rPr>
                <w:color w:val="000000"/>
                <w:spacing w:val="0"/>
                <w:w w:val="100"/>
                <w:position w:val="0"/>
              </w:rPr>
              <w:t>保单红利支出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920"/>
              <w:jc w:val="left"/>
            </w:pPr>
            <w:r>
              <w:rPr>
                <w:color w:val="000000"/>
                <w:spacing w:val="0"/>
                <w:w w:val="100"/>
                <w:position w:val="0"/>
              </w:rPr>
              <w:t>分保费用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920"/>
              <w:jc w:val="left"/>
            </w:pPr>
            <w:r>
              <w:rPr>
                <w:color w:val="000000"/>
                <w:spacing w:val="0"/>
                <w:w w:val="100"/>
                <w:position w:val="0"/>
              </w:rPr>
              <w:t>税金及附加</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15,029,576.63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19,041,476.46</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920"/>
              <w:jc w:val="left"/>
            </w:pPr>
            <w:r>
              <w:rPr>
                <w:color w:val="000000"/>
                <w:spacing w:val="0"/>
                <w:w w:val="100"/>
                <w:position w:val="0"/>
              </w:rPr>
              <w:t>销售费用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both"/>
              <w:rPr>
                <w:sz w:val="18"/>
                <w:szCs w:val="18"/>
              </w:rPr>
            </w:pPr>
            <w:r>
              <w:rPr>
                <w:rFonts w:ascii="Times New Roman" w:eastAsia="Times New Roman" w:hAnsi="Times New Roman" w:cs="Times New Roman"/>
                <w:color w:val="000000"/>
                <w:spacing w:val="0"/>
                <w:w w:val="100"/>
                <w:position w:val="0"/>
                <w:sz w:val="18"/>
                <w:szCs w:val="18"/>
              </w:rPr>
              <w:t>947,091,513.53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600,446,792.59</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920"/>
              <w:jc w:val="left"/>
            </w:pPr>
            <w:r>
              <w:rPr>
                <w:color w:val="000000"/>
                <w:spacing w:val="0"/>
                <w:w w:val="100"/>
                <w:position w:val="0"/>
              </w:rPr>
              <w:t>管理费用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both"/>
              <w:rPr>
                <w:sz w:val="18"/>
                <w:szCs w:val="18"/>
              </w:rPr>
            </w:pPr>
            <w:r>
              <w:rPr>
                <w:rFonts w:ascii="Times New Roman" w:eastAsia="Times New Roman" w:hAnsi="Times New Roman" w:cs="Times New Roman"/>
                <w:color w:val="000000"/>
                <w:spacing w:val="0"/>
                <w:w w:val="100"/>
                <w:position w:val="0"/>
                <w:sz w:val="18"/>
                <w:szCs w:val="18"/>
              </w:rPr>
              <w:t>520,715,509.16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667,472,127.11</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920"/>
              <w:jc w:val="left"/>
            </w:pPr>
            <w:r>
              <w:rPr>
                <w:color w:val="000000"/>
                <w:spacing w:val="0"/>
                <w:w w:val="100"/>
                <w:position w:val="0"/>
              </w:rPr>
              <w:t>研发费用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both"/>
              <w:rPr>
                <w:sz w:val="18"/>
                <w:szCs w:val="18"/>
              </w:rPr>
            </w:pPr>
            <w:r>
              <w:rPr>
                <w:rFonts w:ascii="Times New Roman" w:eastAsia="Times New Roman" w:hAnsi="Times New Roman" w:cs="Times New Roman"/>
                <w:color w:val="000000"/>
                <w:spacing w:val="0"/>
                <w:w w:val="100"/>
                <w:position w:val="0"/>
                <w:sz w:val="18"/>
                <w:szCs w:val="18"/>
              </w:rPr>
              <w:t>212,656,088.54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231,566,626.54</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920"/>
              <w:jc w:val="left"/>
            </w:pPr>
            <w:r>
              <w:rPr>
                <w:color w:val="000000"/>
                <w:spacing w:val="0"/>
                <w:w w:val="100"/>
                <w:position w:val="0"/>
              </w:rPr>
              <w:t>财务费用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47,333,060.69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36,251,751.62</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1100" w:right="0" w:firstLine="0"/>
              <w:jc w:val="left"/>
            </w:pPr>
            <w:r>
              <w:rPr>
                <w:color w:val="000000"/>
                <w:spacing w:val="0"/>
                <w:w w:val="100"/>
                <w:position w:val="0"/>
              </w:rPr>
              <w:t>其中：利息费用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40,499,436.39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42,690,085.52</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1640" w:right="0" w:firstLine="0"/>
              <w:jc w:val="left"/>
            </w:pPr>
            <w:r>
              <w:rPr>
                <w:color w:val="000000"/>
                <w:spacing w:val="0"/>
                <w:w w:val="100"/>
                <w:position w:val="0"/>
              </w:rPr>
              <w:t>利息收入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8,447,419.38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4,033,755.21</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加：其他收益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24,383,297.23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19,772,697.17</w:t>
            </w: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firstLine="740"/>
              <w:jc w:val="left"/>
            </w:pPr>
            <w:r>
              <w:rPr>
                <w:color w:val="000000"/>
                <w:spacing w:val="0"/>
                <w:w w:val="100"/>
                <w:position w:val="0"/>
              </w:rPr>
              <w:t>投资收益（损失以</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一</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号填 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11,627,289.81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7,432,791.07</w:t>
            </w: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firstLine="740"/>
              <w:jc w:val="left"/>
            </w:pPr>
            <w:r>
              <w:rPr>
                <w:color w:val="000000"/>
                <w:spacing w:val="0"/>
                <w:w w:val="100"/>
                <w:position w:val="0"/>
              </w:rPr>
              <w:t>其中：对联营企业和合营企业 的投资收益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-35,173,258.69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4,370,707.89</w:t>
            </w:r>
          </w:p>
        </w:tc>
      </w:tr>
      <w:tr>
        <w:trPr>
          <w:trHeight w:val="710"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100" w:line="240" w:lineRule="auto"/>
              <w:ind w:left="1100" w:right="0" w:firstLine="0"/>
              <w:jc w:val="left"/>
            </w:pPr>
            <w:r>
              <w:rPr>
                <w:color w:val="000000"/>
                <w:spacing w:val="0"/>
                <w:w w:val="100"/>
                <w:position w:val="0"/>
              </w:rPr>
              <w:t>以摊余成本计量的金融</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资产终止确认收益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740"/>
              <w:jc w:val="both"/>
            </w:pPr>
            <w:r>
              <w:rPr>
                <w:color w:val="000000"/>
                <w:spacing w:val="0"/>
                <w:w w:val="100"/>
                <w:position w:val="0"/>
              </w:rPr>
              <w:t>汇兑收益（损失以号填列）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firstLine="740"/>
              <w:jc w:val="both"/>
            </w:pPr>
            <w:r>
              <w:rPr>
                <w:color w:val="000000"/>
                <w:spacing w:val="0"/>
                <w:w w:val="100"/>
                <w:position w:val="0"/>
              </w:rPr>
              <w:t>净敞口套期收益（损失以</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一</w:t>
            </w:r>
            <w:r>
              <w:rPr>
                <w:rFonts w:ascii="Times New Roman" w:eastAsia="Times New Roman" w:hAnsi="Times New Roman" w:cs="Times New Roman"/>
                <w:color w:val="000000"/>
                <w:spacing w:val="0"/>
                <w:w w:val="100"/>
                <w:position w:val="0"/>
                <w:sz w:val="18"/>
                <w:szCs w:val="18"/>
              </w:rPr>
              <w:t xml:space="preserve">” </w:t>
            </w:r>
            <w:r>
              <w:rPr>
                <w:color w:val="000000"/>
                <w:spacing w:val="0"/>
                <w:w w:val="100"/>
                <w:position w:val="0"/>
              </w:rPr>
              <w:t>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69" w:lineRule="exact"/>
              <w:ind w:left="0" w:right="0" w:firstLine="740"/>
              <w:jc w:val="both"/>
            </w:pPr>
            <w:r>
              <w:rPr>
                <w:color w:val="000000"/>
                <w:spacing w:val="0"/>
                <w:w w:val="100"/>
                <w:position w:val="0"/>
              </w:rPr>
              <w:t xml:space="preserve">公允价值变动收益（损失以 </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―，，号填列）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9,510,168.35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both"/>
              <w:rPr>
                <w:sz w:val="18"/>
                <w:szCs w:val="18"/>
              </w:rPr>
            </w:pPr>
            <w:r>
              <w:rPr>
                <w:rFonts w:ascii="Times New Roman" w:eastAsia="Times New Roman" w:hAnsi="Times New Roman" w:cs="Times New Roman"/>
                <w:color w:val="000000"/>
                <w:spacing w:val="0"/>
                <w:w w:val="100"/>
                <w:position w:val="0"/>
                <w:sz w:val="18"/>
                <w:szCs w:val="18"/>
              </w:rPr>
              <w:t>-135,892,059.21</w:t>
            </w:r>
          </w:p>
        </w:tc>
      </w:tr>
      <w:tr>
        <w:trPr>
          <w:trHeight w:val="710"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firstLine="740"/>
              <w:jc w:val="both"/>
            </w:pPr>
            <w:r>
              <w:rPr>
                <w:color w:val="000000"/>
                <w:spacing w:val="0"/>
                <w:w w:val="100"/>
                <w:position w:val="0"/>
              </w:rPr>
              <w:t>信用减值损失（损失以号填 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-44,560,205.70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both"/>
              <w:rPr>
                <w:sz w:val="18"/>
                <w:szCs w:val="18"/>
              </w:rPr>
            </w:pPr>
            <w:r>
              <w:rPr>
                <w:rFonts w:ascii="Times New Roman" w:eastAsia="Times New Roman" w:hAnsi="Times New Roman" w:cs="Times New Roman"/>
                <w:color w:val="000000"/>
                <w:spacing w:val="0"/>
                <w:w w:val="100"/>
                <w:position w:val="0"/>
                <w:sz w:val="18"/>
                <w:szCs w:val="18"/>
              </w:rPr>
              <w:t>-346,378,153.90</w:t>
            </w: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firstLine="740"/>
              <w:jc w:val="both"/>
            </w:pPr>
            <w:r>
              <w:rPr>
                <w:color w:val="000000"/>
                <w:spacing w:val="0"/>
                <w:w w:val="100"/>
                <w:position w:val="0"/>
              </w:rPr>
              <w:t>资产减值损失（损失以号填 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-2,024,656.42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both"/>
              <w:rPr>
                <w:sz w:val="18"/>
                <w:szCs w:val="18"/>
              </w:rPr>
            </w:pPr>
            <w:r>
              <w:rPr>
                <w:rFonts w:ascii="Times New Roman" w:eastAsia="Times New Roman" w:hAnsi="Times New Roman" w:cs="Times New Roman"/>
                <w:color w:val="000000"/>
                <w:spacing w:val="0"/>
                <w:w w:val="100"/>
                <w:position w:val="0"/>
                <w:sz w:val="18"/>
                <w:szCs w:val="18"/>
              </w:rPr>
              <w:t>-601,509,986.85</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740"/>
              <w:jc w:val="both"/>
            </w:pPr>
            <w:r>
              <w:rPr>
                <w:color w:val="000000"/>
                <w:spacing w:val="0"/>
                <w:w w:val="100"/>
                <w:position w:val="0"/>
              </w:rPr>
              <w:t>资产处置收益（损失以号填</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27,099.18</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87,739.53</w:t>
            </w:r>
          </w:p>
        </w:tc>
      </w:tr>
    </w:tbl>
    <w:p>
      <w:pPr>
        <w:widowControl w:val="0"/>
        <w:spacing w:line="1" w:lineRule="exact"/>
      </w:pPr>
      <w:r>
        <w:br w:type="page"/>
      </w:r>
    </w:p>
    <w:tbl>
      <w:tblPr>
        <w:tblOverlap w:val="never"/>
        <w:jc w:val="center"/>
        <w:tblLayout w:type="fixed"/>
      </w:tblPr>
      <w:tblGrid>
        <w:gridCol w:w="3082"/>
        <w:gridCol w:w="3211"/>
        <w:gridCol w:w="3288"/>
      </w:tblGrid>
      <w:tr>
        <w:trPr>
          <w:trHeight w:val="437"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三、营业利润（亏损以</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一</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号填列）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both"/>
              <w:rPr>
                <w:sz w:val="18"/>
                <w:szCs w:val="18"/>
              </w:rPr>
            </w:pPr>
            <w:r>
              <w:rPr>
                <w:rFonts w:ascii="Times New Roman" w:eastAsia="Times New Roman" w:hAnsi="Times New Roman" w:cs="Times New Roman"/>
                <w:color w:val="000000"/>
                <w:spacing w:val="0"/>
                <w:w w:val="100"/>
                <w:position w:val="0"/>
                <w:sz w:val="18"/>
                <w:szCs w:val="18"/>
              </w:rPr>
              <w:t>422,373,997.87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20" w:right="0" w:firstLine="0"/>
              <w:jc w:val="both"/>
              <w:rPr>
                <w:sz w:val="18"/>
                <w:szCs w:val="18"/>
              </w:rPr>
            </w:pPr>
            <w:r>
              <w:rPr>
                <w:rFonts w:ascii="Times New Roman" w:eastAsia="Times New Roman" w:hAnsi="Times New Roman" w:cs="Times New Roman"/>
                <w:color w:val="000000"/>
                <w:spacing w:val="0"/>
                <w:w w:val="100"/>
                <w:position w:val="0"/>
                <w:sz w:val="18"/>
                <w:szCs w:val="18"/>
              </w:rPr>
              <w:t>-1,456,076,868.51</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360"/>
              <w:jc w:val="both"/>
            </w:pPr>
            <w:r>
              <w:rPr>
                <w:color w:val="000000"/>
                <w:spacing w:val="0"/>
                <w:w w:val="100"/>
                <w:position w:val="0"/>
              </w:rPr>
              <w:t>加：营业外收入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343,297.29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251,714.41</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360"/>
              <w:jc w:val="both"/>
            </w:pPr>
            <w:r>
              <w:rPr>
                <w:color w:val="000000"/>
                <w:spacing w:val="0"/>
                <w:w w:val="100"/>
                <w:position w:val="0"/>
              </w:rPr>
              <w:t>减：营业外支出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10,316,023.55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2,930,109.67</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四、利润总额（亏损总额以</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一</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号填列）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both"/>
              <w:rPr>
                <w:sz w:val="18"/>
                <w:szCs w:val="18"/>
              </w:rPr>
            </w:pPr>
            <w:r>
              <w:rPr>
                <w:rFonts w:ascii="Times New Roman" w:eastAsia="Times New Roman" w:hAnsi="Times New Roman" w:cs="Times New Roman"/>
                <w:color w:val="000000"/>
                <w:spacing w:val="0"/>
                <w:w w:val="100"/>
                <w:position w:val="0"/>
                <w:sz w:val="18"/>
                <w:szCs w:val="18"/>
              </w:rPr>
              <w:t>412,401,271.61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20" w:right="0" w:firstLine="0"/>
              <w:jc w:val="both"/>
              <w:rPr>
                <w:sz w:val="18"/>
                <w:szCs w:val="18"/>
              </w:rPr>
            </w:pPr>
            <w:r>
              <w:rPr>
                <w:rFonts w:ascii="Times New Roman" w:eastAsia="Times New Roman" w:hAnsi="Times New Roman" w:cs="Times New Roman"/>
                <w:color w:val="000000"/>
                <w:spacing w:val="0"/>
                <w:w w:val="100"/>
                <w:position w:val="0"/>
                <w:sz w:val="18"/>
                <w:szCs w:val="18"/>
              </w:rPr>
              <w:t>-1,458,755,263.77</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360"/>
              <w:jc w:val="both"/>
            </w:pPr>
            <w:r>
              <w:rPr>
                <w:color w:val="000000"/>
                <w:spacing w:val="0"/>
                <w:w w:val="100"/>
                <w:position w:val="0"/>
              </w:rPr>
              <w:t>减：所得税费用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85,053,835.75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10,724,094.63</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五、净利润（净亏损以</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一</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号填列）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both"/>
              <w:rPr>
                <w:sz w:val="18"/>
                <w:szCs w:val="18"/>
              </w:rPr>
            </w:pPr>
            <w:r>
              <w:rPr>
                <w:rFonts w:ascii="Times New Roman" w:eastAsia="Times New Roman" w:hAnsi="Times New Roman" w:cs="Times New Roman"/>
                <w:color w:val="000000"/>
                <w:spacing w:val="0"/>
                <w:w w:val="100"/>
                <w:position w:val="0"/>
                <w:sz w:val="18"/>
                <w:szCs w:val="18"/>
              </w:rPr>
              <w:t>327,347,435.86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20" w:right="0" w:firstLine="0"/>
              <w:jc w:val="both"/>
              <w:rPr>
                <w:sz w:val="18"/>
                <w:szCs w:val="18"/>
              </w:rPr>
            </w:pPr>
            <w:r>
              <w:rPr>
                <w:rFonts w:ascii="Times New Roman" w:eastAsia="Times New Roman" w:hAnsi="Times New Roman" w:cs="Times New Roman"/>
                <w:color w:val="000000"/>
                <w:spacing w:val="0"/>
                <w:w w:val="100"/>
                <w:position w:val="0"/>
                <w:sz w:val="18"/>
                <w:szCs w:val="18"/>
              </w:rPr>
              <w:t>-1,469,479,358.40</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200"/>
              <w:jc w:val="both"/>
            </w:pPr>
            <w:r>
              <w:rPr>
                <w:color w:val="000000"/>
                <w:spacing w:val="0"/>
                <w:w w:val="100"/>
                <w:position w:val="0"/>
              </w:rPr>
              <w:t>（一）按经营持续性分类</w:t>
            </w:r>
          </w:p>
        </w:tc>
        <w:tc>
          <w:tcPr>
            <w:tcBorders>
              <w:top w:val="single" w:sz="4"/>
              <w:left w:val="single" w:sz="4"/>
            </w:tcBorders>
            <w:shd w:val="clear" w:color="auto" w:fill="D7D7D7"/>
            <w:vAlign w:val="top"/>
          </w:tcPr>
          <w:p>
            <w:pPr>
              <w:widowControl w:val="0"/>
              <w:rPr>
                <w:sz w:val="10"/>
                <w:szCs w:val="10"/>
              </w:rPr>
            </w:pPr>
          </w:p>
        </w:tc>
        <w:tc>
          <w:tcPr>
            <w:tcBorders>
              <w:top w:val="single" w:sz="4"/>
              <w:left w:val="single" w:sz="4"/>
              <w:right w:val="single" w:sz="4"/>
            </w:tcBorders>
            <w:shd w:val="clear" w:color="auto" w:fill="D7D7D7"/>
            <w:vAlign w:val="top"/>
          </w:tcPr>
          <w:p>
            <w:pPr>
              <w:widowControl w:val="0"/>
              <w:rPr>
                <w:sz w:val="10"/>
                <w:szCs w:val="10"/>
              </w:rPr>
            </w:pPr>
          </w:p>
        </w:tc>
      </w:tr>
      <w:tr>
        <w:trPr>
          <w:trHeight w:val="710"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jc w:val="both"/>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持续经营净利润（净亏损以</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一</w:t>
            </w:r>
            <w:r>
              <w:rPr>
                <w:rFonts w:ascii="Times New Roman" w:eastAsia="Times New Roman" w:hAnsi="Times New Roman" w:cs="Times New Roman"/>
                <w:color w:val="000000"/>
                <w:spacing w:val="0"/>
                <w:w w:val="100"/>
                <w:position w:val="0"/>
                <w:sz w:val="18"/>
                <w:szCs w:val="18"/>
              </w:rPr>
              <w:t xml:space="preserve">” </w:t>
            </w:r>
            <w:r>
              <w:rPr>
                <w:color w:val="000000"/>
                <w:spacing w:val="0"/>
                <w:w w:val="100"/>
                <w:position w:val="0"/>
              </w:rPr>
              <w:t>号填列）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both"/>
              <w:rPr>
                <w:sz w:val="18"/>
                <w:szCs w:val="18"/>
              </w:rPr>
            </w:pPr>
            <w:r>
              <w:rPr>
                <w:rFonts w:ascii="Times New Roman" w:eastAsia="Times New Roman" w:hAnsi="Times New Roman" w:cs="Times New Roman"/>
                <w:color w:val="000000"/>
                <w:spacing w:val="0"/>
                <w:w w:val="100"/>
                <w:position w:val="0"/>
                <w:sz w:val="18"/>
                <w:szCs w:val="18"/>
              </w:rPr>
              <w:t>327,347,435.86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20" w:right="0" w:firstLine="0"/>
              <w:jc w:val="both"/>
              <w:rPr>
                <w:sz w:val="18"/>
                <w:szCs w:val="18"/>
              </w:rPr>
            </w:pPr>
            <w:r>
              <w:rPr>
                <w:rFonts w:ascii="Times New Roman" w:eastAsia="Times New Roman" w:hAnsi="Times New Roman" w:cs="Times New Roman"/>
                <w:color w:val="000000"/>
                <w:spacing w:val="0"/>
                <w:w w:val="100"/>
                <w:position w:val="0"/>
                <w:sz w:val="18"/>
                <w:szCs w:val="18"/>
              </w:rPr>
              <w:t>-1,469,479,358.40</w:t>
            </w: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31" w:lineRule="exact"/>
              <w:ind w:left="0" w:right="0"/>
              <w:jc w:val="both"/>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终止经营净利润（净亏损以</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一</w:t>
            </w:r>
            <w:r>
              <w:rPr>
                <w:rFonts w:ascii="Times New Roman" w:eastAsia="Times New Roman" w:hAnsi="Times New Roman" w:cs="Times New Roman"/>
                <w:color w:val="000000"/>
                <w:spacing w:val="0"/>
                <w:w w:val="100"/>
                <w:position w:val="0"/>
                <w:sz w:val="18"/>
                <w:szCs w:val="18"/>
              </w:rPr>
              <w:t xml:space="preserve">” </w:t>
            </w:r>
            <w:r>
              <w:rPr>
                <w:color w:val="000000"/>
                <w:spacing w:val="0"/>
                <w:w w:val="100"/>
                <w:position w:val="0"/>
              </w:rPr>
              <w:t>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200"/>
              <w:jc w:val="both"/>
            </w:pPr>
            <w:r>
              <w:rPr>
                <w:color w:val="000000"/>
                <w:spacing w:val="0"/>
                <w:w w:val="100"/>
                <w:position w:val="0"/>
              </w:rPr>
              <w:t>（二）按所有权归属分类</w:t>
            </w:r>
          </w:p>
        </w:tc>
        <w:tc>
          <w:tcPr>
            <w:tcBorders>
              <w:top w:val="single" w:sz="4"/>
              <w:left w:val="single" w:sz="4"/>
            </w:tcBorders>
            <w:shd w:val="clear" w:color="auto" w:fill="D7D7D7"/>
            <w:vAlign w:val="top"/>
          </w:tcPr>
          <w:p>
            <w:pPr>
              <w:widowControl w:val="0"/>
              <w:rPr>
                <w:sz w:val="10"/>
                <w:szCs w:val="10"/>
              </w:rPr>
            </w:pPr>
          </w:p>
        </w:tc>
        <w:tc>
          <w:tcPr>
            <w:tcBorders>
              <w:top w:val="single" w:sz="4"/>
              <w:left w:val="single" w:sz="4"/>
              <w:right w:val="single" w:sz="4"/>
            </w:tcBorders>
            <w:shd w:val="clear" w:color="auto" w:fill="D7D7D7"/>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归属于母公司股东的净利润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both"/>
              <w:rPr>
                <w:sz w:val="18"/>
                <w:szCs w:val="18"/>
              </w:rPr>
            </w:pPr>
            <w:r>
              <w:rPr>
                <w:rFonts w:ascii="Times New Roman" w:eastAsia="Times New Roman" w:hAnsi="Times New Roman" w:cs="Times New Roman"/>
                <w:color w:val="000000"/>
                <w:spacing w:val="0"/>
                <w:w w:val="100"/>
                <w:position w:val="0"/>
                <w:sz w:val="18"/>
                <w:szCs w:val="18"/>
              </w:rPr>
              <w:t>351,152,491.85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20" w:right="0" w:firstLine="0"/>
              <w:jc w:val="both"/>
              <w:rPr>
                <w:sz w:val="18"/>
                <w:szCs w:val="18"/>
              </w:rPr>
            </w:pPr>
            <w:r>
              <w:rPr>
                <w:rFonts w:ascii="Times New Roman" w:eastAsia="Times New Roman" w:hAnsi="Times New Roman" w:cs="Times New Roman"/>
                <w:color w:val="000000"/>
                <w:spacing w:val="0"/>
                <w:w w:val="100"/>
                <w:position w:val="0"/>
                <w:sz w:val="18"/>
                <w:szCs w:val="18"/>
              </w:rPr>
              <w:t>-1,474,177,938.37</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少数股东损益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both"/>
              <w:rPr>
                <w:sz w:val="18"/>
                <w:szCs w:val="18"/>
              </w:rPr>
            </w:pPr>
            <w:r>
              <w:rPr>
                <w:rFonts w:ascii="Times New Roman" w:eastAsia="Times New Roman" w:hAnsi="Times New Roman" w:cs="Times New Roman"/>
                <w:color w:val="000000"/>
                <w:spacing w:val="0"/>
                <w:w w:val="100"/>
                <w:position w:val="0"/>
                <w:sz w:val="18"/>
                <w:szCs w:val="18"/>
              </w:rPr>
              <w:t>-23,805,055.99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4,698,579.97</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六、其他综合收益的税后净额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both"/>
              <w:rPr>
                <w:sz w:val="18"/>
                <w:szCs w:val="18"/>
              </w:rPr>
            </w:pPr>
            <w:r>
              <w:rPr>
                <w:rFonts w:ascii="Times New Roman" w:eastAsia="Times New Roman" w:hAnsi="Times New Roman" w:cs="Times New Roman"/>
                <w:color w:val="000000"/>
                <w:spacing w:val="0"/>
                <w:w w:val="100"/>
                <w:position w:val="0"/>
                <w:sz w:val="18"/>
                <w:szCs w:val="18"/>
              </w:rPr>
              <w:t>-11,114,795.32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5,905,675.50</w:t>
            </w: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22" w:lineRule="exact"/>
              <w:ind w:left="0" w:right="0" w:firstLine="200"/>
              <w:jc w:val="left"/>
            </w:pPr>
            <w:r>
              <w:rPr>
                <w:color w:val="000000"/>
                <w:spacing w:val="0"/>
                <w:w w:val="100"/>
                <w:position w:val="0"/>
              </w:rPr>
              <w:t>归属母公司所有者的其他综合收益 的税后净额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both"/>
              <w:rPr>
                <w:sz w:val="18"/>
                <w:szCs w:val="18"/>
              </w:rPr>
            </w:pPr>
            <w:r>
              <w:rPr>
                <w:rFonts w:ascii="Times New Roman" w:eastAsia="Times New Roman" w:hAnsi="Times New Roman" w:cs="Times New Roman"/>
                <w:color w:val="000000"/>
                <w:spacing w:val="0"/>
                <w:w w:val="100"/>
                <w:position w:val="0"/>
                <w:sz w:val="18"/>
                <w:szCs w:val="18"/>
              </w:rPr>
              <w:t>-11,468,618.39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6,163,264.49</w:t>
            </w: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jc w:val="both"/>
            </w:pPr>
            <w:r>
              <w:rPr>
                <w:color w:val="000000"/>
                <w:spacing w:val="0"/>
                <w:w w:val="100"/>
                <w:position w:val="0"/>
              </w:rPr>
              <w:t>（一）不能重分类进损益的其他综 合收益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-253,521.00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-1,919,342.15</w:t>
            </w:r>
          </w:p>
        </w:tc>
      </w:tr>
      <w:tr>
        <w:trPr>
          <w:trHeight w:val="710"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firstLine="920"/>
              <w:jc w:val="both"/>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重新计量设定受益计划变 动额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31" w:lineRule="exact"/>
              <w:ind w:left="0" w:right="0" w:firstLine="920"/>
              <w:jc w:val="both"/>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权益法下不能转损益的其 他综合收益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26" w:lineRule="exact"/>
              <w:ind w:left="0" w:right="0" w:firstLine="920"/>
              <w:jc w:val="both"/>
            </w:pPr>
            <w:r>
              <w:rPr>
                <w:rFonts w:ascii="Times New Roman" w:eastAsia="Times New Roman" w:hAnsi="Times New Roman" w:cs="Times New Roman"/>
                <w:color w:val="000000"/>
                <w:spacing w:val="0"/>
                <w:w w:val="100"/>
                <w:position w:val="0"/>
                <w:sz w:val="18"/>
                <w:szCs w:val="18"/>
              </w:rPr>
              <w:t>3.</w:t>
            </w:r>
            <w:r>
              <w:rPr>
                <w:color w:val="000000"/>
                <w:spacing w:val="0"/>
                <w:w w:val="100"/>
                <w:position w:val="0"/>
              </w:rPr>
              <w:t>其他权益工具投资公允价 值变动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-253,521.00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-1,919,342.15</w:t>
            </w: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26" w:lineRule="exact"/>
              <w:ind w:left="0" w:right="0" w:firstLine="920"/>
              <w:jc w:val="both"/>
            </w:pPr>
            <w:r>
              <w:rPr>
                <w:rFonts w:ascii="Times New Roman" w:eastAsia="Times New Roman" w:hAnsi="Times New Roman" w:cs="Times New Roman"/>
                <w:color w:val="000000"/>
                <w:spacing w:val="0"/>
                <w:w w:val="100"/>
                <w:position w:val="0"/>
                <w:sz w:val="18"/>
                <w:szCs w:val="18"/>
              </w:rPr>
              <w:t>4.</w:t>
            </w:r>
            <w:r>
              <w:rPr>
                <w:color w:val="000000"/>
                <w:spacing w:val="0"/>
                <w:w w:val="100"/>
                <w:position w:val="0"/>
              </w:rPr>
              <w:t>企业自身信用风险公允价 值变动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920"/>
              <w:jc w:val="both"/>
            </w:pPr>
            <w:r>
              <w:rPr>
                <w:rFonts w:ascii="Times New Roman" w:eastAsia="Times New Roman" w:hAnsi="Times New Roman" w:cs="Times New Roman"/>
                <w:color w:val="000000"/>
                <w:spacing w:val="0"/>
                <w:w w:val="100"/>
                <w:position w:val="0"/>
                <w:sz w:val="18"/>
                <w:szCs w:val="18"/>
              </w:rPr>
              <w:t>5.</w:t>
            </w: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jc w:val="both"/>
            </w:pPr>
            <w:r>
              <w:rPr>
                <w:color w:val="000000"/>
                <w:spacing w:val="0"/>
                <w:w w:val="100"/>
                <w:position w:val="0"/>
              </w:rPr>
              <w:t>（二）将重分类进损益的其他综合 收益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both"/>
              <w:rPr>
                <w:sz w:val="18"/>
                <w:szCs w:val="18"/>
              </w:rPr>
            </w:pPr>
            <w:r>
              <w:rPr>
                <w:rFonts w:ascii="Times New Roman" w:eastAsia="Times New Roman" w:hAnsi="Times New Roman" w:cs="Times New Roman"/>
                <w:color w:val="000000"/>
                <w:spacing w:val="0"/>
                <w:w w:val="100"/>
                <w:position w:val="0"/>
                <w:sz w:val="18"/>
                <w:szCs w:val="18"/>
              </w:rPr>
              <w:t>-11,215,097.39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8,082,606.64</w:t>
            </w: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22" w:lineRule="exact"/>
              <w:ind w:left="0" w:right="0" w:firstLine="920"/>
              <w:jc w:val="both"/>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权益法下可转损益的其他 综合收益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7,011,750.22</w:t>
            </w: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31" w:lineRule="exact"/>
              <w:ind w:left="0" w:right="0" w:firstLine="920"/>
              <w:jc w:val="both"/>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其他债权投资公允价值变 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20"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firstLine="920"/>
              <w:jc w:val="both"/>
            </w:pPr>
            <w:r>
              <w:rPr>
                <w:rFonts w:ascii="Times New Roman" w:eastAsia="Times New Roman" w:hAnsi="Times New Roman" w:cs="Times New Roman"/>
                <w:color w:val="000000"/>
                <w:spacing w:val="0"/>
                <w:w w:val="100"/>
                <w:position w:val="0"/>
                <w:sz w:val="18"/>
                <w:szCs w:val="18"/>
              </w:rPr>
              <w:t>3.</w:t>
            </w:r>
            <w:r>
              <w:rPr>
                <w:color w:val="000000"/>
                <w:spacing w:val="0"/>
                <w:w w:val="100"/>
                <w:position w:val="0"/>
              </w:rPr>
              <w:t>金融资产重分类计入其他 综合收益的金额</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sectPr>
          <w:headerReference w:type="default" r:id="rId273"/>
          <w:footerReference w:type="default" r:id="rId274"/>
          <w:headerReference w:type="even" r:id="rId275"/>
          <w:footerReference w:type="even" r:id="rId276"/>
          <w:footnotePr>
            <w:pos w:val="pageBottom"/>
            <w:numFmt w:val="decimal"/>
            <w:numRestart w:val="continuous"/>
          </w:footnotePr>
          <w:pgSz w:w="11904" w:h="17375"/>
          <w:pgMar w:top="1675" w:right="1077" w:bottom="1664" w:left="1040" w:header="0" w:footer="3" w:gutter="0"/>
          <w:cols w:space="720"/>
          <w:noEndnote/>
          <w:rtlGutter w:val="0"/>
          <w:docGrid w:linePitch="360"/>
        </w:sectPr>
      </w:pPr>
    </w:p>
    <w:tbl>
      <w:tblPr>
        <w:tblOverlap w:val="never"/>
        <w:jc w:val="center"/>
        <w:tblLayout w:type="fixed"/>
      </w:tblPr>
      <w:tblGrid>
        <w:gridCol w:w="3086"/>
        <w:gridCol w:w="3206"/>
        <w:gridCol w:w="3288"/>
      </w:tblGrid>
      <w:tr>
        <w:trPr>
          <w:trHeight w:val="792"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31" w:lineRule="exact"/>
              <w:ind w:left="0" w:right="0" w:firstLine="920"/>
              <w:jc w:val="left"/>
            </w:pPr>
            <w:r>
              <w:rPr>
                <w:rFonts w:ascii="Times New Roman" w:eastAsia="Times New Roman" w:hAnsi="Times New Roman" w:cs="Times New Roman"/>
                <w:color w:val="000000"/>
                <w:spacing w:val="0"/>
                <w:w w:val="100"/>
                <w:position w:val="0"/>
                <w:sz w:val="18"/>
                <w:szCs w:val="18"/>
              </w:rPr>
              <w:t>4.</w:t>
            </w:r>
            <w:r>
              <w:rPr>
                <w:color w:val="000000"/>
                <w:spacing w:val="0"/>
                <w:w w:val="100"/>
                <w:position w:val="0"/>
              </w:rPr>
              <w:t>其他债权投资信用减值准 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920"/>
              <w:jc w:val="left"/>
            </w:pPr>
            <w:r>
              <w:rPr>
                <w:rFonts w:ascii="Times New Roman" w:eastAsia="Times New Roman" w:hAnsi="Times New Roman" w:cs="Times New Roman"/>
                <w:color w:val="000000"/>
                <w:spacing w:val="0"/>
                <w:w w:val="100"/>
                <w:position w:val="0"/>
                <w:sz w:val="18"/>
                <w:szCs w:val="18"/>
              </w:rPr>
              <w:t>5.</w:t>
            </w:r>
            <w:r>
              <w:rPr>
                <w:color w:val="000000"/>
                <w:spacing w:val="0"/>
                <w:w w:val="100"/>
                <w:position w:val="0"/>
              </w:rPr>
              <w:t>现金流量套期储备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920"/>
              <w:jc w:val="left"/>
            </w:pPr>
            <w:r>
              <w:rPr>
                <w:rFonts w:ascii="Times New Roman" w:eastAsia="Times New Roman" w:hAnsi="Times New Roman" w:cs="Times New Roman"/>
                <w:color w:val="000000"/>
                <w:spacing w:val="0"/>
                <w:w w:val="100"/>
                <w:position w:val="0"/>
                <w:sz w:val="18"/>
                <w:szCs w:val="18"/>
              </w:rPr>
              <w:t>6.</w:t>
            </w:r>
            <w:r>
              <w:rPr>
                <w:color w:val="000000"/>
                <w:spacing w:val="0"/>
                <w:w w:val="100"/>
                <w:position w:val="0"/>
              </w:rPr>
              <w:t>外币财务报表折算差额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left"/>
              <w:rPr>
                <w:sz w:val="18"/>
                <w:szCs w:val="18"/>
              </w:rPr>
            </w:pPr>
            <w:r>
              <w:rPr>
                <w:rFonts w:ascii="Times New Roman" w:eastAsia="Times New Roman" w:hAnsi="Times New Roman" w:cs="Times New Roman"/>
                <w:color w:val="000000"/>
                <w:spacing w:val="0"/>
                <w:w w:val="100"/>
                <w:position w:val="0"/>
                <w:sz w:val="18"/>
                <w:szCs w:val="18"/>
              </w:rPr>
              <w:t>-11,215,097.39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1,070,856.42</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920"/>
              <w:jc w:val="left"/>
            </w:pPr>
            <w:r>
              <w:rPr>
                <w:rFonts w:ascii="Times New Roman" w:eastAsia="Times New Roman" w:hAnsi="Times New Roman" w:cs="Times New Roman"/>
                <w:color w:val="000000"/>
                <w:spacing w:val="0"/>
                <w:w w:val="100"/>
                <w:position w:val="0"/>
                <w:sz w:val="18"/>
                <w:szCs w:val="18"/>
              </w:rPr>
              <w:t>7.</w:t>
            </w: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firstLine="200"/>
              <w:jc w:val="left"/>
            </w:pPr>
            <w:r>
              <w:rPr>
                <w:color w:val="000000"/>
                <w:spacing w:val="0"/>
                <w:w w:val="100"/>
                <w:position w:val="0"/>
              </w:rPr>
              <w:t>归属于少数股东的其他综合收益的 税后净额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353,823.07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-257,588.99</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七、综合收益总额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left"/>
              <w:rPr>
                <w:sz w:val="18"/>
                <w:szCs w:val="18"/>
              </w:rPr>
            </w:pPr>
            <w:r>
              <w:rPr>
                <w:rFonts w:ascii="Times New Roman" w:eastAsia="Times New Roman" w:hAnsi="Times New Roman" w:cs="Times New Roman"/>
                <w:color w:val="000000"/>
                <w:spacing w:val="0"/>
                <w:w w:val="100"/>
                <w:position w:val="0"/>
                <w:sz w:val="18"/>
                <w:szCs w:val="18"/>
              </w:rPr>
              <w:t>316,232,640.54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20" w:right="0" w:firstLine="0"/>
              <w:jc w:val="both"/>
              <w:rPr>
                <w:sz w:val="18"/>
                <w:szCs w:val="18"/>
              </w:rPr>
            </w:pPr>
            <w:r>
              <w:rPr>
                <w:rFonts w:ascii="Times New Roman" w:eastAsia="Times New Roman" w:hAnsi="Times New Roman" w:cs="Times New Roman"/>
                <w:color w:val="000000"/>
                <w:spacing w:val="0"/>
                <w:w w:val="100"/>
                <w:position w:val="0"/>
                <w:sz w:val="18"/>
                <w:szCs w:val="18"/>
              </w:rPr>
              <w:t>-1,463,573,682.90</w:t>
            </w: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jc w:val="left"/>
            </w:pPr>
            <w:r>
              <w:rPr>
                <w:color w:val="000000"/>
                <w:spacing w:val="0"/>
                <w:w w:val="100"/>
                <w:position w:val="0"/>
              </w:rPr>
              <w:t>归属于母公司所有者的综合收益 总额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left"/>
              <w:rPr>
                <w:sz w:val="18"/>
                <w:szCs w:val="18"/>
              </w:rPr>
            </w:pPr>
            <w:r>
              <w:rPr>
                <w:rFonts w:ascii="Times New Roman" w:eastAsia="Times New Roman" w:hAnsi="Times New Roman" w:cs="Times New Roman"/>
                <w:color w:val="000000"/>
                <w:spacing w:val="0"/>
                <w:w w:val="100"/>
                <w:position w:val="0"/>
                <w:sz w:val="18"/>
                <w:szCs w:val="18"/>
              </w:rPr>
              <w:t>339,683,873.46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20" w:right="0" w:firstLine="0"/>
              <w:jc w:val="both"/>
              <w:rPr>
                <w:sz w:val="18"/>
                <w:szCs w:val="18"/>
              </w:rPr>
            </w:pPr>
            <w:r>
              <w:rPr>
                <w:rFonts w:ascii="Times New Roman" w:eastAsia="Times New Roman" w:hAnsi="Times New Roman" w:cs="Times New Roman"/>
                <w:color w:val="000000"/>
                <w:spacing w:val="0"/>
                <w:w w:val="100"/>
                <w:position w:val="0"/>
                <w:sz w:val="18"/>
                <w:szCs w:val="18"/>
              </w:rPr>
              <w:t>-1,468,014,673.88</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归属于少数股东的综合收益总额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60" w:right="0" w:firstLine="0"/>
              <w:jc w:val="left"/>
              <w:rPr>
                <w:sz w:val="18"/>
                <w:szCs w:val="18"/>
              </w:rPr>
            </w:pPr>
            <w:r>
              <w:rPr>
                <w:rFonts w:ascii="Times New Roman" w:eastAsia="Times New Roman" w:hAnsi="Times New Roman" w:cs="Times New Roman"/>
                <w:color w:val="000000"/>
                <w:spacing w:val="0"/>
                <w:w w:val="100"/>
                <w:position w:val="0"/>
                <w:sz w:val="18"/>
                <w:szCs w:val="18"/>
              </w:rPr>
              <w:t>-23,451,232.92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4,440,990.98</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八、每股收益：</w:t>
            </w:r>
          </w:p>
        </w:tc>
        <w:tc>
          <w:tcPr>
            <w:tcBorders>
              <w:top w:val="single" w:sz="4"/>
              <w:left w:val="single" w:sz="4"/>
            </w:tcBorders>
            <w:shd w:val="clear" w:color="auto" w:fill="D7D7D7"/>
            <w:vAlign w:val="top"/>
          </w:tcPr>
          <w:p>
            <w:pPr>
              <w:widowControl w:val="0"/>
              <w:rPr>
                <w:sz w:val="10"/>
                <w:szCs w:val="10"/>
              </w:rPr>
            </w:pPr>
          </w:p>
        </w:tc>
        <w:tc>
          <w:tcPr>
            <w:tcBorders>
              <w:top w:val="single" w:sz="4"/>
              <w:left w:val="single" w:sz="4"/>
              <w:right w:val="single" w:sz="4"/>
            </w:tcBorders>
            <w:shd w:val="clear" w:color="auto" w:fill="D7D7D7"/>
            <w:vAlign w:val="top"/>
          </w:tcPr>
          <w:p>
            <w:pPr>
              <w:widowControl w:val="0"/>
              <w:rPr>
                <w:sz w:val="10"/>
                <w:szCs w:val="10"/>
              </w:rPr>
            </w:pP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（一）基本每股收益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0.1809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-0.7517</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（二）稀释每股收益</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0.1809</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-0.7517</w:t>
            </w:r>
          </w:p>
        </w:tc>
      </w:tr>
    </w:tbl>
    <w:p>
      <w:pPr>
        <w:widowControl w:val="0"/>
        <w:spacing w:after="79" w:line="1" w:lineRule="exact"/>
      </w:pPr>
    </w:p>
    <w:p>
      <w:pPr>
        <w:pStyle w:val="Style41"/>
        <w:keepNext w:val="0"/>
        <w:keepLines w:val="0"/>
        <w:widowControl w:val="0"/>
        <w:shd w:val="clear" w:color="auto" w:fill="auto"/>
        <w:bidi w:val="0"/>
        <w:spacing w:before="0" w:after="400" w:line="240" w:lineRule="auto"/>
        <w:ind w:left="0" w:right="0" w:firstLine="0"/>
        <w:jc w:val="left"/>
      </w:pPr>
      <w:r>
        <w:rPr>
          <w:color w:val="000000"/>
          <w:spacing w:val="0"/>
          <w:w w:val="100"/>
          <w:position w:val="0"/>
        </w:rPr>
        <w:t>本期发生同一控制下企业合并的，被合并方在合并前实现的净利润为：</w:t>
      </w:r>
      <w:r>
        <w:rPr>
          <w:rFonts w:ascii="Times New Roman" w:eastAsia="Times New Roman" w:hAnsi="Times New Roman" w:cs="Times New Roman"/>
          <w:color w:val="000000"/>
          <w:spacing w:val="0"/>
          <w:w w:val="100"/>
          <w:position w:val="0"/>
          <w:sz w:val="18"/>
          <w:szCs w:val="18"/>
        </w:rPr>
        <w:t>0.00</w:t>
      </w:r>
      <w:r>
        <w:rPr>
          <w:color w:val="000000"/>
          <w:spacing w:val="0"/>
          <w:w w:val="100"/>
          <w:position w:val="0"/>
        </w:rPr>
        <w:t>元，上期被合并方实现的净利润为：</w:t>
      </w:r>
      <w:r>
        <w:rPr>
          <w:rFonts w:ascii="Times New Roman" w:eastAsia="Times New Roman" w:hAnsi="Times New Roman" w:cs="Times New Roman"/>
          <w:color w:val="000000"/>
          <w:spacing w:val="0"/>
          <w:w w:val="100"/>
          <w:position w:val="0"/>
          <w:sz w:val="18"/>
          <w:szCs w:val="18"/>
        </w:rPr>
        <w:t>0.00</w:t>
      </w:r>
      <w:r>
        <w:rPr>
          <w:color w:val="000000"/>
          <w:spacing w:val="0"/>
          <w:w w:val="100"/>
          <w:position w:val="0"/>
        </w:rPr>
        <w:t>元。</w:t>
      </w:r>
    </w:p>
    <w:p>
      <w:pPr>
        <w:pStyle w:val="Style41"/>
        <w:keepNext w:val="0"/>
        <w:keepLines w:val="0"/>
        <w:widowControl w:val="0"/>
        <w:shd w:val="clear" w:color="auto" w:fill="auto"/>
        <w:tabs>
          <w:tab w:pos="3240" w:val="left"/>
          <w:tab w:pos="7195" w:val="left"/>
        </w:tabs>
        <w:bidi w:val="0"/>
        <w:spacing w:before="0" w:after="400" w:line="240" w:lineRule="auto"/>
        <w:ind w:left="0" w:right="0" w:firstLine="0"/>
        <w:jc w:val="left"/>
      </w:pPr>
      <w:r>
        <w:rPr>
          <w:color w:val="000000"/>
          <w:spacing w:val="0"/>
          <w:w w:val="100"/>
          <w:position w:val="0"/>
        </w:rPr>
        <w:t>法定代表人：冒大卫先生</w:t>
        <w:tab/>
        <w:t>主管会计工作负责人：戈爱晶女士</w:t>
        <w:tab/>
        <w:t>会计机构负责人：刘晓峰先生</w:t>
      </w:r>
    </w:p>
    <w:p>
      <w:pPr>
        <w:pStyle w:val="Style47"/>
        <w:keepNext/>
        <w:keepLines/>
        <w:widowControl w:val="0"/>
        <w:shd w:val="clear" w:color="auto" w:fill="auto"/>
        <w:bidi w:val="0"/>
        <w:spacing w:before="0" w:after="400" w:line="240" w:lineRule="auto"/>
        <w:ind w:left="0" w:right="0" w:firstLine="0"/>
        <w:jc w:val="left"/>
      </w:pPr>
      <w:bookmarkStart w:id="810" w:name="bookmark810"/>
      <w:bookmarkStart w:id="811" w:name="bookmark811"/>
      <w:bookmarkStart w:id="812" w:name="bookmark812"/>
      <w:bookmarkStart w:id="813" w:name="bookmark813"/>
      <w:r>
        <w:rPr>
          <w:color w:val="000000"/>
          <w:spacing w:val="0"/>
          <w:w w:val="100"/>
          <w:position w:val="0"/>
        </w:rPr>
        <w:t>4</w:t>
      </w:r>
      <w:bookmarkEnd w:id="812"/>
      <w:r>
        <w:rPr>
          <w:color w:val="000000"/>
          <w:spacing w:val="0"/>
          <w:w w:val="100"/>
          <w:position w:val="0"/>
        </w:rPr>
        <w:t>、母公司利润表</w:t>
      </w:r>
      <w:bookmarkEnd w:id="810"/>
      <w:bookmarkEnd w:id="811"/>
      <w:bookmarkEnd w:id="813"/>
    </w:p>
    <w:p>
      <w:pPr>
        <w:pStyle w:val="Style41"/>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2971"/>
        <w:gridCol w:w="3302"/>
        <w:gridCol w:w="3307"/>
      </w:tblGrid>
      <w:tr>
        <w:trPr>
          <w:trHeight w:val="40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年度</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2019</w:t>
            </w:r>
            <w:r>
              <w:rPr>
                <w:color w:val="000000"/>
                <w:spacing w:val="0"/>
                <w:w w:val="100"/>
                <w:position w:val="0"/>
              </w:rPr>
              <w:t>年度</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一、营业收入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796,091,866.41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445,198,724.30</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减：营业成本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422,838,655.93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273,064,600.84</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740"/>
              <w:jc w:val="left"/>
            </w:pPr>
            <w:r>
              <w:rPr>
                <w:color w:val="000000"/>
                <w:spacing w:val="0"/>
                <w:w w:val="100"/>
                <w:position w:val="0"/>
              </w:rPr>
              <w:t>税金及附加</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20" w:right="0" w:firstLine="0"/>
              <w:jc w:val="left"/>
              <w:rPr>
                <w:sz w:val="18"/>
                <w:szCs w:val="18"/>
              </w:rPr>
            </w:pPr>
            <w:r>
              <w:rPr>
                <w:rFonts w:ascii="Times New Roman" w:eastAsia="Times New Roman" w:hAnsi="Times New Roman" w:cs="Times New Roman"/>
                <w:color w:val="000000"/>
                <w:spacing w:val="0"/>
                <w:w w:val="100"/>
                <w:position w:val="0"/>
                <w:sz w:val="18"/>
                <w:szCs w:val="18"/>
              </w:rPr>
              <w:t>9,596,319.53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11,069,826.57</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740"/>
              <w:jc w:val="left"/>
            </w:pPr>
            <w:r>
              <w:rPr>
                <w:color w:val="000000"/>
                <w:spacing w:val="0"/>
                <w:w w:val="100"/>
                <w:position w:val="0"/>
              </w:rPr>
              <w:t>销售费用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both"/>
              <w:rPr>
                <w:sz w:val="18"/>
                <w:szCs w:val="18"/>
              </w:rPr>
            </w:pPr>
            <w:r>
              <w:rPr>
                <w:rFonts w:ascii="Times New Roman" w:eastAsia="Times New Roman" w:hAnsi="Times New Roman" w:cs="Times New Roman"/>
                <w:color w:val="000000"/>
                <w:spacing w:val="0"/>
                <w:w w:val="100"/>
                <w:position w:val="0"/>
                <w:sz w:val="18"/>
                <w:szCs w:val="18"/>
              </w:rPr>
              <w:t>74,351,702.18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56,524,661.89</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740"/>
              <w:jc w:val="left"/>
            </w:pPr>
            <w:r>
              <w:rPr>
                <w:color w:val="000000"/>
                <w:spacing w:val="0"/>
                <w:w w:val="100"/>
                <w:position w:val="0"/>
              </w:rPr>
              <w:t>管理费用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252,982,377.21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347,183,115.49</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740"/>
              <w:jc w:val="left"/>
            </w:pPr>
            <w:r>
              <w:rPr>
                <w:color w:val="000000"/>
                <w:spacing w:val="0"/>
                <w:w w:val="100"/>
                <w:position w:val="0"/>
              </w:rPr>
              <w:t>研发费用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both"/>
              <w:rPr>
                <w:sz w:val="18"/>
                <w:szCs w:val="18"/>
              </w:rPr>
            </w:pPr>
            <w:r>
              <w:rPr>
                <w:rFonts w:ascii="Times New Roman" w:eastAsia="Times New Roman" w:hAnsi="Times New Roman" w:cs="Times New Roman"/>
                <w:color w:val="000000"/>
                <w:spacing w:val="0"/>
                <w:w w:val="100"/>
                <w:position w:val="0"/>
                <w:sz w:val="18"/>
                <w:szCs w:val="18"/>
              </w:rPr>
              <w:t>86,527,150.43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83,941,632.57</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740"/>
              <w:jc w:val="left"/>
            </w:pPr>
            <w:r>
              <w:rPr>
                <w:color w:val="000000"/>
                <w:spacing w:val="0"/>
                <w:w w:val="100"/>
                <w:position w:val="0"/>
              </w:rPr>
              <w:t>财务费用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both"/>
              <w:rPr>
                <w:sz w:val="18"/>
                <w:szCs w:val="18"/>
              </w:rPr>
            </w:pPr>
            <w:r>
              <w:rPr>
                <w:rFonts w:ascii="Times New Roman" w:eastAsia="Times New Roman" w:hAnsi="Times New Roman" w:cs="Times New Roman"/>
                <w:color w:val="000000"/>
                <w:spacing w:val="0"/>
                <w:w w:val="100"/>
                <w:position w:val="0"/>
                <w:sz w:val="18"/>
                <w:szCs w:val="18"/>
              </w:rPr>
              <w:t>30,118,023.92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36,562,786.80</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920"/>
              <w:jc w:val="left"/>
            </w:pPr>
            <w:r>
              <w:rPr>
                <w:color w:val="000000"/>
                <w:spacing w:val="0"/>
                <w:w w:val="100"/>
                <w:position w:val="0"/>
              </w:rPr>
              <w:t>其中：利息费用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both"/>
              <w:rPr>
                <w:sz w:val="18"/>
                <w:szCs w:val="18"/>
              </w:rPr>
            </w:pPr>
            <w:r>
              <w:rPr>
                <w:rFonts w:ascii="Times New Roman" w:eastAsia="Times New Roman" w:hAnsi="Times New Roman" w:cs="Times New Roman"/>
                <w:color w:val="000000"/>
                <w:spacing w:val="0"/>
                <w:w w:val="100"/>
                <w:position w:val="0"/>
                <w:sz w:val="18"/>
                <w:szCs w:val="18"/>
              </w:rPr>
              <w:t>31,090,087.95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37,771,444.21</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1460" w:right="0" w:firstLine="0"/>
              <w:jc w:val="left"/>
            </w:pPr>
            <w:r>
              <w:rPr>
                <w:color w:val="000000"/>
                <w:spacing w:val="0"/>
                <w:w w:val="100"/>
                <w:position w:val="0"/>
              </w:rPr>
              <w:t>利息收入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20" w:right="0" w:firstLine="0"/>
              <w:jc w:val="left"/>
              <w:rPr>
                <w:sz w:val="18"/>
                <w:szCs w:val="18"/>
              </w:rPr>
            </w:pPr>
            <w:r>
              <w:rPr>
                <w:rFonts w:ascii="Times New Roman" w:eastAsia="Times New Roman" w:hAnsi="Times New Roman" w:cs="Times New Roman"/>
                <w:color w:val="000000"/>
                <w:spacing w:val="0"/>
                <w:w w:val="100"/>
                <w:position w:val="0"/>
                <w:sz w:val="18"/>
                <w:szCs w:val="18"/>
              </w:rPr>
              <w:t>2,344,125.29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20" w:right="0" w:firstLine="0"/>
              <w:jc w:val="both"/>
              <w:rPr>
                <w:sz w:val="18"/>
                <w:szCs w:val="18"/>
              </w:rPr>
            </w:pPr>
            <w:r>
              <w:rPr>
                <w:rFonts w:ascii="Times New Roman" w:eastAsia="Times New Roman" w:hAnsi="Times New Roman" w:cs="Times New Roman"/>
                <w:color w:val="000000"/>
                <w:spacing w:val="0"/>
                <w:w w:val="100"/>
                <w:position w:val="0"/>
                <w:sz w:val="18"/>
                <w:szCs w:val="18"/>
              </w:rPr>
              <w:t>2,471,081.60</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加：其他收益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20" w:right="0" w:firstLine="0"/>
              <w:jc w:val="left"/>
              <w:rPr>
                <w:sz w:val="18"/>
                <w:szCs w:val="18"/>
              </w:rPr>
            </w:pPr>
            <w:r>
              <w:rPr>
                <w:rFonts w:ascii="Times New Roman" w:eastAsia="Times New Roman" w:hAnsi="Times New Roman" w:cs="Times New Roman"/>
                <w:color w:val="000000"/>
                <w:spacing w:val="0"/>
                <w:w w:val="100"/>
                <w:position w:val="0"/>
                <w:sz w:val="18"/>
                <w:szCs w:val="18"/>
              </w:rPr>
              <w:t>9,874,062.14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20" w:right="0" w:firstLine="0"/>
              <w:jc w:val="both"/>
              <w:rPr>
                <w:sz w:val="18"/>
                <w:szCs w:val="18"/>
              </w:rPr>
            </w:pPr>
            <w:r>
              <w:rPr>
                <w:rFonts w:ascii="Times New Roman" w:eastAsia="Times New Roman" w:hAnsi="Times New Roman" w:cs="Times New Roman"/>
                <w:color w:val="000000"/>
                <w:spacing w:val="0"/>
                <w:w w:val="100"/>
                <w:position w:val="0"/>
                <w:sz w:val="18"/>
                <w:szCs w:val="18"/>
              </w:rPr>
              <w:t>8,449,214.73</w:t>
            </w: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firstLine="740"/>
              <w:jc w:val="left"/>
            </w:pPr>
            <w:r>
              <w:rPr>
                <w:color w:val="000000"/>
                <w:spacing w:val="0"/>
                <w:w w:val="100"/>
                <w:position w:val="0"/>
              </w:rPr>
              <w:t>投资收益（损失以</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一</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号填 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both"/>
              <w:rPr>
                <w:sz w:val="18"/>
                <w:szCs w:val="18"/>
              </w:rPr>
            </w:pPr>
            <w:r>
              <w:rPr>
                <w:rFonts w:ascii="Times New Roman" w:eastAsia="Times New Roman" w:hAnsi="Times New Roman" w:cs="Times New Roman"/>
                <w:color w:val="000000"/>
                <w:spacing w:val="0"/>
                <w:w w:val="100"/>
                <w:position w:val="0"/>
                <w:sz w:val="18"/>
                <w:szCs w:val="18"/>
              </w:rPr>
              <w:t>32,191,991.03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27,897,155.27</w:t>
            </w: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100" w:line="240" w:lineRule="auto"/>
              <w:ind w:left="0" w:right="0" w:firstLine="740"/>
              <w:jc w:val="left"/>
            </w:pPr>
            <w:r>
              <w:rPr>
                <w:color w:val="000000"/>
                <w:spacing w:val="0"/>
                <w:w w:val="100"/>
                <w:position w:val="0"/>
              </w:rPr>
              <w:t>其中：对联营企业和合营企</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业的投资收益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-45,772,550.37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20" w:right="0" w:firstLine="0"/>
              <w:jc w:val="both"/>
              <w:rPr>
                <w:sz w:val="18"/>
                <w:szCs w:val="18"/>
              </w:rPr>
            </w:pPr>
            <w:r>
              <w:rPr>
                <w:rFonts w:ascii="Times New Roman" w:eastAsia="Times New Roman" w:hAnsi="Times New Roman" w:cs="Times New Roman"/>
                <w:color w:val="000000"/>
                <w:spacing w:val="0"/>
                <w:w w:val="100"/>
                <w:position w:val="0"/>
                <w:sz w:val="18"/>
                <w:szCs w:val="18"/>
              </w:rPr>
              <w:t>4,557,214.70</w:t>
            </w:r>
          </w:p>
        </w:tc>
      </w:tr>
      <w:tr>
        <w:trPr>
          <w:trHeight w:val="408"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1100" w:right="0" w:firstLine="0"/>
              <w:jc w:val="left"/>
            </w:pPr>
            <w:r>
              <w:rPr>
                <w:color w:val="000000"/>
                <w:spacing w:val="0"/>
                <w:w w:val="100"/>
                <w:position w:val="0"/>
              </w:rPr>
              <w:t>以摊余成本计量的金融</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pPr>
      <w:r>
        <w:br w:type="page"/>
      </w:r>
    </w:p>
    <w:tbl>
      <w:tblPr>
        <w:tblOverlap w:val="never"/>
        <w:jc w:val="center"/>
        <w:tblLayout w:type="fixed"/>
      </w:tblPr>
      <w:tblGrid>
        <w:gridCol w:w="2971"/>
        <w:gridCol w:w="3302"/>
        <w:gridCol w:w="3307"/>
      </w:tblGrid>
      <w:tr>
        <w:trPr>
          <w:trHeight w:val="749"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22" w:lineRule="exact"/>
              <w:ind w:left="0" w:right="0" w:firstLine="0"/>
              <w:jc w:val="left"/>
            </w:pPr>
            <w:r>
              <w:rPr>
                <w:color w:val="000000"/>
                <w:spacing w:val="0"/>
                <w:w w:val="100"/>
                <w:position w:val="0"/>
              </w:rPr>
              <w:t>资产终止确认收益（损失以号填 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80" w:line="240" w:lineRule="auto"/>
              <w:ind w:left="0" w:right="0" w:firstLine="740"/>
              <w:jc w:val="left"/>
            </w:pPr>
            <w:r>
              <w:rPr>
                <w:color w:val="000000"/>
                <w:spacing w:val="0"/>
                <w:w w:val="100"/>
                <w:position w:val="0"/>
              </w:rPr>
              <w:t>净敞口套期收益（损失以</w:t>
            </w:r>
          </w:p>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74" w:lineRule="exact"/>
              <w:ind w:left="0" w:right="0" w:firstLine="740"/>
              <w:jc w:val="both"/>
            </w:pPr>
            <w:r>
              <w:rPr>
                <w:color w:val="000000"/>
                <w:spacing w:val="0"/>
                <w:w w:val="100"/>
                <w:position w:val="0"/>
              </w:rPr>
              <w:t xml:space="preserve">公允价值变动收益（损失以 </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―，，号填列）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9,039,474.86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80" w:right="0" w:firstLine="0"/>
              <w:jc w:val="both"/>
              <w:rPr>
                <w:sz w:val="18"/>
                <w:szCs w:val="18"/>
              </w:rPr>
            </w:pPr>
            <w:r>
              <w:rPr>
                <w:rFonts w:ascii="Times New Roman" w:eastAsia="Times New Roman" w:hAnsi="Times New Roman" w:cs="Times New Roman"/>
                <w:color w:val="000000"/>
                <w:spacing w:val="0"/>
                <w:w w:val="100"/>
                <w:position w:val="0"/>
                <w:sz w:val="18"/>
                <w:szCs w:val="18"/>
              </w:rPr>
              <w:t>-135,046,950.23</w:t>
            </w: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firstLine="740"/>
              <w:jc w:val="both"/>
            </w:pPr>
            <w:r>
              <w:rPr>
                <w:color w:val="000000"/>
                <w:spacing w:val="0"/>
                <w:w w:val="100"/>
                <w:position w:val="0"/>
              </w:rPr>
              <w:t>信用减值损失（损失以号 填列）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80" w:right="0" w:firstLine="0"/>
              <w:jc w:val="both"/>
              <w:rPr>
                <w:sz w:val="18"/>
                <w:szCs w:val="18"/>
              </w:rPr>
            </w:pPr>
            <w:r>
              <w:rPr>
                <w:rFonts w:ascii="Times New Roman" w:eastAsia="Times New Roman" w:hAnsi="Times New Roman" w:cs="Times New Roman"/>
                <w:color w:val="000000"/>
                <w:spacing w:val="0"/>
                <w:w w:val="100"/>
                <w:position w:val="0"/>
                <w:sz w:val="18"/>
                <w:szCs w:val="18"/>
              </w:rPr>
              <w:t>-24,618,308.50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80" w:right="0" w:firstLine="0"/>
              <w:jc w:val="both"/>
              <w:rPr>
                <w:sz w:val="18"/>
                <w:szCs w:val="18"/>
              </w:rPr>
            </w:pPr>
            <w:r>
              <w:rPr>
                <w:rFonts w:ascii="Times New Roman" w:eastAsia="Times New Roman" w:hAnsi="Times New Roman" w:cs="Times New Roman"/>
                <w:color w:val="000000"/>
                <w:spacing w:val="0"/>
                <w:w w:val="100"/>
                <w:position w:val="0"/>
                <w:sz w:val="18"/>
                <w:szCs w:val="18"/>
              </w:rPr>
              <w:t>-153,550,785.67</w:t>
            </w:r>
          </w:p>
        </w:tc>
      </w:tr>
      <w:tr>
        <w:trPr>
          <w:trHeight w:val="710"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firstLine="740"/>
              <w:jc w:val="both"/>
            </w:pPr>
            <w:r>
              <w:rPr>
                <w:color w:val="000000"/>
                <w:spacing w:val="0"/>
                <w:w w:val="100"/>
                <w:position w:val="0"/>
              </w:rPr>
              <w:t>资产减值损失（损失以号 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80" w:right="0" w:firstLine="0"/>
              <w:jc w:val="both"/>
              <w:rPr>
                <w:sz w:val="18"/>
                <w:szCs w:val="18"/>
              </w:rPr>
            </w:pPr>
            <w:r>
              <w:rPr>
                <w:rFonts w:ascii="Times New Roman" w:eastAsia="Times New Roman" w:hAnsi="Times New Roman" w:cs="Times New Roman"/>
                <w:color w:val="000000"/>
                <w:spacing w:val="0"/>
                <w:w w:val="100"/>
                <w:position w:val="0"/>
                <w:sz w:val="18"/>
                <w:szCs w:val="18"/>
              </w:rPr>
              <w:t>-154,869,308.84</w:t>
            </w: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firstLine="740"/>
              <w:jc w:val="both"/>
            </w:pPr>
            <w:r>
              <w:rPr>
                <w:color w:val="000000"/>
                <w:spacing w:val="0"/>
                <w:w w:val="100"/>
                <w:position w:val="0"/>
              </w:rPr>
              <w:t>资产处置收益（损失以号 填列）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86.47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20" w:right="0" w:firstLine="0"/>
              <w:jc w:val="both"/>
              <w:rPr>
                <w:sz w:val="18"/>
                <w:szCs w:val="18"/>
              </w:rPr>
            </w:pPr>
            <w:r>
              <w:rPr>
                <w:rFonts w:ascii="Times New Roman" w:eastAsia="Times New Roman" w:hAnsi="Times New Roman" w:cs="Times New Roman"/>
                <w:color w:val="000000"/>
                <w:spacing w:val="0"/>
                <w:w w:val="100"/>
                <w:position w:val="0"/>
                <w:sz w:val="18"/>
                <w:szCs w:val="18"/>
              </w:rPr>
              <w:t>2,896,752.45</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二、营业利润（亏损以</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一</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号填列）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80" w:right="0" w:firstLine="0"/>
              <w:jc w:val="both"/>
              <w:rPr>
                <w:sz w:val="18"/>
                <w:szCs w:val="18"/>
              </w:rPr>
            </w:pPr>
            <w:r>
              <w:rPr>
                <w:rFonts w:ascii="Times New Roman" w:eastAsia="Times New Roman" w:hAnsi="Times New Roman" w:cs="Times New Roman"/>
                <w:color w:val="000000"/>
                <w:spacing w:val="0"/>
                <w:w w:val="100"/>
                <w:position w:val="0"/>
                <w:sz w:val="18"/>
                <w:szCs w:val="18"/>
              </w:rPr>
              <w:t>-53,835,056.79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80" w:right="0" w:firstLine="0"/>
              <w:jc w:val="both"/>
              <w:rPr>
                <w:sz w:val="18"/>
                <w:szCs w:val="18"/>
              </w:rPr>
            </w:pPr>
            <w:r>
              <w:rPr>
                <w:rFonts w:ascii="Times New Roman" w:eastAsia="Times New Roman" w:hAnsi="Times New Roman" w:cs="Times New Roman"/>
                <w:color w:val="000000"/>
                <w:spacing w:val="0"/>
                <w:w w:val="100"/>
                <w:position w:val="0"/>
                <w:sz w:val="18"/>
                <w:szCs w:val="18"/>
              </w:rPr>
              <w:t>-767,371,822.15</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加：营业外收入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62,923.66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2,502.38</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减：营业外支出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43,339.38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460,099.97</w:t>
            </w: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firstLine="0"/>
              <w:jc w:val="both"/>
            </w:pPr>
            <w:r>
              <w:rPr>
                <w:color w:val="000000"/>
                <w:spacing w:val="0"/>
                <w:w w:val="100"/>
                <w:position w:val="0"/>
              </w:rPr>
              <w:t>三、利润总额（亏损总额以</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一</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号填 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80" w:right="0" w:firstLine="0"/>
              <w:jc w:val="both"/>
              <w:rPr>
                <w:sz w:val="18"/>
                <w:szCs w:val="18"/>
              </w:rPr>
            </w:pPr>
            <w:r>
              <w:rPr>
                <w:rFonts w:ascii="Times New Roman" w:eastAsia="Times New Roman" w:hAnsi="Times New Roman" w:cs="Times New Roman"/>
                <w:color w:val="000000"/>
                <w:spacing w:val="0"/>
                <w:w w:val="100"/>
                <w:position w:val="0"/>
                <w:sz w:val="18"/>
                <w:szCs w:val="18"/>
              </w:rPr>
              <w:t>-53,815,472.51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80" w:right="0" w:firstLine="0"/>
              <w:jc w:val="both"/>
              <w:rPr>
                <w:sz w:val="18"/>
                <w:szCs w:val="18"/>
              </w:rPr>
            </w:pPr>
            <w:r>
              <w:rPr>
                <w:rFonts w:ascii="Times New Roman" w:eastAsia="Times New Roman" w:hAnsi="Times New Roman" w:cs="Times New Roman"/>
                <w:color w:val="000000"/>
                <w:spacing w:val="0"/>
                <w:w w:val="100"/>
                <w:position w:val="0"/>
                <w:sz w:val="18"/>
                <w:szCs w:val="18"/>
              </w:rPr>
              <w:t>-767,829,419.74</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减：所得税费用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2,038,468.77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-4,033,954.99</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四、净利润（净亏损以</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一</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号填列）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80" w:right="0" w:firstLine="0"/>
              <w:jc w:val="both"/>
              <w:rPr>
                <w:sz w:val="18"/>
                <w:szCs w:val="18"/>
              </w:rPr>
            </w:pPr>
            <w:r>
              <w:rPr>
                <w:rFonts w:ascii="Times New Roman" w:eastAsia="Times New Roman" w:hAnsi="Times New Roman" w:cs="Times New Roman"/>
                <w:color w:val="000000"/>
                <w:spacing w:val="0"/>
                <w:w w:val="100"/>
                <w:position w:val="0"/>
                <w:sz w:val="18"/>
                <w:szCs w:val="18"/>
              </w:rPr>
              <w:t>-55,853,941.28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80" w:right="0" w:firstLine="0"/>
              <w:jc w:val="both"/>
              <w:rPr>
                <w:sz w:val="18"/>
                <w:szCs w:val="18"/>
              </w:rPr>
            </w:pPr>
            <w:r>
              <w:rPr>
                <w:rFonts w:ascii="Times New Roman" w:eastAsia="Times New Roman" w:hAnsi="Times New Roman" w:cs="Times New Roman"/>
                <w:color w:val="000000"/>
                <w:spacing w:val="0"/>
                <w:w w:val="100"/>
                <w:position w:val="0"/>
                <w:sz w:val="18"/>
                <w:szCs w:val="18"/>
              </w:rPr>
              <w:t>-763,795,464.75</w:t>
            </w:r>
          </w:p>
        </w:tc>
      </w:tr>
      <w:tr>
        <w:trPr>
          <w:trHeight w:val="710"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59" w:lineRule="exact"/>
              <w:ind w:left="0" w:right="0"/>
              <w:jc w:val="both"/>
            </w:pPr>
            <w:r>
              <w:rPr>
                <w:color w:val="000000"/>
                <w:spacing w:val="0"/>
                <w:w w:val="100"/>
                <w:position w:val="0"/>
              </w:rPr>
              <w:t>（一）持续经营净利润（净亏损 以</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―,,号填列）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80" w:right="0" w:firstLine="0"/>
              <w:jc w:val="both"/>
              <w:rPr>
                <w:sz w:val="18"/>
                <w:szCs w:val="18"/>
              </w:rPr>
            </w:pPr>
            <w:r>
              <w:rPr>
                <w:rFonts w:ascii="Times New Roman" w:eastAsia="Times New Roman" w:hAnsi="Times New Roman" w:cs="Times New Roman"/>
                <w:color w:val="000000"/>
                <w:spacing w:val="0"/>
                <w:w w:val="100"/>
                <w:position w:val="0"/>
                <w:sz w:val="18"/>
                <w:szCs w:val="18"/>
              </w:rPr>
              <w:t>-55,853,941.28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80" w:right="0" w:firstLine="0"/>
              <w:jc w:val="both"/>
              <w:rPr>
                <w:sz w:val="18"/>
                <w:szCs w:val="18"/>
              </w:rPr>
            </w:pPr>
            <w:r>
              <w:rPr>
                <w:rFonts w:ascii="Times New Roman" w:eastAsia="Times New Roman" w:hAnsi="Times New Roman" w:cs="Times New Roman"/>
                <w:color w:val="000000"/>
                <w:spacing w:val="0"/>
                <w:w w:val="100"/>
                <w:position w:val="0"/>
                <w:sz w:val="18"/>
                <w:szCs w:val="18"/>
              </w:rPr>
              <w:t>-763,795,464.75</w:t>
            </w: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59" w:lineRule="exact"/>
              <w:ind w:left="0" w:right="0"/>
              <w:jc w:val="both"/>
            </w:pPr>
            <w:r>
              <w:rPr>
                <w:color w:val="000000"/>
                <w:spacing w:val="0"/>
                <w:w w:val="100"/>
                <w:position w:val="0"/>
              </w:rPr>
              <w:t>（二）终止经营净利润（净亏损 以</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五、其他综合收益的税后净额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400" w:right="0" w:firstLine="0"/>
              <w:jc w:val="both"/>
              <w:rPr>
                <w:sz w:val="18"/>
                <w:szCs w:val="18"/>
              </w:rPr>
            </w:pPr>
            <w:r>
              <w:rPr>
                <w:rFonts w:ascii="Times New Roman" w:eastAsia="Times New Roman" w:hAnsi="Times New Roman" w:cs="Times New Roman"/>
                <w:color w:val="000000"/>
                <w:spacing w:val="0"/>
                <w:w w:val="100"/>
                <w:position w:val="0"/>
                <w:sz w:val="18"/>
                <w:szCs w:val="18"/>
              </w:rPr>
              <w:t>-253,521.00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20" w:right="0" w:firstLine="0"/>
              <w:jc w:val="both"/>
              <w:rPr>
                <w:sz w:val="18"/>
                <w:szCs w:val="18"/>
              </w:rPr>
            </w:pPr>
            <w:r>
              <w:rPr>
                <w:rFonts w:ascii="Times New Roman" w:eastAsia="Times New Roman" w:hAnsi="Times New Roman" w:cs="Times New Roman"/>
                <w:color w:val="000000"/>
                <w:spacing w:val="0"/>
                <w:w w:val="100"/>
                <w:position w:val="0"/>
                <w:sz w:val="18"/>
                <w:szCs w:val="18"/>
              </w:rPr>
              <w:t>7,360,471.40</w:t>
            </w: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jc w:val="both"/>
            </w:pPr>
            <w:r>
              <w:rPr>
                <w:color w:val="000000"/>
                <w:spacing w:val="0"/>
                <w:w w:val="100"/>
                <w:position w:val="0"/>
              </w:rPr>
              <w:t>（一）不能重分类进损益的其他 综合收益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400" w:right="0" w:firstLine="0"/>
              <w:jc w:val="both"/>
              <w:rPr>
                <w:sz w:val="18"/>
                <w:szCs w:val="18"/>
              </w:rPr>
            </w:pPr>
            <w:r>
              <w:rPr>
                <w:rFonts w:ascii="Times New Roman" w:eastAsia="Times New Roman" w:hAnsi="Times New Roman" w:cs="Times New Roman"/>
                <w:color w:val="000000"/>
                <w:spacing w:val="0"/>
                <w:w w:val="100"/>
                <w:position w:val="0"/>
                <w:sz w:val="18"/>
                <w:szCs w:val="18"/>
              </w:rPr>
              <w:t>-253,521.00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632,351.69</w:t>
            </w:r>
          </w:p>
        </w:tc>
      </w:tr>
      <w:tr>
        <w:trPr>
          <w:trHeight w:val="710"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firstLine="920"/>
              <w:jc w:val="both"/>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重新计量设定受益计划 变动额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26" w:lineRule="exact"/>
              <w:ind w:left="0" w:right="0" w:firstLine="920"/>
              <w:jc w:val="both"/>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权益法下不能转损益的 其他综合收益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26" w:lineRule="exact"/>
              <w:ind w:left="0" w:right="0" w:firstLine="920"/>
              <w:jc w:val="both"/>
            </w:pPr>
            <w:r>
              <w:rPr>
                <w:rFonts w:ascii="Times New Roman" w:eastAsia="Times New Roman" w:hAnsi="Times New Roman" w:cs="Times New Roman"/>
                <w:color w:val="000000"/>
                <w:spacing w:val="0"/>
                <w:w w:val="100"/>
                <w:position w:val="0"/>
                <w:sz w:val="18"/>
                <w:szCs w:val="18"/>
              </w:rPr>
              <w:t>3.</w:t>
            </w:r>
            <w:r>
              <w:rPr>
                <w:color w:val="000000"/>
                <w:spacing w:val="0"/>
                <w:w w:val="100"/>
                <w:position w:val="0"/>
              </w:rPr>
              <w:t>其他权益工具投资公允 价值变动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400" w:right="0" w:firstLine="0"/>
              <w:jc w:val="both"/>
              <w:rPr>
                <w:sz w:val="18"/>
                <w:szCs w:val="18"/>
              </w:rPr>
            </w:pPr>
            <w:r>
              <w:rPr>
                <w:rFonts w:ascii="Times New Roman" w:eastAsia="Times New Roman" w:hAnsi="Times New Roman" w:cs="Times New Roman"/>
                <w:color w:val="000000"/>
                <w:spacing w:val="0"/>
                <w:w w:val="100"/>
                <w:position w:val="0"/>
                <w:sz w:val="18"/>
                <w:szCs w:val="18"/>
              </w:rPr>
              <w:t>-253,521.00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632,351.69</w:t>
            </w: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22" w:lineRule="exact"/>
              <w:ind w:left="0" w:right="0" w:firstLine="920"/>
              <w:jc w:val="both"/>
            </w:pPr>
            <w:r>
              <w:rPr>
                <w:rFonts w:ascii="Times New Roman" w:eastAsia="Times New Roman" w:hAnsi="Times New Roman" w:cs="Times New Roman"/>
                <w:color w:val="000000"/>
                <w:spacing w:val="0"/>
                <w:w w:val="100"/>
                <w:position w:val="0"/>
                <w:sz w:val="18"/>
                <w:szCs w:val="18"/>
              </w:rPr>
              <w:t>4.</w:t>
            </w:r>
            <w:r>
              <w:rPr>
                <w:color w:val="000000"/>
                <w:spacing w:val="0"/>
                <w:w w:val="100"/>
                <w:position w:val="0"/>
              </w:rPr>
              <w:t>企业自身信用风险公允 价值变动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920"/>
              <w:jc w:val="both"/>
            </w:pPr>
            <w:r>
              <w:rPr>
                <w:rFonts w:ascii="Times New Roman" w:eastAsia="Times New Roman" w:hAnsi="Times New Roman" w:cs="Times New Roman"/>
                <w:color w:val="000000"/>
                <w:spacing w:val="0"/>
                <w:w w:val="100"/>
                <w:position w:val="0"/>
                <w:sz w:val="18"/>
                <w:szCs w:val="18"/>
              </w:rPr>
              <w:t>5.</w:t>
            </w: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jc w:val="both"/>
            </w:pPr>
            <w:r>
              <w:rPr>
                <w:color w:val="000000"/>
                <w:spacing w:val="0"/>
                <w:w w:val="100"/>
                <w:position w:val="0"/>
              </w:rPr>
              <w:t>（二）将重分类进损益的其他综 合收益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20" w:right="0" w:firstLine="0"/>
              <w:jc w:val="both"/>
              <w:rPr>
                <w:sz w:val="18"/>
                <w:szCs w:val="18"/>
              </w:rPr>
            </w:pPr>
            <w:r>
              <w:rPr>
                <w:rFonts w:ascii="Times New Roman" w:eastAsia="Times New Roman" w:hAnsi="Times New Roman" w:cs="Times New Roman"/>
                <w:color w:val="000000"/>
                <w:spacing w:val="0"/>
                <w:w w:val="100"/>
                <w:position w:val="0"/>
                <w:sz w:val="18"/>
                <w:szCs w:val="18"/>
              </w:rPr>
              <w:t>6,728,119.71</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92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权益法下可转损益的其</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20" w:right="0" w:firstLine="0"/>
              <w:jc w:val="both"/>
              <w:rPr>
                <w:sz w:val="18"/>
                <w:szCs w:val="18"/>
              </w:rPr>
            </w:pPr>
            <w:r>
              <w:rPr>
                <w:rFonts w:ascii="Times New Roman" w:eastAsia="Times New Roman" w:hAnsi="Times New Roman" w:cs="Times New Roman"/>
                <w:color w:val="000000"/>
                <w:spacing w:val="0"/>
                <w:w w:val="100"/>
                <w:position w:val="0"/>
                <w:sz w:val="18"/>
                <w:szCs w:val="18"/>
              </w:rPr>
              <w:t>6,728,119.71</w:t>
            </w:r>
          </w:p>
        </w:tc>
      </w:tr>
    </w:tbl>
    <w:p>
      <w:pPr>
        <w:widowControl w:val="0"/>
        <w:spacing w:line="1" w:lineRule="exact"/>
      </w:pPr>
      <w:r>
        <w:br w:type="page"/>
      </w:r>
    </w:p>
    <w:tbl>
      <w:tblPr>
        <w:tblOverlap w:val="never"/>
        <w:jc w:val="center"/>
        <w:tblLayout w:type="fixed"/>
      </w:tblPr>
      <w:tblGrid>
        <w:gridCol w:w="2971"/>
        <w:gridCol w:w="3302"/>
        <w:gridCol w:w="3307"/>
      </w:tblGrid>
      <w:tr>
        <w:trPr>
          <w:trHeight w:val="437"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他综合收益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31" w:lineRule="exact"/>
              <w:ind w:left="0" w:right="0" w:firstLine="920"/>
              <w:jc w:val="left"/>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其他债权投资公允价值 变动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120" w:line="240" w:lineRule="auto"/>
              <w:ind w:left="0" w:right="0" w:firstLine="920"/>
              <w:jc w:val="left"/>
            </w:pPr>
            <w:r>
              <w:rPr>
                <w:rFonts w:ascii="Times New Roman" w:eastAsia="Times New Roman" w:hAnsi="Times New Roman" w:cs="Times New Roman"/>
                <w:color w:val="000000"/>
                <w:spacing w:val="0"/>
                <w:w w:val="100"/>
                <w:position w:val="0"/>
                <w:sz w:val="18"/>
                <w:szCs w:val="18"/>
              </w:rPr>
              <w:t>3.</w:t>
            </w:r>
            <w:r>
              <w:rPr>
                <w:color w:val="000000"/>
                <w:spacing w:val="0"/>
                <w:w w:val="100"/>
                <w:position w:val="0"/>
              </w:rPr>
              <w:t>金融资产重分类计入其</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他综合收益的金额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22" w:lineRule="exact"/>
              <w:ind w:left="0" w:right="0" w:firstLine="920"/>
              <w:jc w:val="left"/>
            </w:pPr>
            <w:r>
              <w:rPr>
                <w:rFonts w:ascii="Times New Roman" w:eastAsia="Times New Roman" w:hAnsi="Times New Roman" w:cs="Times New Roman"/>
                <w:color w:val="000000"/>
                <w:spacing w:val="0"/>
                <w:w w:val="100"/>
                <w:position w:val="0"/>
                <w:sz w:val="18"/>
                <w:szCs w:val="18"/>
              </w:rPr>
              <w:t>4.</w:t>
            </w:r>
            <w:r>
              <w:rPr>
                <w:color w:val="000000"/>
                <w:spacing w:val="0"/>
                <w:w w:val="100"/>
                <w:position w:val="0"/>
              </w:rPr>
              <w:t>其他债权投资信用减值 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920"/>
              <w:jc w:val="left"/>
            </w:pPr>
            <w:r>
              <w:rPr>
                <w:rFonts w:ascii="Times New Roman" w:eastAsia="Times New Roman" w:hAnsi="Times New Roman" w:cs="Times New Roman"/>
                <w:color w:val="000000"/>
                <w:spacing w:val="0"/>
                <w:w w:val="100"/>
                <w:position w:val="0"/>
                <w:sz w:val="18"/>
                <w:szCs w:val="18"/>
              </w:rPr>
              <w:t>5.</w:t>
            </w:r>
            <w:r>
              <w:rPr>
                <w:color w:val="000000"/>
                <w:spacing w:val="0"/>
                <w:w w:val="100"/>
                <w:position w:val="0"/>
              </w:rPr>
              <w:t>现金流量套期储备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920"/>
              <w:jc w:val="left"/>
            </w:pPr>
            <w:r>
              <w:rPr>
                <w:rFonts w:ascii="Times New Roman" w:eastAsia="Times New Roman" w:hAnsi="Times New Roman" w:cs="Times New Roman"/>
                <w:color w:val="000000"/>
                <w:spacing w:val="0"/>
                <w:w w:val="100"/>
                <w:position w:val="0"/>
                <w:sz w:val="18"/>
                <w:szCs w:val="18"/>
              </w:rPr>
              <w:t>6.</w:t>
            </w:r>
            <w:r>
              <w:rPr>
                <w:color w:val="000000"/>
                <w:spacing w:val="0"/>
                <w:w w:val="100"/>
                <w:position w:val="0"/>
              </w:rPr>
              <w:t>外币财务报表折算差额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920"/>
              <w:jc w:val="left"/>
            </w:pPr>
            <w:r>
              <w:rPr>
                <w:rFonts w:ascii="Times New Roman" w:eastAsia="Times New Roman" w:hAnsi="Times New Roman" w:cs="Times New Roman"/>
                <w:color w:val="000000"/>
                <w:spacing w:val="0"/>
                <w:w w:val="100"/>
                <w:position w:val="0"/>
                <w:sz w:val="18"/>
                <w:szCs w:val="18"/>
              </w:rPr>
              <w:t>7.</w:t>
            </w: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六、综合收益总额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-56,107,462.28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-756,434,993.35</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七、每股收益：</w:t>
            </w:r>
          </w:p>
        </w:tc>
        <w:tc>
          <w:tcPr>
            <w:tcBorders>
              <w:top w:val="single" w:sz="4"/>
              <w:left w:val="single" w:sz="4"/>
            </w:tcBorders>
            <w:shd w:val="clear" w:color="auto" w:fill="D7D7D7"/>
            <w:vAlign w:val="top"/>
          </w:tcPr>
          <w:p>
            <w:pPr>
              <w:widowControl w:val="0"/>
              <w:rPr>
                <w:sz w:val="10"/>
                <w:szCs w:val="10"/>
              </w:rPr>
            </w:pPr>
          </w:p>
        </w:tc>
        <w:tc>
          <w:tcPr>
            <w:tcBorders>
              <w:top w:val="single" w:sz="4"/>
              <w:left w:val="single" w:sz="4"/>
              <w:right w:val="single" w:sz="4"/>
            </w:tcBorders>
            <w:shd w:val="clear" w:color="auto" w:fill="D7D7D7"/>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（一）基本每股收益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（二）稀释每股收益</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319" w:line="1" w:lineRule="exact"/>
      </w:pPr>
    </w:p>
    <w:p>
      <w:pPr>
        <w:pStyle w:val="Style47"/>
        <w:keepNext/>
        <w:keepLines/>
        <w:widowControl w:val="0"/>
        <w:shd w:val="clear" w:color="auto" w:fill="auto"/>
        <w:bidi w:val="0"/>
        <w:spacing w:before="0" w:after="400" w:line="240" w:lineRule="auto"/>
        <w:ind w:left="0" w:right="0" w:firstLine="0"/>
        <w:jc w:val="left"/>
      </w:pPr>
      <w:bookmarkStart w:id="814" w:name="bookmark814"/>
      <w:bookmarkStart w:id="815" w:name="bookmark815"/>
      <w:bookmarkStart w:id="816" w:name="bookmark816"/>
      <w:bookmarkStart w:id="817" w:name="bookmark817"/>
      <w:r>
        <w:rPr>
          <w:color w:val="000000"/>
          <w:spacing w:val="0"/>
          <w:w w:val="100"/>
          <w:position w:val="0"/>
        </w:rPr>
        <w:t>5</w:t>
      </w:r>
      <w:bookmarkEnd w:id="816"/>
      <w:r>
        <w:rPr>
          <w:color w:val="000000"/>
          <w:spacing w:val="0"/>
          <w:w w:val="100"/>
          <w:position w:val="0"/>
        </w:rPr>
        <w:t>、合并现金流量表</w:t>
      </w:r>
      <w:bookmarkEnd w:id="814"/>
      <w:bookmarkEnd w:id="815"/>
      <w:bookmarkEnd w:id="817"/>
    </w:p>
    <w:p>
      <w:pPr>
        <w:pStyle w:val="Style41"/>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2971"/>
        <w:gridCol w:w="3302"/>
        <w:gridCol w:w="3307"/>
      </w:tblGrid>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年度</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2019</w:t>
            </w:r>
            <w:r>
              <w:rPr>
                <w:color w:val="000000"/>
                <w:spacing w:val="0"/>
                <w:w w:val="100"/>
                <w:position w:val="0"/>
              </w:rPr>
              <w:t>年度</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一、经营活动产生的现金流量：</w:t>
            </w:r>
          </w:p>
        </w:tc>
        <w:tc>
          <w:tcPr>
            <w:tcBorders>
              <w:top w:val="single" w:sz="4"/>
              <w:left w:val="single" w:sz="4"/>
            </w:tcBorders>
            <w:shd w:val="clear" w:color="auto" w:fill="D7D7D7"/>
            <w:vAlign w:val="top"/>
          </w:tcPr>
          <w:p>
            <w:pPr>
              <w:widowControl w:val="0"/>
              <w:rPr>
                <w:sz w:val="10"/>
                <w:szCs w:val="10"/>
              </w:rPr>
            </w:pPr>
          </w:p>
        </w:tc>
        <w:tc>
          <w:tcPr>
            <w:tcBorders>
              <w:top w:val="single" w:sz="4"/>
              <w:left w:val="single" w:sz="4"/>
              <w:right w:val="single" w:sz="4"/>
            </w:tcBorders>
            <w:shd w:val="clear" w:color="auto" w:fill="D7D7D7"/>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销售商品、提供劳务收到的现金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3,044,431,681.87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2,421,351,218.41</w:t>
            </w: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jc w:val="left"/>
            </w:pPr>
            <w:r>
              <w:rPr>
                <w:color w:val="000000"/>
                <w:spacing w:val="0"/>
                <w:w w:val="100"/>
                <w:position w:val="0"/>
              </w:rPr>
              <w:t>客户存款和同业存放款项净增加 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向中央银行借款净增加额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jc w:val="left"/>
            </w:pPr>
            <w:r>
              <w:rPr>
                <w:color w:val="000000"/>
                <w:spacing w:val="0"/>
                <w:w w:val="100"/>
                <w:position w:val="0"/>
              </w:rPr>
              <w:t>向其他金融机构拆入资金净增加 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收到原保险合同保费取得的现金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收到再保业务现金净额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保户储金及投资款净增加额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收取利息、手续费及佣金的现金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拆入资金净增加额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回购业务资金净增加额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代理买卖证券收到的现金净额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收到的税费返还</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14,851,307.71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12,779,643.52</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收到其他与经营活动有关的现金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59,810,698.69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81,479,331.47</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经营活动现金流入小计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3,119,093,688.27</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2,515,610,193.40</w:t>
            </w:r>
          </w:p>
        </w:tc>
      </w:tr>
    </w:tbl>
    <w:p>
      <w:pPr>
        <w:widowControl w:val="0"/>
        <w:spacing w:line="1" w:lineRule="exact"/>
      </w:pPr>
      <w:r>
        <w:br w:type="page"/>
      </w:r>
    </w:p>
    <w:tbl>
      <w:tblPr>
        <w:tblOverlap w:val="never"/>
        <w:jc w:val="center"/>
        <w:tblLayout w:type="fixed"/>
      </w:tblPr>
      <w:tblGrid>
        <w:gridCol w:w="2971"/>
        <w:gridCol w:w="3302"/>
        <w:gridCol w:w="3307"/>
      </w:tblGrid>
      <w:tr>
        <w:trPr>
          <w:trHeight w:val="480"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both"/>
            </w:pPr>
            <w:r>
              <w:rPr>
                <w:color w:val="000000"/>
                <w:spacing w:val="0"/>
                <w:w w:val="100"/>
                <w:position w:val="0"/>
              </w:rPr>
              <w:t>购买商品、接受劳务支付的现金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564,164,538.81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840,360,916.38</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both"/>
            </w:pPr>
            <w:r>
              <w:rPr>
                <w:color w:val="000000"/>
                <w:spacing w:val="0"/>
                <w:w w:val="100"/>
                <w:position w:val="0"/>
              </w:rPr>
              <w:t>客户贷款及垫款净增加额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jc w:val="both"/>
            </w:pPr>
            <w:r>
              <w:rPr>
                <w:color w:val="000000"/>
                <w:spacing w:val="0"/>
                <w:w w:val="100"/>
                <w:position w:val="0"/>
              </w:rPr>
              <w:t>存放中央银行和同业款项净增加 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both"/>
            </w:pPr>
            <w:r>
              <w:rPr>
                <w:color w:val="000000"/>
                <w:spacing w:val="0"/>
                <w:w w:val="100"/>
                <w:position w:val="0"/>
              </w:rPr>
              <w:t>支付原保险合同赔付款项的现金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both"/>
            </w:pPr>
            <w:r>
              <w:rPr>
                <w:color w:val="000000"/>
                <w:spacing w:val="0"/>
                <w:w w:val="100"/>
                <w:position w:val="0"/>
              </w:rPr>
              <w:t>拆出资金净增加额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both"/>
            </w:pPr>
            <w:r>
              <w:rPr>
                <w:color w:val="000000"/>
                <w:spacing w:val="0"/>
                <w:w w:val="100"/>
                <w:position w:val="0"/>
              </w:rPr>
              <w:t>支付利息、手续费及佣金的现金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both"/>
            </w:pPr>
            <w:r>
              <w:rPr>
                <w:color w:val="000000"/>
                <w:spacing w:val="0"/>
                <w:w w:val="100"/>
                <w:position w:val="0"/>
              </w:rPr>
              <w:t>支付保单红利的现金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jc w:val="both"/>
            </w:pPr>
            <w:r>
              <w:rPr>
                <w:color w:val="000000"/>
                <w:spacing w:val="0"/>
                <w:w w:val="100"/>
                <w:position w:val="0"/>
              </w:rPr>
              <w:t>支付给职工以及为职工支付的现 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753,261,391.12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708,537,992.04</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both"/>
            </w:pPr>
            <w:r>
              <w:rPr>
                <w:color w:val="000000"/>
                <w:spacing w:val="0"/>
                <w:w w:val="100"/>
                <w:position w:val="0"/>
              </w:rPr>
              <w:t>支付的各项税费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134,159,954.55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81,790,185.79</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both"/>
            </w:pPr>
            <w:r>
              <w:rPr>
                <w:color w:val="000000"/>
                <w:spacing w:val="0"/>
                <w:w w:val="100"/>
                <w:position w:val="0"/>
              </w:rPr>
              <w:t>支付其他与经营活动有关的现金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00" w:right="0" w:firstLine="0"/>
              <w:jc w:val="both"/>
              <w:rPr>
                <w:sz w:val="18"/>
                <w:szCs w:val="18"/>
              </w:rPr>
            </w:pPr>
            <w:r>
              <w:rPr>
                <w:rFonts w:ascii="Times New Roman" w:eastAsia="Times New Roman" w:hAnsi="Times New Roman" w:cs="Times New Roman"/>
                <w:color w:val="000000"/>
                <w:spacing w:val="0"/>
                <w:w w:val="100"/>
                <w:position w:val="0"/>
                <w:sz w:val="18"/>
                <w:szCs w:val="18"/>
              </w:rPr>
              <w:t>1,026,004,103.03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720,034,817.70</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经营活动现金流出小计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00" w:right="0" w:firstLine="0"/>
              <w:jc w:val="both"/>
              <w:rPr>
                <w:sz w:val="18"/>
                <w:szCs w:val="18"/>
              </w:rPr>
            </w:pPr>
            <w:r>
              <w:rPr>
                <w:rFonts w:ascii="Times New Roman" w:eastAsia="Times New Roman" w:hAnsi="Times New Roman" w:cs="Times New Roman"/>
                <w:color w:val="000000"/>
                <w:spacing w:val="0"/>
                <w:w w:val="100"/>
                <w:position w:val="0"/>
                <w:sz w:val="18"/>
                <w:szCs w:val="18"/>
              </w:rPr>
              <w:t>2,477,589,987.51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2,350,723,911.91</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经营活动产生的现金流量净额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641,503,700.76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164,886,281.49</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二、投资活动产生的现金流量：</w:t>
            </w:r>
          </w:p>
        </w:tc>
        <w:tc>
          <w:tcPr>
            <w:tcBorders>
              <w:top w:val="single" w:sz="4"/>
              <w:left w:val="single" w:sz="4"/>
            </w:tcBorders>
            <w:shd w:val="clear" w:color="auto" w:fill="D7D7D7"/>
            <w:vAlign w:val="top"/>
          </w:tcPr>
          <w:p>
            <w:pPr>
              <w:widowControl w:val="0"/>
              <w:rPr>
                <w:sz w:val="10"/>
                <w:szCs w:val="10"/>
              </w:rPr>
            </w:pPr>
          </w:p>
        </w:tc>
        <w:tc>
          <w:tcPr>
            <w:tcBorders>
              <w:top w:val="single" w:sz="4"/>
              <w:left w:val="single" w:sz="4"/>
              <w:right w:val="single" w:sz="4"/>
            </w:tcBorders>
            <w:shd w:val="clear" w:color="auto" w:fill="D7D7D7"/>
            <w:vAlign w:val="top"/>
          </w:tcPr>
          <w:p>
            <w:pPr>
              <w:widowControl w:val="0"/>
              <w:rPr>
                <w:sz w:val="10"/>
                <w:szCs w:val="10"/>
              </w:rPr>
            </w:pP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both"/>
            </w:pPr>
            <w:r>
              <w:rPr>
                <w:color w:val="000000"/>
                <w:spacing w:val="0"/>
                <w:w w:val="100"/>
                <w:position w:val="0"/>
              </w:rPr>
              <w:t>收回投资收到的现金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290,319,724.52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484,518,826.37</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both"/>
            </w:pPr>
            <w:r>
              <w:rPr>
                <w:color w:val="000000"/>
                <w:spacing w:val="0"/>
                <w:w w:val="100"/>
                <w:position w:val="0"/>
              </w:rPr>
              <w:t>取得投资收益收到的现金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3,785,995.50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9,072,692.00</w:t>
            </w: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jc w:val="both"/>
            </w:pPr>
            <w:r>
              <w:rPr>
                <w:color w:val="000000"/>
                <w:spacing w:val="0"/>
                <w:w w:val="100"/>
                <w:position w:val="0"/>
              </w:rPr>
              <w:t>处置固定资产、无形资产和其他 长期资产收回的现金净额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127,343.46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622,706.41</w:t>
            </w: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jc w:val="both"/>
            </w:pPr>
            <w:r>
              <w:rPr>
                <w:color w:val="000000"/>
                <w:spacing w:val="0"/>
                <w:w w:val="100"/>
                <w:position w:val="0"/>
              </w:rPr>
              <w:t>处置子公司及其他营业单位收到 的现金净额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both"/>
            </w:pPr>
            <w:r>
              <w:rPr>
                <w:color w:val="000000"/>
                <w:spacing w:val="0"/>
                <w:w w:val="100"/>
                <w:position w:val="0"/>
              </w:rPr>
              <w:t>收到其他与投资活动有关的现金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投资活动现金流入小计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294,233,063.48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494,214,224.78</w:t>
            </w: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jc w:val="both"/>
            </w:pPr>
            <w:r>
              <w:rPr>
                <w:color w:val="000000"/>
                <w:spacing w:val="0"/>
                <w:w w:val="100"/>
                <w:position w:val="0"/>
              </w:rPr>
              <w:t>购建固定资产、无形资产和其他 长期资产支付的现金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74,270,171.29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131,919,989.49</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both"/>
            </w:pPr>
            <w:r>
              <w:rPr>
                <w:color w:val="000000"/>
                <w:spacing w:val="0"/>
                <w:w w:val="100"/>
                <w:position w:val="0"/>
              </w:rPr>
              <w:t>投资支付的现金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386,894,000.00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241,090,190.00</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both"/>
            </w:pPr>
            <w:r>
              <w:rPr>
                <w:color w:val="000000"/>
                <w:spacing w:val="0"/>
                <w:w w:val="100"/>
                <w:position w:val="0"/>
              </w:rPr>
              <w:t>质押贷款净增加额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jc w:val="both"/>
            </w:pPr>
            <w:r>
              <w:rPr>
                <w:color w:val="000000"/>
                <w:spacing w:val="0"/>
                <w:w w:val="100"/>
                <w:position w:val="0"/>
              </w:rPr>
              <w:t>取得子公司及其他营业单位支付 的现金净额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both"/>
            </w:pPr>
            <w:r>
              <w:rPr>
                <w:color w:val="000000"/>
                <w:spacing w:val="0"/>
                <w:w w:val="100"/>
                <w:position w:val="0"/>
              </w:rPr>
              <w:t>支付其他与投资活动有关的现金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48,478,183.33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771,659.27</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投资活动现金流出小计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509,642,354.62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373,781,838.76</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投资活动产生的现金流量净额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-215,409,291.14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120,432,386.02</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三、筹资活动产生的现金流量：</w:t>
            </w:r>
          </w:p>
        </w:tc>
        <w:tc>
          <w:tcPr>
            <w:tcBorders>
              <w:top w:val="single" w:sz="4"/>
              <w:left w:val="single" w:sz="4"/>
            </w:tcBorders>
            <w:shd w:val="clear" w:color="auto" w:fill="D7D7D7"/>
            <w:vAlign w:val="top"/>
          </w:tcPr>
          <w:p>
            <w:pPr>
              <w:widowControl w:val="0"/>
              <w:rPr>
                <w:sz w:val="10"/>
                <w:szCs w:val="10"/>
              </w:rPr>
            </w:pPr>
          </w:p>
        </w:tc>
        <w:tc>
          <w:tcPr>
            <w:tcBorders>
              <w:top w:val="single" w:sz="4"/>
              <w:left w:val="single" w:sz="4"/>
              <w:right w:val="single" w:sz="4"/>
            </w:tcBorders>
            <w:shd w:val="clear" w:color="auto" w:fill="D7D7D7"/>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both"/>
            </w:pPr>
            <w:r>
              <w:rPr>
                <w:color w:val="000000"/>
                <w:spacing w:val="0"/>
                <w:w w:val="100"/>
                <w:position w:val="0"/>
              </w:rPr>
              <w:t>吸收投资收到的现金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210,000,000.00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36,750,000.00</w:t>
            </w:r>
          </w:p>
        </w:tc>
      </w:tr>
      <w:tr>
        <w:trPr>
          <w:trHeight w:val="725"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jc w:val="both"/>
            </w:pPr>
            <w:r>
              <w:rPr>
                <w:color w:val="000000"/>
                <w:spacing w:val="0"/>
                <w:w w:val="100"/>
                <w:position w:val="0"/>
              </w:rPr>
              <w:t>其中：子公司吸收少数股东投资 收到的现金</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210,000,000.00</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pPr>
      <w:r>
        <w:br w:type="page"/>
      </w:r>
    </w:p>
    <w:tbl>
      <w:tblPr>
        <w:tblOverlap w:val="never"/>
        <w:jc w:val="center"/>
        <w:tblLayout w:type="fixed"/>
      </w:tblPr>
      <w:tblGrid>
        <w:gridCol w:w="2971"/>
        <w:gridCol w:w="3302"/>
        <w:gridCol w:w="3307"/>
      </w:tblGrid>
      <w:tr>
        <w:trPr>
          <w:trHeight w:val="480"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取得借款收到的现金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305,637,139.64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998,847,009.03</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收到其他与筹资活动有关的现金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both"/>
              <w:rPr>
                <w:sz w:val="18"/>
                <w:szCs w:val="18"/>
              </w:rPr>
            </w:pPr>
            <w:r>
              <w:rPr>
                <w:rFonts w:ascii="Times New Roman" w:eastAsia="Times New Roman" w:hAnsi="Times New Roman" w:cs="Times New Roman"/>
                <w:color w:val="000000"/>
                <w:spacing w:val="0"/>
                <w:w w:val="100"/>
                <w:position w:val="0"/>
                <w:sz w:val="18"/>
                <w:szCs w:val="18"/>
              </w:rPr>
              <w:t>13,865,519.02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56,624,849.43</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筹资活动现金流入小计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529,502,658.66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20" w:right="0" w:firstLine="0"/>
              <w:jc w:val="both"/>
              <w:rPr>
                <w:sz w:val="18"/>
                <w:szCs w:val="18"/>
              </w:rPr>
            </w:pPr>
            <w:r>
              <w:rPr>
                <w:rFonts w:ascii="Times New Roman" w:eastAsia="Times New Roman" w:hAnsi="Times New Roman" w:cs="Times New Roman"/>
                <w:color w:val="000000"/>
                <w:spacing w:val="0"/>
                <w:w w:val="100"/>
                <w:position w:val="0"/>
                <w:sz w:val="18"/>
                <w:szCs w:val="18"/>
              </w:rPr>
              <w:t>1,092,221,858.46</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偿还债务支付的现金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765,347,009.03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20" w:right="0" w:firstLine="0"/>
              <w:jc w:val="both"/>
              <w:rPr>
                <w:sz w:val="18"/>
                <w:szCs w:val="18"/>
              </w:rPr>
            </w:pPr>
            <w:r>
              <w:rPr>
                <w:rFonts w:ascii="Times New Roman" w:eastAsia="Times New Roman" w:hAnsi="Times New Roman" w:cs="Times New Roman"/>
                <w:color w:val="000000"/>
                <w:spacing w:val="0"/>
                <w:w w:val="100"/>
                <w:position w:val="0"/>
                <w:sz w:val="18"/>
                <w:szCs w:val="18"/>
              </w:rPr>
              <w:t>1,001,000,000.00</w:t>
            </w: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jc w:val="left"/>
            </w:pPr>
            <w:r>
              <w:rPr>
                <w:color w:val="000000"/>
                <w:spacing w:val="0"/>
                <w:w w:val="100"/>
                <w:position w:val="0"/>
              </w:rPr>
              <w:t>分配股利、利润或偿付利息支付 的现金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both"/>
              <w:rPr>
                <w:sz w:val="18"/>
                <w:szCs w:val="18"/>
              </w:rPr>
            </w:pPr>
            <w:r>
              <w:rPr>
                <w:rFonts w:ascii="Times New Roman" w:eastAsia="Times New Roman" w:hAnsi="Times New Roman" w:cs="Times New Roman"/>
                <w:color w:val="000000"/>
                <w:spacing w:val="0"/>
                <w:w w:val="100"/>
                <w:position w:val="0"/>
                <w:sz w:val="18"/>
                <w:szCs w:val="18"/>
              </w:rPr>
              <w:t>31,982,887.09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40,162,671.26</w:t>
            </w:r>
          </w:p>
        </w:tc>
      </w:tr>
      <w:tr>
        <w:trPr>
          <w:trHeight w:val="710"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22" w:lineRule="exact"/>
              <w:ind w:left="0" w:right="0"/>
              <w:jc w:val="left"/>
            </w:pPr>
            <w:r>
              <w:rPr>
                <w:color w:val="000000"/>
                <w:spacing w:val="0"/>
                <w:w w:val="100"/>
                <w:position w:val="0"/>
              </w:rPr>
              <w:t>其中：子公司支付给少数股东的 股利、利润</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支付其他与筹资活动有关的现金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101,731,514.13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51,354,432.81</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筹资活动现金流出小计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899,061,410.25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20" w:right="0" w:firstLine="0"/>
              <w:jc w:val="both"/>
              <w:rPr>
                <w:sz w:val="18"/>
                <w:szCs w:val="18"/>
              </w:rPr>
            </w:pPr>
            <w:r>
              <w:rPr>
                <w:rFonts w:ascii="Times New Roman" w:eastAsia="Times New Roman" w:hAnsi="Times New Roman" w:cs="Times New Roman"/>
                <w:color w:val="000000"/>
                <w:spacing w:val="0"/>
                <w:w w:val="100"/>
                <w:position w:val="0"/>
                <w:sz w:val="18"/>
                <w:szCs w:val="18"/>
              </w:rPr>
              <w:t>1,092,517,104.07</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筹资活动产生的现金流量净额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-369,558,751.59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-295,245.61</w:t>
            </w:r>
          </w:p>
        </w:tc>
      </w:tr>
      <w:tr>
        <w:trPr>
          <w:trHeight w:val="710"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四、汇率变动对现金及现金等价物的 影响</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-20,607,325.69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20" w:right="0" w:firstLine="0"/>
              <w:jc w:val="both"/>
              <w:rPr>
                <w:sz w:val="18"/>
                <w:szCs w:val="18"/>
              </w:rPr>
            </w:pPr>
            <w:r>
              <w:rPr>
                <w:rFonts w:ascii="Times New Roman" w:eastAsia="Times New Roman" w:hAnsi="Times New Roman" w:cs="Times New Roman"/>
                <w:color w:val="000000"/>
                <w:spacing w:val="0"/>
                <w:w w:val="100"/>
                <w:position w:val="0"/>
                <w:sz w:val="18"/>
                <w:szCs w:val="18"/>
              </w:rPr>
              <w:t>3,549,399.54</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五、现金及现金等价物净增加额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both"/>
              <w:rPr>
                <w:sz w:val="18"/>
                <w:szCs w:val="18"/>
              </w:rPr>
            </w:pPr>
            <w:r>
              <w:rPr>
                <w:rFonts w:ascii="Times New Roman" w:eastAsia="Times New Roman" w:hAnsi="Times New Roman" w:cs="Times New Roman"/>
                <w:color w:val="000000"/>
                <w:spacing w:val="0"/>
                <w:w w:val="100"/>
                <w:position w:val="0"/>
                <w:sz w:val="18"/>
                <w:szCs w:val="18"/>
              </w:rPr>
              <w:t>35,928,332.34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288,572,821.44</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加：期初现金及现金等价物余额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796,037,689.30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507,464,867.86</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六、期末现金及现金等价物余额</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831,966,021.64</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796,037,689.30</w:t>
            </w:r>
          </w:p>
        </w:tc>
      </w:tr>
    </w:tbl>
    <w:p>
      <w:pPr>
        <w:widowControl w:val="0"/>
        <w:spacing w:after="319" w:line="1" w:lineRule="exact"/>
      </w:pPr>
    </w:p>
    <w:p>
      <w:pPr>
        <w:pStyle w:val="Style47"/>
        <w:keepNext/>
        <w:keepLines/>
        <w:widowControl w:val="0"/>
        <w:shd w:val="clear" w:color="auto" w:fill="auto"/>
        <w:bidi w:val="0"/>
        <w:spacing w:before="0" w:after="400" w:line="240" w:lineRule="auto"/>
        <w:ind w:left="0" w:right="0" w:firstLine="0"/>
        <w:jc w:val="left"/>
      </w:pPr>
      <w:bookmarkStart w:id="818" w:name="bookmark818"/>
      <w:bookmarkStart w:id="819" w:name="bookmark819"/>
      <w:bookmarkStart w:id="820" w:name="bookmark820"/>
      <w:bookmarkStart w:id="821" w:name="bookmark821"/>
      <w:r>
        <w:rPr>
          <w:color w:val="000000"/>
          <w:spacing w:val="0"/>
          <w:w w:val="100"/>
          <w:position w:val="0"/>
        </w:rPr>
        <w:t>6</w:t>
      </w:r>
      <w:bookmarkEnd w:id="820"/>
      <w:r>
        <w:rPr>
          <w:color w:val="000000"/>
          <w:spacing w:val="0"/>
          <w:w w:val="100"/>
          <w:position w:val="0"/>
        </w:rPr>
        <w:t>、母公司现金流量表</w:t>
      </w:r>
      <w:bookmarkEnd w:id="818"/>
      <w:bookmarkEnd w:id="819"/>
      <w:bookmarkEnd w:id="821"/>
    </w:p>
    <w:p>
      <w:pPr>
        <w:pStyle w:val="Style41"/>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2971"/>
        <w:gridCol w:w="3302"/>
        <w:gridCol w:w="3307"/>
      </w:tblGrid>
      <w:tr>
        <w:trPr>
          <w:trHeight w:val="40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年度</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2019</w:t>
            </w:r>
            <w:r>
              <w:rPr>
                <w:color w:val="000000"/>
                <w:spacing w:val="0"/>
                <w:w w:val="100"/>
                <w:position w:val="0"/>
              </w:rPr>
              <w:t>年度</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一、经营活动产生的现金流量：</w:t>
            </w:r>
          </w:p>
        </w:tc>
        <w:tc>
          <w:tcPr>
            <w:tcBorders>
              <w:top w:val="single" w:sz="4"/>
              <w:left w:val="single" w:sz="4"/>
            </w:tcBorders>
            <w:shd w:val="clear" w:color="auto" w:fill="D7D7D7"/>
            <w:vAlign w:val="top"/>
          </w:tcPr>
          <w:p>
            <w:pPr>
              <w:widowControl w:val="0"/>
              <w:rPr>
                <w:sz w:val="10"/>
                <w:szCs w:val="10"/>
              </w:rPr>
            </w:pPr>
          </w:p>
        </w:tc>
        <w:tc>
          <w:tcPr>
            <w:tcBorders>
              <w:top w:val="single" w:sz="4"/>
              <w:left w:val="single" w:sz="4"/>
              <w:right w:val="single" w:sz="4"/>
            </w:tcBorders>
            <w:shd w:val="clear" w:color="auto" w:fill="D7D7D7"/>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销售商品、提供劳务收到的现金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920,231,327.84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841,129,132.80</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收到的税费返还</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20" w:right="0" w:firstLine="0"/>
              <w:jc w:val="both"/>
              <w:rPr>
                <w:sz w:val="18"/>
                <w:szCs w:val="18"/>
              </w:rPr>
            </w:pPr>
            <w:r>
              <w:rPr>
                <w:rFonts w:ascii="Times New Roman" w:eastAsia="Times New Roman" w:hAnsi="Times New Roman" w:cs="Times New Roman"/>
                <w:color w:val="000000"/>
                <w:spacing w:val="0"/>
                <w:w w:val="100"/>
                <w:position w:val="0"/>
                <w:sz w:val="18"/>
                <w:szCs w:val="18"/>
              </w:rPr>
              <w:t>4,556,504.06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20" w:right="0" w:firstLine="0"/>
              <w:jc w:val="both"/>
              <w:rPr>
                <w:sz w:val="18"/>
                <w:szCs w:val="18"/>
              </w:rPr>
            </w:pPr>
            <w:r>
              <w:rPr>
                <w:rFonts w:ascii="Times New Roman" w:eastAsia="Times New Roman" w:hAnsi="Times New Roman" w:cs="Times New Roman"/>
                <w:color w:val="000000"/>
                <w:spacing w:val="0"/>
                <w:w w:val="100"/>
                <w:position w:val="0"/>
                <w:sz w:val="18"/>
                <w:szCs w:val="18"/>
              </w:rPr>
              <w:t>5,494,487.33</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收到其他与经营活动有关的现金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826,076,238.16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20" w:right="0" w:firstLine="0"/>
              <w:jc w:val="both"/>
              <w:rPr>
                <w:sz w:val="18"/>
                <w:szCs w:val="18"/>
              </w:rPr>
            </w:pPr>
            <w:r>
              <w:rPr>
                <w:rFonts w:ascii="Times New Roman" w:eastAsia="Times New Roman" w:hAnsi="Times New Roman" w:cs="Times New Roman"/>
                <w:color w:val="000000"/>
                <w:spacing w:val="0"/>
                <w:w w:val="100"/>
                <w:position w:val="0"/>
                <w:sz w:val="18"/>
                <w:szCs w:val="18"/>
              </w:rPr>
              <w:t>1,032,616,860.98</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经营活动现金流入小计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20" w:right="0" w:firstLine="0"/>
              <w:jc w:val="both"/>
              <w:rPr>
                <w:sz w:val="18"/>
                <w:szCs w:val="18"/>
              </w:rPr>
            </w:pPr>
            <w:r>
              <w:rPr>
                <w:rFonts w:ascii="Times New Roman" w:eastAsia="Times New Roman" w:hAnsi="Times New Roman" w:cs="Times New Roman"/>
                <w:color w:val="000000"/>
                <w:spacing w:val="0"/>
                <w:w w:val="100"/>
                <w:position w:val="0"/>
                <w:sz w:val="18"/>
                <w:szCs w:val="18"/>
              </w:rPr>
              <w:t>1,750,864,070.06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20" w:right="0" w:firstLine="0"/>
              <w:jc w:val="both"/>
              <w:rPr>
                <w:sz w:val="18"/>
                <w:szCs w:val="18"/>
              </w:rPr>
            </w:pPr>
            <w:r>
              <w:rPr>
                <w:rFonts w:ascii="Times New Roman" w:eastAsia="Times New Roman" w:hAnsi="Times New Roman" w:cs="Times New Roman"/>
                <w:color w:val="000000"/>
                <w:spacing w:val="0"/>
                <w:w w:val="100"/>
                <w:position w:val="0"/>
                <w:sz w:val="18"/>
                <w:szCs w:val="18"/>
              </w:rPr>
              <w:t>1,879,240,481.11</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购买商品、接受劳务支付的现金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295,319,201.99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360,471,611.05</w:t>
            </w:r>
          </w:p>
        </w:tc>
      </w:tr>
      <w:tr>
        <w:trPr>
          <w:trHeight w:val="710"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07" w:lineRule="exact"/>
              <w:ind w:left="0" w:right="0"/>
              <w:jc w:val="left"/>
            </w:pPr>
            <w:r>
              <w:rPr>
                <w:color w:val="000000"/>
                <w:spacing w:val="0"/>
                <w:w w:val="100"/>
                <w:position w:val="0"/>
              </w:rPr>
              <w:t>支付给职工以及为职工支付的现 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364,799,426.88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316,127,397.18</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支付的各项税费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both"/>
              <w:rPr>
                <w:sz w:val="18"/>
                <w:szCs w:val="18"/>
              </w:rPr>
            </w:pPr>
            <w:r>
              <w:rPr>
                <w:rFonts w:ascii="Times New Roman" w:eastAsia="Times New Roman" w:hAnsi="Times New Roman" w:cs="Times New Roman"/>
                <w:color w:val="000000"/>
                <w:spacing w:val="0"/>
                <w:w w:val="100"/>
                <w:position w:val="0"/>
                <w:sz w:val="18"/>
                <w:szCs w:val="18"/>
              </w:rPr>
              <w:t>42,448,780.27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42,574,388.72</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支付其他与经营活动有关的现金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464,083,306.13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20" w:right="0" w:firstLine="0"/>
              <w:jc w:val="both"/>
              <w:rPr>
                <w:sz w:val="18"/>
                <w:szCs w:val="18"/>
              </w:rPr>
            </w:pPr>
            <w:r>
              <w:rPr>
                <w:rFonts w:ascii="Times New Roman" w:eastAsia="Times New Roman" w:hAnsi="Times New Roman" w:cs="Times New Roman"/>
                <w:color w:val="000000"/>
                <w:spacing w:val="0"/>
                <w:w w:val="100"/>
                <w:position w:val="0"/>
                <w:sz w:val="18"/>
                <w:szCs w:val="18"/>
              </w:rPr>
              <w:t>1,206,796,131.10</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经营活动现金流出小计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20" w:right="0" w:firstLine="0"/>
              <w:jc w:val="both"/>
              <w:rPr>
                <w:sz w:val="18"/>
                <w:szCs w:val="18"/>
              </w:rPr>
            </w:pPr>
            <w:r>
              <w:rPr>
                <w:rFonts w:ascii="Times New Roman" w:eastAsia="Times New Roman" w:hAnsi="Times New Roman" w:cs="Times New Roman"/>
                <w:color w:val="000000"/>
                <w:spacing w:val="0"/>
                <w:w w:val="100"/>
                <w:position w:val="0"/>
                <w:sz w:val="18"/>
                <w:szCs w:val="18"/>
              </w:rPr>
              <w:t>1,166,650,715.27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20" w:right="0" w:firstLine="0"/>
              <w:jc w:val="both"/>
              <w:rPr>
                <w:sz w:val="18"/>
                <w:szCs w:val="18"/>
              </w:rPr>
            </w:pPr>
            <w:r>
              <w:rPr>
                <w:rFonts w:ascii="Times New Roman" w:eastAsia="Times New Roman" w:hAnsi="Times New Roman" w:cs="Times New Roman"/>
                <w:color w:val="000000"/>
                <w:spacing w:val="0"/>
                <w:w w:val="100"/>
                <w:position w:val="0"/>
                <w:sz w:val="18"/>
                <w:szCs w:val="18"/>
              </w:rPr>
              <w:t>1,925,969,528.05</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经营活动产生的现金流量净额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584,213,354.79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-46,729,046.94</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二、投资活动产生的现金流量：</w:t>
            </w:r>
          </w:p>
        </w:tc>
        <w:tc>
          <w:tcPr>
            <w:tcBorders>
              <w:top w:val="single" w:sz="4"/>
              <w:left w:val="single" w:sz="4"/>
            </w:tcBorders>
            <w:shd w:val="clear" w:color="auto" w:fill="D7D7D7"/>
            <w:vAlign w:val="top"/>
          </w:tcPr>
          <w:p>
            <w:pPr>
              <w:widowControl w:val="0"/>
              <w:rPr>
                <w:sz w:val="10"/>
                <w:szCs w:val="10"/>
              </w:rPr>
            </w:pPr>
          </w:p>
        </w:tc>
        <w:tc>
          <w:tcPr>
            <w:tcBorders>
              <w:top w:val="single" w:sz="4"/>
              <w:left w:val="single" w:sz="4"/>
              <w:right w:val="single" w:sz="4"/>
            </w:tcBorders>
            <w:shd w:val="clear" w:color="auto" w:fill="D7D7D7"/>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收回投资收到的现金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139,737,597.89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343,369,682.55</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取得投资收益收到的现金</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20" w:right="0" w:firstLine="0"/>
              <w:jc w:val="both"/>
              <w:rPr>
                <w:sz w:val="18"/>
                <w:szCs w:val="18"/>
              </w:rPr>
            </w:pPr>
            <w:r>
              <w:rPr>
                <w:rFonts w:ascii="Times New Roman" w:eastAsia="Times New Roman" w:hAnsi="Times New Roman" w:cs="Times New Roman"/>
                <w:color w:val="000000"/>
                <w:spacing w:val="0"/>
                <w:w w:val="100"/>
                <w:position w:val="0"/>
                <w:sz w:val="18"/>
                <w:szCs w:val="18"/>
              </w:rPr>
              <w:t>3,785,995.50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20" w:right="0" w:firstLine="0"/>
              <w:jc w:val="both"/>
              <w:rPr>
                <w:sz w:val="18"/>
                <w:szCs w:val="18"/>
              </w:rPr>
            </w:pPr>
            <w:r>
              <w:rPr>
                <w:rFonts w:ascii="Times New Roman" w:eastAsia="Times New Roman" w:hAnsi="Times New Roman" w:cs="Times New Roman"/>
                <w:color w:val="000000"/>
                <w:spacing w:val="0"/>
                <w:w w:val="100"/>
                <w:position w:val="0"/>
                <w:sz w:val="18"/>
                <w:szCs w:val="18"/>
              </w:rPr>
              <w:t>9,072,692.00</w:t>
            </w:r>
          </w:p>
        </w:tc>
      </w:tr>
    </w:tbl>
    <w:p>
      <w:pPr>
        <w:widowControl w:val="0"/>
        <w:spacing w:line="1" w:lineRule="exact"/>
      </w:pPr>
      <w:r>
        <w:br w:type="page"/>
      </w:r>
    </w:p>
    <w:tbl>
      <w:tblPr>
        <w:tblOverlap w:val="never"/>
        <w:jc w:val="center"/>
        <w:tblLayout w:type="fixed"/>
      </w:tblPr>
      <w:tblGrid>
        <w:gridCol w:w="2971"/>
        <w:gridCol w:w="3302"/>
        <w:gridCol w:w="3307"/>
      </w:tblGrid>
      <w:tr>
        <w:trPr>
          <w:trHeight w:val="792"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jc w:val="both"/>
            </w:pPr>
            <w:r>
              <w:rPr>
                <w:color w:val="000000"/>
                <w:spacing w:val="0"/>
                <w:w w:val="100"/>
                <w:position w:val="0"/>
              </w:rPr>
              <w:t>处置固定资产、无形资产和其他 长期资产收回的现金净额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7,893.61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62,517,827.42</w:t>
            </w:r>
          </w:p>
        </w:tc>
      </w:tr>
      <w:tr>
        <w:trPr>
          <w:trHeight w:val="710"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jc w:val="both"/>
            </w:pPr>
            <w:r>
              <w:rPr>
                <w:color w:val="000000"/>
                <w:spacing w:val="0"/>
                <w:w w:val="100"/>
                <w:position w:val="0"/>
              </w:rPr>
              <w:t>处置子公司及其他营业单位收到 的现金净额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both"/>
            </w:pPr>
            <w:r>
              <w:rPr>
                <w:color w:val="000000"/>
                <w:spacing w:val="0"/>
                <w:w w:val="100"/>
                <w:position w:val="0"/>
              </w:rPr>
              <w:t>收到其他与投资活动有关的现金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投资活动现金流入小计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143,531,487.00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414,960,201.97</w:t>
            </w: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jc w:val="both"/>
            </w:pPr>
            <w:r>
              <w:rPr>
                <w:color w:val="000000"/>
                <w:spacing w:val="0"/>
                <w:w w:val="100"/>
                <w:position w:val="0"/>
              </w:rPr>
              <w:t>购建固定资产、无形资产和其他 长期资产支付的现金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both"/>
              <w:rPr>
                <w:sz w:val="18"/>
                <w:szCs w:val="18"/>
              </w:rPr>
            </w:pPr>
            <w:r>
              <w:rPr>
                <w:rFonts w:ascii="Times New Roman" w:eastAsia="Times New Roman" w:hAnsi="Times New Roman" w:cs="Times New Roman"/>
                <w:color w:val="000000"/>
                <w:spacing w:val="0"/>
                <w:w w:val="100"/>
                <w:position w:val="0"/>
                <w:sz w:val="18"/>
                <w:szCs w:val="18"/>
              </w:rPr>
              <w:t>17,782,314.38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52,560,518.48</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both"/>
            </w:pPr>
            <w:r>
              <w:rPr>
                <w:color w:val="000000"/>
                <w:spacing w:val="0"/>
                <w:w w:val="100"/>
                <w:position w:val="0"/>
              </w:rPr>
              <w:t>投资支付的现金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240,800,001.00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226,425,000.00</w:t>
            </w: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jc w:val="both"/>
            </w:pPr>
            <w:r>
              <w:rPr>
                <w:color w:val="000000"/>
                <w:spacing w:val="0"/>
                <w:w w:val="100"/>
                <w:position w:val="0"/>
              </w:rPr>
              <w:t>取得子公司及其他营业单位支付 的现金净额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both"/>
            </w:pPr>
            <w:r>
              <w:rPr>
                <w:color w:val="000000"/>
                <w:spacing w:val="0"/>
                <w:w w:val="100"/>
                <w:position w:val="0"/>
              </w:rPr>
              <w:t>支付其他与投资活动有关的现金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投资活动现金流出小计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258,582,315.38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278,985,518.48</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投资活动产生的现金流量净额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80" w:right="0" w:firstLine="0"/>
              <w:jc w:val="both"/>
              <w:rPr>
                <w:sz w:val="18"/>
                <w:szCs w:val="18"/>
              </w:rPr>
            </w:pPr>
            <w:r>
              <w:rPr>
                <w:rFonts w:ascii="Times New Roman" w:eastAsia="Times New Roman" w:hAnsi="Times New Roman" w:cs="Times New Roman"/>
                <w:color w:val="000000"/>
                <w:spacing w:val="0"/>
                <w:w w:val="100"/>
                <w:position w:val="0"/>
                <w:sz w:val="18"/>
                <w:szCs w:val="18"/>
              </w:rPr>
              <w:t>-115,050,828.38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135,974,683.49</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三、筹资活动产生的现金流量：</w:t>
            </w:r>
          </w:p>
        </w:tc>
        <w:tc>
          <w:tcPr>
            <w:tcBorders>
              <w:top w:val="single" w:sz="4"/>
              <w:left w:val="single" w:sz="4"/>
            </w:tcBorders>
            <w:shd w:val="clear" w:color="auto" w:fill="D7D7D7"/>
            <w:vAlign w:val="top"/>
          </w:tcPr>
          <w:p>
            <w:pPr>
              <w:widowControl w:val="0"/>
              <w:rPr>
                <w:sz w:val="10"/>
                <w:szCs w:val="10"/>
              </w:rPr>
            </w:pPr>
          </w:p>
        </w:tc>
        <w:tc>
          <w:tcPr>
            <w:tcBorders>
              <w:top w:val="single" w:sz="4"/>
              <w:left w:val="single" w:sz="4"/>
              <w:right w:val="single" w:sz="4"/>
            </w:tcBorders>
            <w:shd w:val="clear" w:color="auto" w:fill="D7D7D7"/>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both"/>
            </w:pPr>
            <w:r>
              <w:rPr>
                <w:color w:val="000000"/>
                <w:spacing w:val="0"/>
                <w:w w:val="100"/>
                <w:position w:val="0"/>
              </w:rPr>
              <w:t>吸收投资收到的现金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both"/>
            </w:pPr>
            <w:r>
              <w:rPr>
                <w:color w:val="000000"/>
                <w:spacing w:val="0"/>
                <w:w w:val="100"/>
                <w:position w:val="0"/>
              </w:rPr>
              <w:t>取得借款收到的现金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305,637,139.64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998,847,009.03</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both"/>
            </w:pPr>
            <w:r>
              <w:rPr>
                <w:color w:val="000000"/>
                <w:spacing w:val="0"/>
                <w:w w:val="100"/>
                <w:position w:val="0"/>
              </w:rPr>
              <w:t>收到其他与筹资活动有关的现金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both"/>
              <w:rPr>
                <w:sz w:val="18"/>
                <w:szCs w:val="18"/>
              </w:rPr>
            </w:pPr>
            <w:r>
              <w:rPr>
                <w:rFonts w:ascii="Times New Roman" w:eastAsia="Times New Roman" w:hAnsi="Times New Roman" w:cs="Times New Roman"/>
                <w:color w:val="000000"/>
                <w:spacing w:val="0"/>
                <w:w w:val="100"/>
                <w:position w:val="0"/>
                <w:sz w:val="18"/>
                <w:szCs w:val="18"/>
              </w:rPr>
              <w:t>13,320,651.19</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筹资活动现金流入小计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318,957,790.83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998,847,009.03</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both"/>
            </w:pPr>
            <w:r>
              <w:rPr>
                <w:color w:val="000000"/>
                <w:spacing w:val="0"/>
                <w:w w:val="100"/>
                <w:position w:val="0"/>
              </w:rPr>
              <w:t>偿还债务支付的现金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765,347,009.03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761,000,000.00</w:t>
            </w: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jc w:val="both"/>
            </w:pPr>
            <w:r>
              <w:rPr>
                <w:color w:val="000000"/>
                <w:spacing w:val="0"/>
                <w:w w:val="100"/>
                <w:position w:val="0"/>
              </w:rPr>
              <w:t>分配股利、利润或偿付利息支付 的现金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both"/>
              <w:rPr>
                <w:sz w:val="18"/>
                <w:szCs w:val="18"/>
              </w:rPr>
            </w:pPr>
            <w:r>
              <w:rPr>
                <w:rFonts w:ascii="Times New Roman" w:eastAsia="Times New Roman" w:hAnsi="Times New Roman" w:cs="Times New Roman"/>
                <w:color w:val="000000"/>
                <w:spacing w:val="0"/>
                <w:w w:val="100"/>
                <w:position w:val="0"/>
                <w:sz w:val="18"/>
                <w:szCs w:val="18"/>
              </w:rPr>
              <w:t>31,896,938.32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38,076,267.77</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both"/>
            </w:pPr>
            <w:r>
              <w:rPr>
                <w:color w:val="000000"/>
                <w:spacing w:val="0"/>
                <w:w w:val="100"/>
                <w:position w:val="0"/>
              </w:rPr>
              <w:t>支付其他与筹资活动有关的现金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100,973,450.64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16,037,977.04</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筹资活动现金流出小计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898,217,397.99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815,114,244.81</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筹资活动产生的现金流量净额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80" w:right="0" w:firstLine="0"/>
              <w:jc w:val="both"/>
              <w:rPr>
                <w:sz w:val="18"/>
                <w:szCs w:val="18"/>
              </w:rPr>
            </w:pPr>
            <w:r>
              <w:rPr>
                <w:rFonts w:ascii="Times New Roman" w:eastAsia="Times New Roman" w:hAnsi="Times New Roman" w:cs="Times New Roman"/>
                <w:color w:val="000000"/>
                <w:spacing w:val="0"/>
                <w:w w:val="100"/>
                <w:position w:val="0"/>
                <w:sz w:val="18"/>
                <w:szCs w:val="18"/>
              </w:rPr>
              <w:t>-579,259,607.16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183,732,764.22</w:t>
            </w: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四、汇率变动对现金及现金等价物的 影响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五、现金及现金等价物净增加额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80" w:right="0" w:firstLine="0"/>
              <w:jc w:val="both"/>
              <w:rPr>
                <w:sz w:val="18"/>
                <w:szCs w:val="18"/>
              </w:rPr>
            </w:pPr>
            <w:r>
              <w:rPr>
                <w:rFonts w:ascii="Times New Roman" w:eastAsia="Times New Roman" w:hAnsi="Times New Roman" w:cs="Times New Roman"/>
                <w:color w:val="000000"/>
                <w:spacing w:val="0"/>
                <w:w w:val="100"/>
                <w:position w:val="0"/>
                <w:sz w:val="18"/>
                <w:szCs w:val="18"/>
              </w:rPr>
              <w:t>-110,097,080.75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272,978,400.77</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both"/>
            </w:pPr>
            <w:r>
              <w:rPr>
                <w:color w:val="000000"/>
                <w:spacing w:val="0"/>
                <w:w w:val="100"/>
                <w:position w:val="0"/>
              </w:rPr>
              <w:t>加：期初现金及现金等价物余额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318,669,383.72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45,690,982.95</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六、期末现金及现金等价物余额</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208,572,302.97</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318,669,383.72</w:t>
            </w:r>
          </w:p>
        </w:tc>
      </w:tr>
    </w:tbl>
    <w:p>
      <w:pPr>
        <w:widowControl w:val="0"/>
        <w:spacing w:after="319" w:line="1" w:lineRule="exact"/>
      </w:pPr>
    </w:p>
    <w:p>
      <w:pPr>
        <w:pStyle w:val="Style47"/>
        <w:keepNext/>
        <w:keepLines/>
        <w:widowControl w:val="0"/>
        <w:shd w:val="clear" w:color="auto" w:fill="auto"/>
        <w:bidi w:val="0"/>
        <w:spacing w:before="0" w:after="400" w:line="240" w:lineRule="auto"/>
        <w:ind w:left="0" w:right="0" w:firstLine="0"/>
        <w:jc w:val="left"/>
      </w:pPr>
      <w:bookmarkStart w:id="822" w:name="bookmark822"/>
      <w:bookmarkStart w:id="823" w:name="bookmark823"/>
      <w:bookmarkStart w:id="824" w:name="bookmark824"/>
      <w:bookmarkStart w:id="825" w:name="bookmark825"/>
      <w:r>
        <w:rPr>
          <w:color w:val="000000"/>
          <w:spacing w:val="0"/>
          <w:w w:val="100"/>
          <w:position w:val="0"/>
        </w:rPr>
        <w:t>7</w:t>
      </w:r>
      <w:bookmarkEnd w:id="824"/>
      <w:r>
        <w:rPr>
          <w:color w:val="000000"/>
          <w:spacing w:val="0"/>
          <w:w w:val="100"/>
          <w:position w:val="0"/>
        </w:rPr>
        <w:t>、合并所有者权益变动表</w:t>
      </w:r>
      <w:bookmarkEnd w:id="822"/>
      <w:bookmarkEnd w:id="823"/>
      <w:bookmarkEnd w:id="825"/>
    </w:p>
    <w:p>
      <w:pPr>
        <w:pStyle w:val="Style41"/>
        <w:keepNext w:val="0"/>
        <w:keepLines w:val="0"/>
        <w:widowControl w:val="0"/>
        <w:shd w:val="clear" w:color="auto" w:fill="auto"/>
        <w:bidi w:val="0"/>
        <w:spacing w:before="0" w:after="160" w:line="240" w:lineRule="auto"/>
        <w:ind w:left="0" w:right="0" w:firstLine="0"/>
        <w:jc w:val="left"/>
      </w:pPr>
      <w:r>
        <w:rPr>
          <w:color w:val="000000"/>
          <w:spacing w:val="0"/>
          <w:w w:val="100"/>
          <w:position w:val="0"/>
        </w:rPr>
        <w:t>本期金额</w:t>
      </w:r>
    </w:p>
    <w:p>
      <w:pPr>
        <w:pStyle w:val="Style41"/>
        <w:keepNext w:val="0"/>
        <w:keepLines w:val="0"/>
        <w:widowControl w:val="0"/>
        <w:shd w:val="clear" w:color="auto" w:fill="auto"/>
        <w:bidi w:val="0"/>
        <w:spacing w:before="0" w:after="160" w:line="240" w:lineRule="auto"/>
        <w:ind w:left="0" w:right="0" w:firstLine="0"/>
        <w:jc w:val="right"/>
      </w:pPr>
      <w:r>
        <w:rPr>
          <w:color w:val="000000"/>
          <w:spacing w:val="0"/>
          <w:w w:val="100"/>
          <w:position w:val="0"/>
        </w:rPr>
        <w:t>单位：元</w:t>
      </w:r>
    </w:p>
    <w:p>
      <w:pPr>
        <w:pStyle w:val="Style222"/>
        <w:keepNext w:val="0"/>
        <w:keepLines w:val="0"/>
        <w:widowControl w:val="0"/>
        <w:pBdr>
          <w:top w:val="single" w:sz="4" w:space="0" w:color="D3D3D3"/>
          <w:left w:val="single" w:sz="4" w:space="0" w:color="D3D3D3"/>
          <w:bottom w:val="single" w:sz="4" w:space="0" w:color="D3D3D3"/>
          <w:right w:val="single" w:sz="4" w:space="0" w:color="D3D3D3"/>
        </w:pBdr>
        <w:shd w:val="clear" w:color="auto" w:fill="D3D3D3"/>
        <w:bidi w:val="0"/>
        <w:spacing w:before="0" w:after="240" w:line="240" w:lineRule="auto"/>
        <w:ind w:left="0" w:right="0" w:firstLine="0"/>
        <w:jc w:val="center"/>
        <w:rPr>
          <w:sz w:val="17"/>
          <w:szCs w:val="17"/>
        </w:rPr>
        <w:sectPr>
          <w:headerReference w:type="default" r:id="rId277"/>
          <w:footerReference w:type="default" r:id="rId278"/>
          <w:headerReference w:type="even" r:id="rId279"/>
          <w:footerReference w:type="even" r:id="rId280"/>
          <w:headerReference w:type="first" r:id="rId281"/>
          <w:footerReference w:type="first" r:id="rId282"/>
          <w:footnotePr>
            <w:pos w:val="pageBottom"/>
            <w:numFmt w:val="decimal"/>
            <w:numRestart w:val="continuous"/>
          </w:footnotePr>
          <w:pgSz w:w="11904" w:h="17375"/>
          <w:pgMar w:top="1675" w:right="1077" w:bottom="1664" w:left="1040" w:header="0" w:footer="3" w:gutter="0"/>
          <w:cols w:space="720"/>
          <w:noEndnote/>
          <w:titlePg/>
          <w:rtlGutter w:val="0"/>
          <w:docGrid w:linePitch="360"/>
        </w:sectPr>
      </w:pPr>
      <w:r>
        <mc:AlternateContent>
          <mc:Choice Requires="wps">
            <w:drawing>
              <wp:anchor distT="0" distB="0" distL="114300" distR="114300" simplePos="0" relativeHeight="125829502" behindDoc="0" locked="0" layoutInCell="1" allowOverlap="1">
                <wp:simplePos x="0" y="0"/>
                <wp:positionH relativeFrom="page">
                  <wp:posOffset>975995</wp:posOffset>
                </wp:positionH>
                <wp:positionV relativeFrom="paragraph">
                  <wp:posOffset>12700</wp:posOffset>
                </wp:positionV>
                <wp:extent cx="255905" cy="146050"/>
                <wp:wrapSquare wrapText="right"/>
                <wp:docPr id="748" name="Shape 748"/>
                <a:graphic xmlns:a="http://schemas.openxmlformats.org/drawingml/2006/main">
                  <a:graphicData uri="http://schemas.microsoft.com/office/word/2010/wordprocessingShape">
                    <wps:wsp>
                      <wps:cNvSpPr txBox="1"/>
                      <wps:spPr>
                        <a:xfrm>
                          <a:ext cx="255905" cy="146050"/>
                        </a:xfrm>
                        <a:prstGeom prst="rect"/>
                        <a:solidFill>
                          <a:srgbClr val="D3D3D3"/>
                        </a:solidFill>
                      </wps:spPr>
                      <wps:txbx>
                        <w:txbxContent>
                          <w:p>
                            <w:pPr>
                              <w:pStyle w:val="Style41"/>
                              <w:keepNext w:val="0"/>
                              <w:keepLines w:val="0"/>
                              <w:widowControl w:val="0"/>
                              <w:pBdr>
                                <w:top w:val="single" w:sz="0" w:space="0" w:color="D3D3D3"/>
                                <w:left w:val="single" w:sz="0" w:space="0" w:color="D3D3D3"/>
                                <w:bottom w:val="single" w:sz="0" w:space="0" w:color="D3D3D3"/>
                                <w:right w:val="single" w:sz="0" w:space="0" w:color="D3D3D3"/>
                              </w:pBdr>
                              <w:shd w:val="clear" w:color="auto" w:fill="D3D3D3"/>
                              <w:bidi w:val="0"/>
                              <w:spacing w:before="0" w:after="0" w:line="240" w:lineRule="auto"/>
                              <w:ind w:left="0" w:right="0" w:firstLine="0"/>
                              <w:jc w:val="left"/>
                            </w:pPr>
                            <w:r>
                              <w:rPr>
                                <w:color w:val="000000"/>
                                <w:spacing w:val="0"/>
                                <w:w w:val="100"/>
                                <w:position w:val="0"/>
                              </w:rPr>
                              <w:t>项目</w:t>
                            </w:r>
                          </w:p>
                        </w:txbxContent>
                      </wps:txbx>
                      <wps:bodyPr wrap="none" lIns="0" tIns="0" rIns="0" bIns="0">
                        <a:noAutoFit/>
                      </wps:bodyPr>
                    </wps:wsp>
                  </a:graphicData>
                </a:graphic>
              </wp:anchor>
            </w:drawing>
          </mc:Choice>
          <mc:Fallback>
            <w:pict>
              <v:shape id="_x0000_s1774" type="#_x0000_t202" style="position:absolute;margin-left:76.850000000000009pt;margin-top:1.pt;width:20.150000000000002pt;height:11.5pt;z-index:-125829251;mso-wrap-distance-left:9.pt;mso-wrap-distance-right:9.pt;mso-position-horizontal-relative:page" fillcolor="#D3D3D3" stroked="f">
                <v:textbox inset="0,0,0,0">
                  <w:txbxContent>
                    <w:p>
                      <w:pPr>
                        <w:pStyle w:val="Style41"/>
                        <w:keepNext w:val="0"/>
                        <w:keepLines w:val="0"/>
                        <w:widowControl w:val="0"/>
                        <w:pBdr>
                          <w:top w:val="single" w:sz="0" w:space="0" w:color="D3D3D3"/>
                          <w:left w:val="single" w:sz="0" w:space="0" w:color="D3D3D3"/>
                          <w:bottom w:val="single" w:sz="0" w:space="0" w:color="D3D3D3"/>
                          <w:right w:val="single" w:sz="0" w:space="0" w:color="D3D3D3"/>
                        </w:pBdr>
                        <w:shd w:val="clear" w:color="auto" w:fill="D3D3D3"/>
                        <w:bidi w:val="0"/>
                        <w:spacing w:before="0" w:after="0" w:line="240" w:lineRule="auto"/>
                        <w:ind w:left="0" w:right="0" w:firstLine="0"/>
                        <w:jc w:val="left"/>
                      </w:pPr>
                      <w:r>
                        <w:rPr>
                          <w:color w:val="000000"/>
                          <w:spacing w:val="0"/>
                          <w:w w:val="100"/>
                          <w:position w:val="0"/>
                        </w:rPr>
                        <w:t>项目</w:t>
                      </w:r>
                    </w:p>
                  </w:txbxContent>
                </v:textbox>
                <w10:wrap type="square" side="right" anchorx="page"/>
              </v:shape>
            </w:pict>
          </mc:Fallback>
        </mc:AlternateContent>
      </w:r>
      <w:r>
        <w:rPr>
          <w:color w:val="000000"/>
          <w:spacing w:val="0"/>
          <w:w w:val="100"/>
          <w:position w:val="0"/>
          <w:sz w:val="18"/>
          <w:szCs w:val="18"/>
        </w:rPr>
        <w:t>2020</w:t>
      </w:r>
      <w:r>
        <w:rPr>
          <w:rFonts w:ascii="SimSun" w:eastAsia="SimSun" w:hAnsi="SimSun" w:cs="SimSun"/>
          <w:color w:val="000000"/>
          <w:spacing w:val="0"/>
          <w:w w:val="100"/>
          <w:position w:val="0"/>
          <w:sz w:val="17"/>
          <w:szCs w:val="17"/>
        </w:rPr>
        <w:t>年度</w:t>
      </w:r>
    </w:p>
    <w:tbl>
      <w:tblPr>
        <w:tblOverlap w:val="never"/>
        <w:jc w:val="center"/>
        <w:tblLayout w:type="fixed"/>
      </w:tblPr>
      <w:tblGrid>
        <w:gridCol w:w="1258"/>
        <w:gridCol w:w="494"/>
        <w:gridCol w:w="466"/>
        <w:gridCol w:w="466"/>
        <w:gridCol w:w="470"/>
        <w:gridCol w:w="581"/>
        <w:gridCol w:w="586"/>
        <w:gridCol w:w="581"/>
        <w:gridCol w:w="586"/>
        <w:gridCol w:w="586"/>
        <w:gridCol w:w="581"/>
        <w:gridCol w:w="586"/>
        <w:gridCol w:w="586"/>
        <w:gridCol w:w="581"/>
        <w:gridCol w:w="586"/>
        <w:gridCol w:w="586"/>
      </w:tblGrid>
      <w:tr>
        <w:trPr>
          <w:trHeight w:val="480" w:hRule="exact"/>
        </w:trPr>
        <w:tc>
          <w:tcPr>
            <w:vMerge w:val="restart"/>
            <w:tcBorders>
              <w:top w:val="single" w:sz="4"/>
              <w:left w:val="single" w:sz="4"/>
            </w:tcBorders>
            <w:shd w:val="clear" w:color="auto" w:fill="D7D7D7"/>
            <w:vAlign w:val="top"/>
          </w:tcPr>
          <w:p>
            <w:pPr>
              <w:widowControl w:val="0"/>
              <w:rPr>
                <w:sz w:val="10"/>
                <w:szCs w:val="10"/>
              </w:rPr>
            </w:pPr>
          </w:p>
        </w:tc>
        <w:tc>
          <w:tcPr>
            <w:gridSpan w:val="13"/>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归属于母公司所有者权益</w:t>
            </w:r>
          </w:p>
        </w:tc>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少数</w:t>
            </w:r>
          </w:p>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股东</w:t>
            </w:r>
          </w:p>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权益</w:t>
            </w:r>
          </w:p>
        </w:tc>
        <w:tc>
          <w:tcPr>
            <w:vMerge w:val="restart"/>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所有 者权 益合 计</w:t>
            </w:r>
          </w:p>
        </w:tc>
      </w:tr>
      <w:tr>
        <w:trPr>
          <w:trHeight w:val="398" w:hRule="exact"/>
        </w:trPr>
        <w:tc>
          <w:tcPr>
            <w:vMerge/>
            <w:tcBorders>
              <w:left w:val="single" w:sz="4"/>
            </w:tcBorders>
            <w:shd w:val="clear" w:color="auto" w:fill="D7D7D7"/>
            <w:vAlign w:val="top"/>
          </w:tcPr>
          <w:p>
            <w:pPr/>
          </w:p>
        </w:tc>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股本</w:t>
            </w:r>
          </w:p>
        </w:tc>
        <w:tc>
          <w:tcPr>
            <w:gridSpan w:val="3"/>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其他权益工具</w:t>
            </w:r>
          </w:p>
        </w:tc>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资本</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公积</w:t>
            </w:r>
          </w:p>
        </w:tc>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减：库 存股</w:t>
            </w:r>
          </w:p>
        </w:tc>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4" w:lineRule="exact"/>
              <w:ind w:left="0" w:right="0" w:firstLine="0"/>
              <w:jc w:val="left"/>
            </w:pPr>
            <w:r>
              <w:rPr>
                <w:color w:val="000000"/>
                <w:spacing w:val="0"/>
                <w:w w:val="100"/>
                <w:position w:val="0"/>
              </w:rPr>
              <w:t>其他 综合 收益</w:t>
            </w:r>
          </w:p>
        </w:tc>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07" w:lineRule="exact"/>
              <w:ind w:left="0" w:right="0" w:firstLine="0"/>
              <w:jc w:val="left"/>
            </w:pPr>
            <w:r>
              <w:rPr>
                <w:color w:val="000000"/>
                <w:spacing w:val="0"/>
                <w:w w:val="100"/>
                <w:position w:val="0"/>
              </w:rPr>
              <w:t>专项 储备</w:t>
            </w:r>
          </w:p>
        </w:tc>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盈余 公积</w:t>
            </w:r>
          </w:p>
        </w:tc>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120" w:line="240" w:lineRule="auto"/>
              <w:ind w:left="0" w:right="0" w:firstLine="0"/>
              <w:jc w:val="left"/>
            </w:pPr>
            <w:r>
              <w:rPr>
                <w:color w:val="000000"/>
                <w:spacing w:val="0"/>
                <w:w w:val="100"/>
                <w:position w:val="0"/>
              </w:rPr>
              <w:t>一般</w:t>
            </w:r>
          </w:p>
          <w:p>
            <w:pPr>
              <w:pStyle w:val="Style2"/>
              <w:keepNext w:val="0"/>
              <w:keepLines w:val="0"/>
              <w:widowControl w:val="0"/>
              <w:shd w:val="clear" w:color="auto" w:fill="auto"/>
              <w:bidi w:val="0"/>
              <w:spacing w:before="0" w:after="120" w:line="240" w:lineRule="auto"/>
              <w:ind w:left="0" w:right="0" w:firstLine="0"/>
              <w:jc w:val="left"/>
            </w:pPr>
            <w:r>
              <w:rPr>
                <w:color w:val="000000"/>
                <w:spacing w:val="0"/>
                <w:w w:val="100"/>
                <w:position w:val="0"/>
              </w:rPr>
              <w:t>风险</w:t>
            </w:r>
          </w:p>
          <w:p>
            <w:pPr>
              <w:pStyle w:val="Style2"/>
              <w:keepNext w:val="0"/>
              <w:keepLines w:val="0"/>
              <w:widowControl w:val="0"/>
              <w:shd w:val="clear" w:color="auto" w:fill="auto"/>
              <w:bidi w:val="0"/>
              <w:spacing w:before="0" w:after="120" w:line="240" w:lineRule="auto"/>
              <w:ind w:left="0" w:right="0" w:firstLine="0"/>
              <w:jc w:val="left"/>
            </w:pPr>
            <w:r>
              <w:rPr>
                <w:color w:val="000000"/>
                <w:spacing w:val="0"/>
                <w:w w:val="100"/>
                <w:position w:val="0"/>
              </w:rPr>
              <w:t>准备</w:t>
            </w:r>
          </w:p>
        </w:tc>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4" w:lineRule="exact"/>
              <w:ind w:left="0" w:right="0" w:firstLine="0"/>
              <w:jc w:val="center"/>
            </w:pPr>
            <w:r>
              <w:rPr>
                <w:color w:val="000000"/>
                <w:spacing w:val="0"/>
                <w:w w:val="100"/>
                <w:position w:val="0"/>
              </w:rPr>
              <w:t>未分 配利 润</w:t>
            </w:r>
          </w:p>
        </w:tc>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小计</w:t>
            </w:r>
          </w:p>
        </w:tc>
        <w:tc>
          <w:tcPr>
            <w:vMerge/>
            <w:tcBorders>
              <w:left w:val="single" w:sz="4"/>
            </w:tcBorders>
            <w:shd w:val="clear" w:color="auto" w:fill="D7D7D7"/>
            <w:vAlign w:val="center"/>
          </w:tcPr>
          <w:p>
            <w:pPr/>
          </w:p>
        </w:tc>
        <w:tc>
          <w:tcPr>
            <w:vMerge/>
            <w:tcBorders>
              <w:left w:val="single" w:sz="4"/>
              <w:right w:val="single" w:sz="4"/>
            </w:tcBorders>
            <w:shd w:val="clear" w:color="auto" w:fill="D7D7D7"/>
            <w:vAlign w:val="center"/>
          </w:tcPr>
          <w:p>
            <w:pPr/>
          </w:p>
        </w:tc>
      </w:tr>
      <w:tr>
        <w:trPr>
          <w:trHeight w:val="715" w:hRule="exact"/>
        </w:trPr>
        <w:tc>
          <w:tcPr>
            <w:vMerge/>
            <w:tcBorders>
              <w:left w:val="single" w:sz="4"/>
            </w:tcBorders>
            <w:shd w:val="clear" w:color="auto" w:fill="D7D7D7"/>
            <w:vAlign w:val="top"/>
          </w:tcPr>
          <w:p>
            <w:pPr/>
          </w:p>
        </w:tc>
        <w:tc>
          <w:tcPr>
            <w:vMerge/>
            <w:tcBorders>
              <w:left w:val="single" w:sz="4"/>
            </w:tcBorders>
            <w:shd w:val="clear" w:color="auto" w:fill="D7D7D7"/>
            <w:vAlign w:val="center"/>
          </w:tcPr>
          <w:p>
            <w:pP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120" w:line="240" w:lineRule="auto"/>
              <w:ind w:left="0" w:right="0" w:firstLine="0"/>
              <w:jc w:val="center"/>
            </w:pPr>
            <w:r>
              <w:rPr>
                <w:color w:val="000000"/>
                <w:spacing w:val="0"/>
                <w:w w:val="100"/>
                <w:position w:val="0"/>
              </w:rPr>
              <w:t>优先</w:t>
            </w:r>
          </w:p>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股</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永续 债</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vMerge/>
            <w:tcBorders>
              <w:left w:val="single" w:sz="4"/>
            </w:tcBorders>
            <w:shd w:val="clear" w:color="auto" w:fill="D7D7D7"/>
            <w:vAlign w:val="center"/>
          </w:tcPr>
          <w:p>
            <w:pPr/>
          </w:p>
        </w:tc>
        <w:tc>
          <w:tcPr>
            <w:vMerge/>
            <w:tcBorders>
              <w:left w:val="single" w:sz="4"/>
            </w:tcBorders>
            <w:shd w:val="clear" w:color="auto" w:fill="D7D7D7"/>
            <w:vAlign w:val="center"/>
          </w:tcPr>
          <w:p>
            <w:pPr/>
          </w:p>
        </w:tc>
        <w:tc>
          <w:tcPr>
            <w:vMerge/>
            <w:tcBorders>
              <w:left w:val="single" w:sz="4"/>
            </w:tcBorders>
            <w:shd w:val="clear" w:color="auto" w:fill="D7D7D7"/>
            <w:vAlign w:val="center"/>
          </w:tcPr>
          <w:p>
            <w:pPr/>
          </w:p>
        </w:tc>
        <w:tc>
          <w:tcPr>
            <w:vMerge/>
            <w:tcBorders>
              <w:left w:val="single" w:sz="4"/>
            </w:tcBorders>
            <w:shd w:val="clear" w:color="auto" w:fill="D7D7D7"/>
            <w:vAlign w:val="center"/>
          </w:tcPr>
          <w:p>
            <w:pPr/>
          </w:p>
        </w:tc>
        <w:tc>
          <w:tcPr>
            <w:vMerge/>
            <w:tcBorders>
              <w:left w:val="single" w:sz="4"/>
            </w:tcBorders>
            <w:shd w:val="clear" w:color="auto" w:fill="D7D7D7"/>
            <w:vAlign w:val="center"/>
          </w:tcPr>
          <w:p>
            <w:pPr/>
          </w:p>
        </w:tc>
        <w:tc>
          <w:tcPr>
            <w:vMerge/>
            <w:tcBorders>
              <w:left w:val="single" w:sz="4"/>
            </w:tcBorders>
            <w:shd w:val="clear" w:color="auto" w:fill="D7D7D7"/>
            <w:vAlign w:val="center"/>
          </w:tcPr>
          <w:p>
            <w:pPr/>
          </w:p>
        </w:tc>
        <w:tc>
          <w:tcPr>
            <w:vMerge/>
            <w:tcBorders>
              <w:left w:val="single" w:sz="4"/>
            </w:tcBorders>
            <w:shd w:val="clear" w:color="auto" w:fill="D7D7D7"/>
            <w:vAlign w:val="center"/>
          </w:tcPr>
          <w:p>
            <w:pPr/>
          </w:p>
        </w:tc>
        <w:tc>
          <w:tcPr>
            <w:vMerge/>
            <w:tcBorders>
              <w:left w:val="single" w:sz="4"/>
            </w:tcBorders>
            <w:shd w:val="clear" w:color="auto" w:fill="D7D7D7"/>
            <w:vAlign w:val="center"/>
          </w:tcPr>
          <w:p>
            <w:pPr/>
          </w:p>
        </w:tc>
        <w:tc>
          <w:tcPr>
            <w:vMerge/>
            <w:tcBorders>
              <w:left w:val="single" w:sz="4"/>
            </w:tcBorders>
            <w:shd w:val="clear" w:color="auto" w:fill="D7D7D7"/>
            <w:vAlign w:val="center"/>
          </w:tcPr>
          <w:p>
            <w:pPr/>
          </w:p>
        </w:tc>
        <w:tc>
          <w:tcPr>
            <w:vMerge/>
            <w:tcBorders>
              <w:left w:val="single" w:sz="4"/>
            </w:tcBorders>
            <w:shd w:val="clear" w:color="auto" w:fill="D7D7D7"/>
            <w:vAlign w:val="center"/>
          </w:tcPr>
          <w:p>
            <w:pPr/>
          </w:p>
        </w:tc>
        <w:tc>
          <w:tcPr>
            <w:vMerge/>
            <w:tcBorders>
              <w:left w:val="single" w:sz="4"/>
              <w:right w:val="single" w:sz="4"/>
            </w:tcBorders>
            <w:shd w:val="clear" w:color="auto" w:fill="D7D7D7"/>
            <w:vAlign w:val="center"/>
          </w:tcPr>
          <w:p>
            <w:pPr/>
          </w:p>
        </w:tc>
      </w:tr>
      <w:tr>
        <w:trPr>
          <w:trHeight w:val="1339"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120" w:line="240" w:lineRule="auto"/>
              <w:ind w:left="0" w:right="0" w:firstLine="0"/>
              <w:jc w:val="left"/>
            </w:pPr>
            <w:r>
              <w:rPr>
                <w:color w:val="000000"/>
                <w:spacing w:val="0"/>
                <w:w w:val="100"/>
                <w:position w:val="0"/>
              </w:rPr>
              <w:t>一、上年期末余</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1,961</w:t>
            </w:r>
          </w:p>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,091,</w:t>
            </w:r>
          </w:p>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984.0</w:t>
            </w:r>
          </w:p>
          <w:p>
            <w:pPr>
              <w:pStyle w:val="Style2"/>
              <w:keepNext w:val="0"/>
              <w:keepLines w:val="0"/>
              <w:widowControl w:val="0"/>
              <w:shd w:val="clear" w:color="auto" w:fill="auto"/>
              <w:bidi w:val="0"/>
              <w:spacing w:before="0" w:after="10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477,27</w:t>
            </w:r>
          </w:p>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7,883.</w:t>
            </w:r>
          </w:p>
          <w:p>
            <w:pPr>
              <w:pStyle w:val="Style2"/>
              <w:keepNext w:val="0"/>
              <w:keepLines w:val="0"/>
              <w:widowControl w:val="0"/>
              <w:shd w:val="clear" w:color="auto" w:fill="auto"/>
              <w:bidi w:val="0"/>
              <w:spacing w:before="0" w:after="10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42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-19,80</w:t>
            </w:r>
          </w:p>
          <w:p>
            <w:pPr>
              <w:pStyle w:val="Style2"/>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6,836.</w:t>
            </w:r>
          </w:p>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240,60</w:t>
            </w:r>
          </w:p>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1,619.</w:t>
            </w:r>
          </w:p>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1,063,</w:t>
            </w:r>
          </w:p>
          <w:p>
            <w:pPr>
              <w:pStyle w:val="Style2"/>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910,04</w:t>
            </w:r>
          </w:p>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6.52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3,723,</w:t>
            </w:r>
          </w:p>
          <w:p>
            <w:pPr>
              <w:pStyle w:val="Style2"/>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074,69</w:t>
            </w:r>
          </w:p>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7.60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23,483</w:t>
            </w:r>
          </w:p>
          <w:p>
            <w:pPr>
              <w:pStyle w:val="Style2"/>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,534.2</w:t>
            </w:r>
          </w:p>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3,746,</w:t>
            </w:r>
          </w:p>
          <w:p>
            <w:pPr>
              <w:pStyle w:val="Style2"/>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558,23</w:t>
            </w:r>
          </w:p>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1.80</w:t>
            </w:r>
          </w:p>
        </w:tc>
      </w:tr>
      <w:tr>
        <w:trPr>
          <w:trHeight w:val="1027"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120" w:line="240" w:lineRule="auto"/>
              <w:ind w:left="0" w:right="0"/>
              <w:jc w:val="both"/>
            </w:pPr>
            <w:r>
              <w:rPr>
                <w:color w:val="000000"/>
                <w:spacing w:val="0"/>
                <w:w w:val="100"/>
                <w:position w:val="0"/>
              </w:rPr>
              <w:t>加：会计政</w:t>
            </w:r>
          </w:p>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策变更</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-9,932.</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-142,2</w:t>
            </w:r>
          </w:p>
          <w:p>
            <w:pPr>
              <w:pStyle w:val="Style2"/>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77,692</w:t>
            </w:r>
          </w:p>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-142,2</w:t>
            </w:r>
          </w:p>
          <w:p>
            <w:pPr>
              <w:pStyle w:val="Style2"/>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87,624</w:t>
            </w:r>
          </w:p>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-1,345,</w:t>
            </w:r>
          </w:p>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933.45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-143,6</w:t>
            </w:r>
          </w:p>
          <w:p>
            <w:pPr>
              <w:pStyle w:val="Style2"/>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33,557</w:t>
            </w:r>
          </w:p>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.75</w:t>
            </w:r>
          </w:p>
        </w:tc>
      </w:tr>
      <w:tr>
        <w:trPr>
          <w:trHeight w:val="710"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120" w:line="240" w:lineRule="auto"/>
              <w:ind w:left="0" w:right="0" w:firstLine="740"/>
              <w:jc w:val="both"/>
            </w:pPr>
            <w:r>
              <w:rPr>
                <w:color w:val="000000"/>
                <w:spacing w:val="0"/>
                <w:w w:val="100"/>
                <w:position w:val="0"/>
              </w:rPr>
              <w:t>前期</w:t>
            </w:r>
          </w:p>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差错更正</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4" w:lineRule="exact"/>
              <w:ind w:left="0" w:right="0" w:firstLine="740"/>
              <w:jc w:val="both"/>
            </w:pPr>
            <w:r>
              <w:rPr>
                <w:color w:val="000000"/>
                <w:spacing w:val="0"/>
                <w:w w:val="100"/>
                <w:position w:val="0"/>
              </w:rPr>
              <w:t>同一 控制下企业合 并</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740"/>
              <w:jc w:val="both"/>
            </w:pP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339"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100" w:line="240" w:lineRule="auto"/>
              <w:ind w:left="0" w:right="0" w:firstLine="0"/>
              <w:jc w:val="both"/>
            </w:pPr>
            <w:r>
              <w:rPr>
                <w:color w:val="000000"/>
                <w:spacing w:val="0"/>
                <w:w w:val="100"/>
                <w:position w:val="0"/>
              </w:rPr>
              <w:t>二、本年期初余</w:t>
            </w:r>
          </w:p>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1,961</w:t>
            </w:r>
          </w:p>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,091,</w:t>
            </w:r>
          </w:p>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984.0</w:t>
            </w:r>
          </w:p>
          <w:p>
            <w:pPr>
              <w:pStyle w:val="Style2"/>
              <w:keepNext w:val="0"/>
              <w:keepLines w:val="0"/>
              <w:widowControl w:val="0"/>
              <w:shd w:val="clear" w:color="auto" w:fill="auto"/>
              <w:bidi w:val="0"/>
              <w:spacing w:before="0" w:after="10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477,27</w:t>
            </w:r>
          </w:p>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7,883.</w:t>
            </w:r>
          </w:p>
          <w:p>
            <w:pPr>
              <w:pStyle w:val="Style2"/>
              <w:keepNext w:val="0"/>
              <w:keepLines w:val="0"/>
              <w:widowControl w:val="0"/>
              <w:shd w:val="clear" w:color="auto" w:fill="auto"/>
              <w:bidi w:val="0"/>
              <w:spacing w:before="0" w:after="10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42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-19,81</w:t>
            </w:r>
          </w:p>
          <w:p>
            <w:pPr>
              <w:pStyle w:val="Style2"/>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6,768.</w:t>
            </w:r>
          </w:p>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240,60</w:t>
            </w:r>
          </w:p>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1,619.</w:t>
            </w:r>
          </w:p>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921,63</w:t>
            </w:r>
          </w:p>
          <w:p>
            <w:pPr>
              <w:pStyle w:val="Style2"/>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2,354.</w:t>
            </w:r>
          </w:p>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3,580,</w:t>
            </w:r>
          </w:p>
          <w:p>
            <w:pPr>
              <w:pStyle w:val="Style2"/>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787,07</w:t>
            </w:r>
          </w:p>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3.30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22,137</w:t>
            </w:r>
          </w:p>
          <w:p>
            <w:pPr>
              <w:pStyle w:val="Style2"/>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,600.7</w:t>
            </w:r>
          </w:p>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3,602,</w:t>
            </w:r>
          </w:p>
          <w:p>
            <w:pPr>
              <w:pStyle w:val="Style2"/>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924,67</w:t>
            </w:r>
          </w:p>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4.05</w:t>
            </w:r>
          </w:p>
        </w:tc>
      </w:tr>
      <w:tr>
        <w:trPr>
          <w:trHeight w:val="137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07" w:lineRule="exact"/>
              <w:ind w:left="0" w:right="0" w:firstLine="0"/>
              <w:jc w:val="both"/>
            </w:pPr>
            <w:r>
              <w:rPr>
                <w:color w:val="000000"/>
                <w:spacing w:val="0"/>
                <w:w w:val="100"/>
                <w:position w:val="0"/>
              </w:rPr>
              <w:t xml:space="preserve">三、本期增减变 动金额（减少以 </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106,95</w:t>
            </w:r>
          </w:p>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6,381.</w:t>
            </w:r>
          </w:p>
          <w:p>
            <w:pPr>
              <w:pStyle w:val="Style2"/>
              <w:keepNext w:val="0"/>
              <w:keepLines w:val="0"/>
              <w:widowControl w:val="0"/>
              <w:shd w:val="clear" w:color="auto" w:fill="auto"/>
              <w:bidi w:val="0"/>
              <w:spacing w:before="0" w:after="10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17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100,97</w:t>
            </w:r>
          </w:p>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3,450.</w:t>
            </w:r>
          </w:p>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-11,46</w:t>
            </w:r>
          </w:p>
          <w:p>
            <w:pPr>
              <w:pStyle w:val="Style2"/>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8,618.</w:t>
            </w:r>
          </w:p>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351,15</w:t>
            </w:r>
          </w:p>
          <w:p>
            <w:pPr>
              <w:pStyle w:val="Style2"/>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2,491.</w:t>
            </w:r>
          </w:p>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
              <w:keepNext w:val="0"/>
              <w:keepLines w:val="0"/>
              <w:widowControl w:val="0"/>
              <w:shd w:val="clear" w:color="auto" w:fill="auto"/>
              <w:bidi w:val="0"/>
              <w:spacing w:before="10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345,66</w:t>
            </w:r>
          </w:p>
          <w:p>
            <w:pPr>
              <w:pStyle w:val="Style2"/>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6,803.</w:t>
            </w:r>
          </w:p>
          <w:p>
            <w:pPr>
              <w:pStyle w:val="Style2"/>
              <w:keepNext w:val="0"/>
              <w:keepLines w:val="0"/>
              <w:widowControl w:val="0"/>
              <w:shd w:val="clear" w:color="auto" w:fill="auto"/>
              <w:bidi w:val="0"/>
              <w:spacing w:before="0" w:after="100" w:line="240" w:lineRule="auto"/>
              <w:ind w:left="0" w:right="0"/>
              <w:jc w:val="both"/>
              <w:rPr>
                <w:sz w:val="18"/>
                <w:szCs w:val="18"/>
              </w:rPr>
            </w:pPr>
            <w:r>
              <w:rPr>
                <w:rFonts w:ascii="Times New Roman" w:eastAsia="Times New Roman" w:hAnsi="Times New Roman" w:cs="Times New Roman"/>
                <w:color w:val="000000"/>
                <w:spacing w:val="0"/>
                <w:w w:val="100"/>
                <w:position w:val="0"/>
                <w:sz w:val="18"/>
                <w:szCs w:val="18"/>
              </w:rPr>
              <w:t>99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7,433,</w:t>
            </w:r>
          </w:p>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669.05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353,10</w:t>
            </w:r>
          </w:p>
          <w:p>
            <w:pPr>
              <w:pStyle w:val="Style2"/>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0,473.</w:t>
            </w:r>
          </w:p>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04</w:t>
            </w:r>
          </w:p>
        </w:tc>
      </w:tr>
      <w:tr>
        <w:trPr>
          <w:trHeight w:val="1027"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firstLine="0"/>
              <w:jc w:val="both"/>
            </w:pPr>
            <w:r>
              <w:rPr>
                <w:color w:val="000000"/>
                <w:spacing w:val="0"/>
                <w:w w:val="100"/>
                <w:position w:val="0"/>
              </w:rPr>
              <w:t>（一）综合收益 总额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-11,46</w:t>
            </w:r>
          </w:p>
          <w:p>
            <w:pPr>
              <w:pStyle w:val="Style2"/>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8,618.</w:t>
            </w:r>
          </w:p>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351,15</w:t>
            </w:r>
          </w:p>
          <w:p>
            <w:pPr>
              <w:pStyle w:val="Style2"/>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2,491.</w:t>
            </w:r>
          </w:p>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339,68</w:t>
            </w:r>
          </w:p>
          <w:p>
            <w:pPr>
              <w:pStyle w:val="Style2"/>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3,873.</w:t>
            </w:r>
          </w:p>
          <w:p>
            <w:pPr>
              <w:pStyle w:val="Style2"/>
              <w:keepNext w:val="0"/>
              <w:keepLines w:val="0"/>
              <w:widowControl w:val="0"/>
              <w:shd w:val="clear" w:color="auto" w:fill="auto"/>
              <w:bidi w:val="0"/>
              <w:spacing w:before="0" w:after="100" w:line="240" w:lineRule="auto"/>
              <w:ind w:left="0" w:right="0"/>
              <w:jc w:val="both"/>
              <w:rPr>
                <w:sz w:val="18"/>
                <w:szCs w:val="18"/>
              </w:rPr>
            </w:pPr>
            <w:r>
              <w:rPr>
                <w:rFonts w:ascii="Times New Roman" w:eastAsia="Times New Roman" w:hAnsi="Times New Roman" w:cs="Times New Roman"/>
                <w:color w:val="000000"/>
                <w:spacing w:val="0"/>
                <w:w w:val="100"/>
                <w:position w:val="0"/>
                <w:sz w:val="18"/>
                <w:szCs w:val="18"/>
              </w:rPr>
              <w:t>46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-23,45</w:t>
            </w:r>
          </w:p>
          <w:p>
            <w:pPr>
              <w:pStyle w:val="Style2"/>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1,232.</w:t>
            </w:r>
          </w:p>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316,23</w:t>
            </w:r>
          </w:p>
          <w:p>
            <w:pPr>
              <w:pStyle w:val="Style2"/>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2,640.</w:t>
            </w:r>
          </w:p>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52</w:t>
            </w:r>
          </w:p>
        </w:tc>
      </w:tr>
      <w:tr>
        <w:trPr>
          <w:trHeight w:val="1022"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（二）所有者投 入和减少资本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106,95</w:t>
            </w:r>
          </w:p>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6,381.</w:t>
            </w:r>
          </w:p>
          <w:p>
            <w:pPr>
              <w:pStyle w:val="Style2"/>
              <w:keepNext w:val="0"/>
              <w:keepLines w:val="0"/>
              <w:widowControl w:val="0"/>
              <w:shd w:val="clear" w:color="auto" w:fill="auto"/>
              <w:bidi w:val="0"/>
              <w:spacing w:before="0" w:after="10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17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100,97</w:t>
            </w:r>
          </w:p>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3,450.</w:t>
            </w:r>
          </w:p>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5,982,</w:t>
            </w:r>
          </w:p>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930.53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30,884</w:t>
            </w:r>
          </w:p>
          <w:p>
            <w:pPr>
              <w:pStyle w:val="Style2"/>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,901.9</w:t>
            </w:r>
          </w:p>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36,867</w:t>
            </w:r>
          </w:p>
          <w:p>
            <w:pPr>
              <w:pStyle w:val="Style2"/>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,832.5</w:t>
            </w:r>
          </w:p>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w:t>
            </w:r>
          </w:p>
        </w:tc>
      </w:tr>
      <w:tr>
        <w:trPr>
          <w:trHeight w:val="1027"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firstLine="0"/>
              <w:jc w:val="both"/>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.所有者投入 的普通股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106,95</w:t>
            </w:r>
          </w:p>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6,381.</w:t>
            </w:r>
          </w:p>
          <w:p>
            <w:pPr>
              <w:pStyle w:val="Style2"/>
              <w:keepNext w:val="0"/>
              <w:keepLines w:val="0"/>
              <w:widowControl w:val="0"/>
              <w:shd w:val="clear" w:color="auto" w:fill="auto"/>
              <w:bidi w:val="0"/>
              <w:spacing w:before="0" w:after="10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17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106,95</w:t>
            </w:r>
          </w:p>
          <w:p>
            <w:pPr>
              <w:pStyle w:val="Style2"/>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6,381.</w:t>
            </w:r>
          </w:p>
          <w:p>
            <w:pPr>
              <w:pStyle w:val="Style2"/>
              <w:keepNext w:val="0"/>
              <w:keepLines w:val="0"/>
              <w:widowControl w:val="0"/>
              <w:shd w:val="clear" w:color="auto" w:fill="auto"/>
              <w:bidi w:val="0"/>
              <w:spacing w:before="0" w:after="100" w:line="240" w:lineRule="auto"/>
              <w:ind w:left="0" w:right="0"/>
              <w:jc w:val="both"/>
              <w:rPr>
                <w:sz w:val="18"/>
                <w:szCs w:val="18"/>
              </w:rPr>
            </w:pPr>
            <w:r>
              <w:rPr>
                <w:rFonts w:ascii="Times New Roman" w:eastAsia="Times New Roman" w:hAnsi="Times New Roman" w:cs="Times New Roman"/>
                <w:color w:val="000000"/>
                <w:spacing w:val="0"/>
                <w:w w:val="100"/>
                <w:position w:val="0"/>
                <w:sz w:val="18"/>
                <w:szCs w:val="18"/>
              </w:rPr>
              <w:t>17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36,864</w:t>
            </w:r>
          </w:p>
          <w:p>
            <w:pPr>
              <w:pStyle w:val="Style2"/>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,981.3</w:t>
            </w:r>
          </w:p>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143,82</w:t>
            </w:r>
          </w:p>
          <w:p>
            <w:pPr>
              <w:pStyle w:val="Style2"/>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1,362.</w:t>
            </w:r>
          </w:p>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52</w:t>
            </w:r>
          </w:p>
        </w:tc>
      </w:tr>
      <w:tr>
        <w:trPr>
          <w:trHeight w:val="1027"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22" w:lineRule="exact"/>
              <w:ind w:left="0" w:right="0" w:firstLine="0"/>
              <w:jc w:val="both"/>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w:t>
            </w:r>
            <w:r>
              <w:rPr>
                <w:color w:val="000000"/>
                <w:spacing w:val="0"/>
                <w:w w:val="100"/>
                <w:position w:val="0"/>
              </w:rPr>
              <w:t>其他权益工 具持有者投入 资本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37"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firstLine="0"/>
              <w:jc w:val="both"/>
            </w:pPr>
            <w:r>
              <w:rPr>
                <w:rFonts w:ascii="Times New Roman" w:eastAsia="Times New Roman" w:hAnsi="Times New Roman" w:cs="Times New Roman"/>
                <w:color w:val="000000"/>
                <w:spacing w:val="0"/>
                <w:w w:val="100"/>
                <w:position w:val="0"/>
                <w:sz w:val="18"/>
                <w:szCs w:val="18"/>
              </w:rPr>
              <w:t>3</w:t>
            </w:r>
            <w:r>
              <w:rPr>
                <w:color w:val="000000"/>
                <w:spacing w:val="0"/>
                <w:w w:val="100"/>
                <w:position w:val="0"/>
              </w:rPr>
              <w:t>.股份支付计 入所有者权益 的金额</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pPr>
      <w:r>
        <w:br w:type="page"/>
      </w:r>
    </w:p>
    <w:tbl>
      <w:tblPr>
        <w:tblOverlap w:val="never"/>
        <w:jc w:val="center"/>
        <w:tblLayout w:type="fixed"/>
      </w:tblPr>
      <w:tblGrid>
        <w:gridCol w:w="1258"/>
        <w:gridCol w:w="494"/>
        <w:gridCol w:w="466"/>
        <w:gridCol w:w="466"/>
        <w:gridCol w:w="470"/>
        <w:gridCol w:w="581"/>
        <w:gridCol w:w="586"/>
        <w:gridCol w:w="581"/>
        <w:gridCol w:w="586"/>
        <w:gridCol w:w="586"/>
        <w:gridCol w:w="581"/>
        <w:gridCol w:w="586"/>
        <w:gridCol w:w="586"/>
        <w:gridCol w:w="581"/>
        <w:gridCol w:w="586"/>
        <w:gridCol w:w="586"/>
      </w:tblGrid>
      <w:tr>
        <w:trPr>
          <w:trHeight w:val="1032"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18"/>
                <w:szCs w:val="18"/>
              </w:rPr>
              <w:t>4</w:t>
            </w: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100,97</w:t>
            </w:r>
          </w:p>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3,450.</w:t>
            </w:r>
          </w:p>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-100,9</w:t>
            </w:r>
          </w:p>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73,450</w:t>
            </w:r>
          </w:p>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-5,980,</w:t>
            </w:r>
          </w:p>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079.36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-106,9</w:t>
            </w:r>
          </w:p>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53,530</w:t>
            </w:r>
          </w:p>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（三）利润分配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firstLine="0"/>
              <w:jc w:val="both"/>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.提取盈余公 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120" w:line="240" w:lineRule="auto"/>
              <w:ind w:left="0" w:right="0" w:firstLine="0"/>
              <w:jc w:val="both"/>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w:t>
            </w:r>
            <w:r>
              <w:rPr>
                <w:color w:val="000000"/>
                <w:spacing w:val="0"/>
                <w:w w:val="100"/>
                <w:position w:val="0"/>
              </w:rPr>
              <w:t>提取一般风</w:t>
            </w:r>
          </w:p>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险准备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firstLine="0"/>
              <w:jc w:val="both"/>
            </w:pPr>
            <w:r>
              <w:rPr>
                <w:rFonts w:ascii="Times New Roman" w:eastAsia="Times New Roman" w:hAnsi="Times New Roman" w:cs="Times New Roman"/>
                <w:color w:val="000000"/>
                <w:spacing w:val="0"/>
                <w:w w:val="100"/>
                <w:position w:val="0"/>
                <w:sz w:val="18"/>
                <w:szCs w:val="18"/>
              </w:rPr>
              <w:t>3</w:t>
            </w:r>
            <w:r>
              <w:rPr>
                <w:color w:val="000000"/>
                <w:spacing w:val="0"/>
                <w:w w:val="100"/>
                <w:position w:val="0"/>
              </w:rPr>
              <w:t>.对所有者（或 股东）的分配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18"/>
                <w:szCs w:val="18"/>
              </w:rPr>
              <w:t>4</w:t>
            </w: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120" w:line="240" w:lineRule="auto"/>
              <w:ind w:left="0" w:right="0" w:firstLine="0"/>
              <w:jc w:val="both"/>
            </w:pPr>
            <w:r>
              <w:rPr>
                <w:color w:val="000000"/>
                <w:spacing w:val="0"/>
                <w:w w:val="100"/>
                <w:position w:val="0"/>
              </w:rPr>
              <w:t>（四）所有者权</w:t>
            </w:r>
          </w:p>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益内部结转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0" w:lineRule="exact"/>
              <w:ind w:left="0" w:right="0" w:firstLine="0"/>
              <w:jc w:val="both"/>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.资本公积转 增资本（或股 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firstLine="0"/>
              <w:jc w:val="both"/>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w:t>
            </w:r>
            <w:r>
              <w:rPr>
                <w:color w:val="000000"/>
                <w:spacing w:val="0"/>
                <w:w w:val="100"/>
                <w:position w:val="0"/>
              </w:rPr>
              <w:t>盈余公积转 增资本（或股 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sz w:val="18"/>
                <w:szCs w:val="18"/>
              </w:rPr>
              <w:t>3</w:t>
            </w:r>
            <w:r>
              <w:rPr>
                <w:color w:val="000000"/>
                <w:spacing w:val="0"/>
                <w:w w:val="100"/>
                <w:position w:val="0"/>
              </w:rPr>
              <w:t>.盈余公积弥</w:t>
            </w:r>
          </w:p>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补亏损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firstLine="0"/>
              <w:jc w:val="both"/>
            </w:pPr>
            <w:r>
              <w:rPr>
                <w:rFonts w:ascii="Times New Roman" w:eastAsia="Times New Roman" w:hAnsi="Times New Roman" w:cs="Times New Roman"/>
                <w:color w:val="000000"/>
                <w:spacing w:val="0"/>
                <w:w w:val="100"/>
                <w:position w:val="0"/>
                <w:sz w:val="18"/>
                <w:szCs w:val="18"/>
              </w:rPr>
              <w:t>4</w:t>
            </w:r>
            <w:r>
              <w:rPr>
                <w:color w:val="000000"/>
                <w:spacing w:val="0"/>
                <w:w w:val="100"/>
                <w:position w:val="0"/>
              </w:rPr>
              <w:t>.</w:t>
            </w:r>
            <w:r>
              <w:rPr>
                <w:color w:val="000000"/>
                <w:spacing w:val="0"/>
                <w:w w:val="100"/>
                <w:position w:val="0"/>
              </w:rPr>
              <w:t>设定受益计 划变动额结转 留存收益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firstLine="0"/>
              <w:jc w:val="both"/>
            </w:pPr>
            <w:r>
              <w:rPr>
                <w:rFonts w:ascii="Times New Roman" w:eastAsia="Times New Roman" w:hAnsi="Times New Roman" w:cs="Times New Roman"/>
                <w:color w:val="000000"/>
                <w:spacing w:val="0"/>
                <w:w w:val="100"/>
                <w:position w:val="0"/>
                <w:sz w:val="18"/>
                <w:szCs w:val="18"/>
              </w:rPr>
              <w:t>5</w:t>
            </w:r>
            <w:r>
              <w:rPr>
                <w:color w:val="000000"/>
                <w:spacing w:val="0"/>
                <w:w w:val="100"/>
                <w:position w:val="0"/>
              </w:rPr>
              <w:t xml:space="preserve">.其他综合收 益结转留存收 </w:t>
            </w:r>
            <w:r>
              <w:rPr>
                <w:color w:val="000000"/>
                <w:spacing w:val="0"/>
                <w:w w:val="100"/>
                <w:position w:val="0"/>
                <w:u w:val="single"/>
              </w:rPr>
              <w:t>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18"/>
                <w:szCs w:val="18"/>
              </w:rPr>
              <w:t>6</w:t>
            </w: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（五）专项储备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.本期提取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.本期使用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（六）其他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349"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四、本期期末余 额</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1,961</w:t>
            </w:r>
          </w:p>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,091,</w:t>
            </w:r>
          </w:p>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984.0</w:t>
            </w:r>
          </w:p>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584,23</w:t>
            </w:r>
          </w:p>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4,264.</w:t>
            </w:r>
          </w:p>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59</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100,97</w:t>
            </w:r>
          </w:p>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3,450.</w:t>
            </w:r>
          </w:p>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64</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-31,28</w:t>
            </w:r>
          </w:p>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5,386.</w:t>
            </w:r>
          </w:p>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92</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240,60</w:t>
            </w:r>
          </w:p>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1,619.</w:t>
            </w:r>
          </w:p>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97</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1,272,</w:t>
            </w:r>
          </w:p>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784,84</w:t>
            </w:r>
          </w:p>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6.29</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3,926,</w:t>
            </w:r>
          </w:p>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453,87</w:t>
            </w:r>
          </w:p>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7.29</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29,571</w:t>
            </w:r>
          </w:p>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,269.8</w:t>
            </w:r>
          </w:p>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3,956,</w:t>
            </w:r>
          </w:p>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025,14</w:t>
            </w:r>
          </w:p>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7.09</w:t>
            </w:r>
          </w:p>
        </w:tc>
      </w:tr>
    </w:tbl>
    <w:p>
      <w:pPr>
        <w:pStyle w:val="Style20"/>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上期金额</w:t>
      </w:r>
    </w:p>
    <w:p>
      <w:pPr>
        <w:widowControl w:val="0"/>
        <w:spacing w:after="119" w:line="1" w:lineRule="exact"/>
      </w:pPr>
    </w:p>
    <w:p>
      <w:pPr>
        <w:pStyle w:val="Style41"/>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r>
        <w:br w:type="page"/>
      </w:r>
    </w:p>
    <w:tbl>
      <w:tblPr>
        <w:tblOverlap w:val="never"/>
        <w:jc w:val="center"/>
        <w:tblLayout w:type="fixed"/>
      </w:tblPr>
      <w:tblGrid>
        <w:gridCol w:w="1219"/>
        <w:gridCol w:w="490"/>
        <w:gridCol w:w="446"/>
        <w:gridCol w:w="451"/>
        <w:gridCol w:w="490"/>
        <w:gridCol w:w="576"/>
        <w:gridCol w:w="576"/>
        <w:gridCol w:w="576"/>
        <w:gridCol w:w="581"/>
        <w:gridCol w:w="576"/>
        <w:gridCol w:w="576"/>
        <w:gridCol w:w="590"/>
        <w:gridCol w:w="566"/>
        <w:gridCol w:w="566"/>
        <w:gridCol w:w="643"/>
        <w:gridCol w:w="658"/>
      </w:tblGrid>
      <w:tr>
        <w:trPr>
          <w:trHeight w:val="408" w:hRule="exact"/>
        </w:trPr>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gridSpan w:val="15"/>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2019</w:t>
            </w:r>
            <w:r>
              <w:rPr>
                <w:color w:val="000000"/>
                <w:spacing w:val="0"/>
                <w:w w:val="100"/>
                <w:position w:val="0"/>
              </w:rPr>
              <w:t>年年度</w:t>
            </w:r>
          </w:p>
        </w:tc>
      </w:tr>
      <w:tr>
        <w:trPr>
          <w:trHeight w:val="398" w:hRule="exact"/>
        </w:trPr>
        <w:tc>
          <w:tcPr>
            <w:vMerge/>
            <w:tcBorders>
              <w:left w:val="single" w:sz="4"/>
            </w:tcBorders>
            <w:shd w:val="clear" w:color="auto" w:fill="D7D7D7"/>
            <w:vAlign w:val="center"/>
          </w:tcPr>
          <w:p>
            <w:pPr/>
          </w:p>
        </w:tc>
        <w:tc>
          <w:tcPr>
            <w:gridSpan w:val="13"/>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归属于母公司所有者权益</w:t>
            </w:r>
          </w:p>
        </w:tc>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07" w:lineRule="exact"/>
              <w:ind w:left="0" w:right="0" w:firstLine="0"/>
              <w:jc w:val="both"/>
            </w:pPr>
            <w:r>
              <w:rPr>
                <w:color w:val="000000"/>
                <w:spacing w:val="0"/>
                <w:w w:val="100"/>
                <w:position w:val="0"/>
              </w:rPr>
              <w:t>少数股 东权益</w:t>
            </w:r>
          </w:p>
        </w:tc>
        <w:tc>
          <w:tcPr>
            <w:vMerge w:val="restart"/>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120" w:line="240" w:lineRule="auto"/>
              <w:ind w:left="0" w:right="220" w:firstLine="0"/>
              <w:jc w:val="right"/>
            </w:pPr>
            <w:r>
              <w:rPr>
                <w:color w:val="000000"/>
                <w:spacing w:val="0"/>
                <w:w w:val="100"/>
                <w:position w:val="0"/>
              </w:rPr>
              <w:t>所有者</w:t>
            </w:r>
          </w:p>
          <w:p>
            <w:pPr>
              <w:pStyle w:val="Style2"/>
              <w:keepNext w:val="0"/>
              <w:keepLines w:val="0"/>
              <w:widowControl w:val="0"/>
              <w:shd w:val="clear" w:color="auto" w:fill="auto"/>
              <w:bidi w:val="0"/>
              <w:spacing w:before="0" w:after="120" w:line="240" w:lineRule="auto"/>
              <w:ind w:left="0" w:right="220" w:firstLine="0"/>
              <w:jc w:val="right"/>
            </w:pPr>
            <w:r>
              <w:rPr>
                <w:color w:val="000000"/>
                <w:spacing w:val="0"/>
                <w:w w:val="100"/>
                <w:position w:val="0"/>
              </w:rPr>
              <w:t>权益合</w:t>
            </w:r>
          </w:p>
          <w:p>
            <w:pPr>
              <w:pStyle w:val="Style2"/>
              <w:keepNext w:val="0"/>
              <w:keepLines w:val="0"/>
              <w:widowControl w:val="0"/>
              <w:shd w:val="clear" w:color="auto" w:fill="auto"/>
              <w:bidi w:val="0"/>
              <w:spacing w:before="0" w:after="120" w:line="240" w:lineRule="auto"/>
              <w:ind w:left="0" w:right="220" w:firstLine="0"/>
              <w:jc w:val="right"/>
            </w:pPr>
            <w:r>
              <w:rPr>
                <w:color w:val="000000"/>
                <w:spacing w:val="0"/>
                <w:w w:val="100"/>
                <w:position w:val="0"/>
              </w:rPr>
              <w:t>计</w:t>
            </w:r>
          </w:p>
        </w:tc>
      </w:tr>
      <w:tr>
        <w:trPr>
          <w:trHeight w:val="403" w:hRule="exact"/>
        </w:trPr>
        <w:tc>
          <w:tcPr>
            <w:vMerge/>
            <w:tcBorders>
              <w:left w:val="single" w:sz="4"/>
            </w:tcBorders>
            <w:shd w:val="clear" w:color="auto" w:fill="D7D7D7"/>
            <w:vAlign w:val="center"/>
          </w:tcPr>
          <w:p>
            <w:pPr/>
          </w:p>
        </w:tc>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股本</w:t>
            </w:r>
          </w:p>
        </w:tc>
        <w:tc>
          <w:tcPr>
            <w:gridSpan w:val="3"/>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其他权益工具</w:t>
            </w:r>
          </w:p>
        </w:tc>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120" w:line="240" w:lineRule="auto"/>
              <w:ind w:left="0" w:right="0" w:firstLine="0"/>
              <w:jc w:val="left"/>
            </w:pPr>
            <w:r>
              <w:rPr>
                <w:color w:val="000000"/>
                <w:spacing w:val="0"/>
                <w:w w:val="100"/>
                <w:position w:val="0"/>
              </w:rPr>
              <w:t>资本</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公积</w:t>
            </w:r>
          </w:p>
        </w:tc>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减：库 存股</w:t>
            </w:r>
          </w:p>
        </w:tc>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其他 综合 收益</w:t>
            </w:r>
          </w:p>
        </w:tc>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专项 储备</w:t>
            </w:r>
          </w:p>
        </w:tc>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22" w:lineRule="exact"/>
              <w:ind w:left="0" w:right="0" w:firstLine="0"/>
              <w:jc w:val="left"/>
            </w:pPr>
            <w:r>
              <w:rPr>
                <w:color w:val="000000"/>
                <w:spacing w:val="0"/>
                <w:w w:val="100"/>
                <w:position w:val="0"/>
              </w:rPr>
              <w:t>盈余 公积</w:t>
            </w:r>
          </w:p>
        </w:tc>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120" w:line="240" w:lineRule="auto"/>
              <w:ind w:left="0" w:right="0" w:firstLine="0"/>
              <w:jc w:val="left"/>
            </w:pPr>
            <w:r>
              <w:rPr>
                <w:color w:val="000000"/>
                <w:spacing w:val="0"/>
                <w:w w:val="100"/>
                <w:position w:val="0"/>
              </w:rPr>
              <w:t>一般</w:t>
            </w:r>
          </w:p>
          <w:p>
            <w:pPr>
              <w:pStyle w:val="Style2"/>
              <w:keepNext w:val="0"/>
              <w:keepLines w:val="0"/>
              <w:widowControl w:val="0"/>
              <w:shd w:val="clear" w:color="auto" w:fill="auto"/>
              <w:bidi w:val="0"/>
              <w:spacing w:before="0" w:after="120" w:line="240" w:lineRule="auto"/>
              <w:ind w:left="0" w:right="0" w:firstLine="0"/>
              <w:jc w:val="left"/>
            </w:pPr>
            <w:r>
              <w:rPr>
                <w:color w:val="000000"/>
                <w:spacing w:val="0"/>
                <w:w w:val="100"/>
                <w:position w:val="0"/>
              </w:rPr>
              <w:t>风险</w:t>
            </w:r>
          </w:p>
          <w:p>
            <w:pPr>
              <w:pStyle w:val="Style2"/>
              <w:keepNext w:val="0"/>
              <w:keepLines w:val="0"/>
              <w:widowControl w:val="0"/>
              <w:shd w:val="clear" w:color="auto" w:fill="auto"/>
              <w:bidi w:val="0"/>
              <w:spacing w:before="0" w:after="120" w:line="240" w:lineRule="auto"/>
              <w:ind w:left="0" w:right="0" w:firstLine="0"/>
              <w:jc w:val="left"/>
            </w:pPr>
            <w:r>
              <w:rPr>
                <w:color w:val="000000"/>
                <w:spacing w:val="0"/>
                <w:w w:val="100"/>
                <w:position w:val="0"/>
              </w:rPr>
              <w:t>准备</w:t>
            </w:r>
          </w:p>
        </w:tc>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未分 配利 润</w:t>
            </w:r>
          </w:p>
        </w:tc>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w:t>
            </w:r>
          </w:p>
        </w:tc>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小计</w:t>
            </w:r>
          </w:p>
        </w:tc>
        <w:tc>
          <w:tcPr>
            <w:vMerge/>
            <w:tcBorders>
              <w:left w:val="single" w:sz="4"/>
            </w:tcBorders>
            <w:shd w:val="clear" w:color="auto" w:fill="D7D7D7"/>
            <w:vAlign w:val="center"/>
          </w:tcPr>
          <w:p>
            <w:pPr/>
          </w:p>
        </w:tc>
        <w:tc>
          <w:tcPr>
            <w:vMerge/>
            <w:tcBorders>
              <w:left w:val="single" w:sz="4"/>
              <w:right w:val="single" w:sz="4"/>
            </w:tcBorders>
            <w:shd w:val="clear" w:color="auto" w:fill="D7D7D7"/>
            <w:vAlign w:val="center"/>
          </w:tcPr>
          <w:p>
            <w:pPr/>
          </w:p>
        </w:tc>
      </w:tr>
      <w:tr>
        <w:trPr>
          <w:trHeight w:val="715" w:hRule="exact"/>
        </w:trPr>
        <w:tc>
          <w:tcPr>
            <w:vMerge/>
            <w:tcBorders>
              <w:left w:val="single" w:sz="4"/>
            </w:tcBorders>
            <w:shd w:val="clear" w:color="auto" w:fill="D7D7D7"/>
            <w:vAlign w:val="center"/>
          </w:tcPr>
          <w:p>
            <w:pPr/>
          </w:p>
        </w:tc>
        <w:tc>
          <w:tcPr>
            <w:vMerge/>
            <w:tcBorders>
              <w:left w:val="single" w:sz="4"/>
            </w:tcBorders>
            <w:shd w:val="clear" w:color="auto" w:fill="D7D7D7"/>
            <w:vAlign w:val="center"/>
          </w:tcPr>
          <w:p>
            <w:pP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120" w:line="240" w:lineRule="auto"/>
              <w:ind w:left="0" w:right="0" w:firstLine="0"/>
              <w:jc w:val="left"/>
            </w:pPr>
            <w:r>
              <w:rPr>
                <w:color w:val="000000"/>
                <w:spacing w:val="0"/>
                <w:w w:val="100"/>
                <w:position w:val="0"/>
              </w:rPr>
              <w:t>优先</w:t>
            </w:r>
          </w:p>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股</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22" w:lineRule="exact"/>
              <w:ind w:left="0" w:right="0" w:firstLine="0"/>
              <w:jc w:val="center"/>
            </w:pPr>
            <w:r>
              <w:rPr>
                <w:color w:val="000000"/>
                <w:spacing w:val="0"/>
                <w:w w:val="100"/>
                <w:position w:val="0"/>
              </w:rPr>
              <w:t>永续 债</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vMerge/>
            <w:tcBorders>
              <w:left w:val="single" w:sz="4"/>
            </w:tcBorders>
            <w:shd w:val="clear" w:color="auto" w:fill="D7D7D7"/>
            <w:vAlign w:val="center"/>
          </w:tcPr>
          <w:p>
            <w:pPr/>
          </w:p>
        </w:tc>
        <w:tc>
          <w:tcPr>
            <w:vMerge/>
            <w:tcBorders>
              <w:left w:val="single" w:sz="4"/>
            </w:tcBorders>
            <w:shd w:val="clear" w:color="auto" w:fill="D7D7D7"/>
            <w:vAlign w:val="center"/>
          </w:tcPr>
          <w:p>
            <w:pPr/>
          </w:p>
        </w:tc>
        <w:tc>
          <w:tcPr>
            <w:vMerge/>
            <w:tcBorders>
              <w:left w:val="single" w:sz="4"/>
            </w:tcBorders>
            <w:shd w:val="clear" w:color="auto" w:fill="D7D7D7"/>
            <w:vAlign w:val="center"/>
          </w:tcPr>
          <w:p>
            <w:pPr/>
          </w:p>
        </w:tc>
        <w:tc>
          <w:tcPr>
            <w:vMerge/>
            <w:tcBorders>
              <w:left w:val="single" w:sz="4"/>
            </w:tcBorders>
            <w:shd w:val="clear" w:color="auto" w:fill="D7D7D7"/>
            <w:vAlign w:val="center"/>
          </w:tcPr>
          <w:p>
            <w:pPr/>
          </w:p>
        </w:tc>
        <w:tc>
          <w:tcPr>
            <w:vMerge/>
            <w:tcBorders>
              <w:left w:val="single" w:sz="4"/>
            </w:tcBorders>
            <w:shd w:val="clear" w:color="auto" w:fill="D7D7D7"/>
            <w:vAlign w:val="center"/>
          </w:tcPr>
          <w:p>
            <w:pPr/>
          </w:p>
        </w:tc>
        <w:tc>
          <w:tcPr>
            <w:vMerge/>
            <w:tcBorders>
              <w:left w:val="single" w:sz="4"/>
            </w:tcBorders>
            <w:shd w:val="clear" w:color="auto" w:fill="D7D7D7"/>
            <w:vAlign w:val="center"/>
          </w:tcPr>
          <w:p>
            <w:pPr/>
          </w:p>
        </w:tc>
        <w:tc>
          <w:tcPr>
            <w:vMerge/>
            <w:tcBorders>
              <w:left w:val="single" w:sz="4"/>
            </w:tcBorders>
            <w:shd w:val="clear" w:color="auto" w:fill="D7D7D7"/>
            <w:vAlign w:val="center"/>
          </w:tcPr>
          <w:p>
            <w:pPr/>
          </w:p>
        </w:tc>
        <w:tc>
          <w:tcPr>
            <w:vMerge/>
            <w:tcBorders>
              <w:left w:val="single" w:sz="4"/>
            </w:tcBorders>
            <w:shd w:val="clear" w:color="auto" w:fill="D7D7D7"/>
            <w:vAlign w:val="center"/>
          </w:tcPr>
          <w:p>
            <w:pPr/>
          </w:p>
        </w:tc>
        <w:tc>
          <w:tcPr>
            <w:vMerge/>
            <w:tcBorders>
              <w:left w:val="single" w:sz="4"/>
            </w:tcBorders>
            <w:shd w:val="clear" w:color="auto" w:fill="D7D7D7"/>
            <w:vAlign w:val="center"/>
          </w:tcPr>
          <w:p>
            <w:pPr/>
          </w:p>
        </w:tc>
        <w:tc>
          <w:tcPr>
            <w:vMerge/>
            <w:tcBorders>
              <w:left w:val="single" w:sz="4"/>
            </w:tcBorders>
            <w:shd w:val="clear" w:color="auto" w:fill="D7D7D7"/>
            <w:vAlign w:val="center"/>
          </w:tcPr>
          <w:p>
            <w:pPr/>
          </w:p>
        </w:tc>
        <w:tc>
          <w:tcPr>
            <w:vMerge/>
            <w:tcBorders>
              <w:left w:val="single" w:sz="4"/>
              <w:right w:val="single" w:sz="4"/>
            </w:tcBorders>
            <w:shd w:val="clear" w:color="auto" w:fill="D7D7D7"/>
            <w:vAlign w:val="center"/>
          </w:tcPr>
          <w:p>
            <w:pPr/>
          </w:p>
        </w:tc>
      </w:tr>
      <w:tr>
        <w:trPr>
          <w:trHeight w:val="451" w:hRule="exact"/>
        </w:trPr>
        <w:tc>
          <w:tcPr>
            <w:vMerge w:val="restart"/>
            <w:tcBorders>
              <w:top w:val="single" w:sz="4"/>
              <w:left w:val="single" w:sz="4"/>
            </w:tcBorders>
            <w:shd w:val="clear" w:color="auto" w:fill="D7D7D7"/>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一、上年期末</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1,961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447,56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231,29</w:t>
            </w: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2,597,</w:t>
            </w: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5,239,</w:t>
            </w: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5,230,1</w:t>
            </w:r>
          </w:p>
        </w:tc>
      </w:tr>
      <w:tr>
        <w:trPr>
          <w:trHeight w:val="154" w:hRule="exact"/>
        </w:trPr>
        <w:tc>
          <w:tcPr>
            <w:vMerge/>
            <w:tcBorders>
              <w:left w:val="single" w:sz="4"/>
            </w:tcBorders>
            <w:shd w:val="clear" w:color="auto" w:fill="D7D7D7"/>
            <w:vAlign w:val="bottom"/>
          </w:tcPr>
          <w:p>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,091,</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bottom"/>
          </w:tcPr>
          <w:p>
            <w:pPr/>
          </w:p>
        </w:tc>
        <w:tc>
          <w:tcPr>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1,920,</w:t>
            </w: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bottom"/>
          </w:tcPr>
          <w:p>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bottom"/>
          </w:tcPr>
          <w:p>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bottom"/>
          </w:tcPr>
          <w:p>
            <w:pP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-9,065,</w:t>
            </w:r>
          </w:p>
        </w:tc>
        <w:tc>
          <w:tcPr>
            <w:vMerge/>
            <w:tcBorders>
              <w:left w:val="single" w:sz="4"/>
              <w:right w:val="single" w:sz="4"/>
            </w:tcBorders>
            <w:shd w:val="clear" w:color="auto" w:fill="FFFFFF"/>
            <w:vAlign w:val="bottom"/>
          </w:tcPr>
          <w:p>
            <w:pPr/>
          </w:p>
        </w:tc>
      </w:tr>
      <w:tr>
        <w:trPr>
          <w:trHeight w:val="158" w:hRule="exact"/>
        </w:trPr>
        <w:tc>
          <w:tcPr>
            <w:vMerge w:val="restart"/>
            <w:tcBorders>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余额</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3,721.</w:t>
            </w: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top"/>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3,196.</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364,47</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233,81</w:t>
            </w:r>
          </w:p>
        </w:tc>
        <w:tc>
          <w:tcPr>
            <w:vMerge/>
            <w:tcBorders>
              <w:left w:val="single" w:sz="4"/>
            </w:tcBorders>
            <w:shd w:val="clear" w:color="auto" w:fill="FFFFFF"/>
            <w:vAlign w:val="top"/>
          </w:tcPr>
          <w:p>
            <w:pPr/>
          </w:p>
        </w:tc>
        <w:tc>
          <w:tcPr>
            <w:tcBorders>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68,297.</w:t>
            </w:r>
          </w:p>
        </w:tc>
      </w:tr>
      <w:tr>
        <w:trPr>
          <w:trHeight w:val="302" w:hRule="exact"/>
        </w:trPr>
        <w:tc>
          <w:tcPr>
            <w:vMerge/>
            <w:tcBorders>
              <w:left w:val="single" w:sz="4"/>
            </w:tcBorders>
            <w:shd w:val="clear" w:color="auto" w:fill="D7D7D7"/>
            <w:vAlign w:val="center"/>
          </w:tcPr>
          <w:p>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984.0</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16</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436.00</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44</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3.99</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20"/>
              <w:jc w:val="both"/>
              <w:rPr>
                <w:sz w:val="18"/>
                <w:szCs w:val="18"/>
              </w:rPr>
            </w:pPr>
            <w:r>
              <w:rPr>
                <w:rFonts w:ascii="Times New Roman" w:eastAsia="Times New Roman" w:hAnsi="Times New Roman" w:cs="Times New Roman"/>
                <w:color w:val="000000"/>
                <w:spacing w:val="0"/>
                <w:w w:val="100"/>
                <w:position w:val="0"/>
                <w:sz w:val="18"/>
                <w:szCs w:val="18"/>
              </w:rPr>
              <w:t>1.59</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514.58</w:t>
            </w:r>
          </w:p>
        </w:tc>
        <w:tc>
          <w:tcPr>
            <w:tcBorders>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01</w:t>
            </w:r>
          </w:p>
        </w:tc>
      </w:tr>
      <w:tr>
        <w:trPr>
          <w:trHeight w:val="274" w:hRule="exact"/>
        </w:trPr>
        <w:tc>
          <w:tcPr>
            <w:tcBorders>
              <w:left w:val="single" w:sz="4"/>
            </w:tcBorders>
            <w:shd w:val="clear" w:color="auto" w:fill="D7D7D7"/>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0</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600" w:hRule="exact"/>
        </w:trPr>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120" w:line="240" w:lineRule="auto"/>
              <w:ind w:left="0" w:right="0"/>
              <w:jc w:val="left"/>
            </w:pPr>
            <w:r>
              <w:rPr>
                <w:color w:val="000000"/>
                <w:spacing w:val="0"/>
                <w:w w:val="100"/>
                <w:position w:val="0"/>
              </w:rPr>
              <w:t>加：会计</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政策变更</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-27,89</w:t>
            </w:r>
          </w:p>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0,536.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9,308,</w:t>
            </w: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-61,48</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7,009.</w:t>
            </w: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-80,06</w:t>
            </w:r>
          </w:p>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9,122.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1,560,2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-78,508</w:t>
            </w:r>
          </w:p>
        </w:tc>
      </w:tr>
      <w:tr>
        <w:trPr>
          <w:trHeight w:val="154" w:hRule="exact"/>
        </w:trPr>
        <w:tc>
          <w:tcPr>
            <w:vMerge/>
            <w:tcBorders>
              <w:left w:val="single" w:sz="4"/>
            </w:tcBorders>
            <w:shd w:val="clear" w:color="auto" w:fill="D7D7D7"/>
            <w:vAlign w:val="center"/>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center"/>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423.53</w:t>
            </w: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center"/>
          </w:tcPr>
          <w:p>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center"/>
          </w:tcPr>
          <w:p>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70.13</w:t>
            </w:r>
          </w:p>
        </w:tc>
        <w:tc>
          <w:tcPr>
            <w:vMerge w:val="restart"/>
            <w:tcBorders>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,852.24</w:t>
            </w:r>
          </w:p>
        </w:tc>
      </w:tr>
      <w:tr>
        <w:trPr>
          <w:trHeight w:val="269" w:hRule="exact"/>
        </w:trPr>
        <w:tc>
          <w:tcPr>
            <w:vMerge/>
            <w:tcBorders>
              <w:left w:val="single" w:sz="4"/>
            </w:tcBorders>
            <w:shd w:val="clear" w:color="auto" w:fill="D7D7D7"/>
            <w:vAlign w:val="center"/>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60"/>
              <w:jc w:val="both"/>
              <w:rPr>
                <w:sz w:val="18"/>
                <w:szCs w:val="18"/>
              </w:rPr>
            </w:pPr>
            <w:r>
              <w:rPr>
                <w:rFonts w:ascii="Times New Roman" w:eastAsia="Times New Roman" w:hAnsi="Times New Roman" w:cs="Times New Roman"/>
                <w:color w:val="000000"/>
                <w:spacing w:val="0"/>
                <w:w w:val="100"/>
                <w:position w:val="0"/>
                <w:sz w:val="18"/>
                <w:szCs w:val="18"/>
              </w:rPr>
              <w:t>80</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37</w:t>
            </w:r>
          </w:p>
        </w:tc>
        <w:tc>
          <w:tcPr>
            <w:tcBorders>
              <w:left w:val="single" w:sz="4"/>
            </w:tcBorders>
            <w:shd w:val="clear" w:color="auto" w:fill="FFFFFF"/>
            <w:vAlign w:val="top"/>
          </w:tcPr>
          <w:p>
            <w:pPr>
              <w:widowControl w:val="0"/>
              <w:rPr>
                <w:sz w:val="10"/>
                <w:szCs w:val="10"/>
              </w:rPr>
            </w:pPr>
          </w:p>
        </w:tc>
        <w:tc>
          <w:tcPr>
            <w:vMerge/>
            <w:tcBorders>
              <w:left w:val="single" w:sz="4"/>
              <w:right w:val="single" w:sz="4"/>
            </w:tcBorders>
            <w:shd w:val="clear" w:color="auto" w:fill="FFFFFF"/>
            <w:vAlign w:val="top"/>
          </w:tcPr>
          <w:p>
            <w:pPr/>
          </w:p>
        </w:tc>
      </w:tr>
      <w:tr>
        <w:trPr>
          <w:trHeight w:val="36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740"/>
              <w:jc w:val="left"/>
            </w:pPr>
            <w:r>
              <w:rPr>
                <w:color w:val="000000"/>
                <w:spacing w:val="0"/>
                <w:w w:val="100"/>
                <w:position w:val="0"/>
              </w:rPr>
              <w:t>前期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50" w:hRule="exact"/>
        </w:trPr>
        <w:tc>
          <w:tcPr>
            <w:tcBorders>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差错更正</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35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740"/>
              <w:jc w:val="left"/>
            </w:pPr>
            <w:r>
              <w:rPr>
                <w:color w:val="000000"/>
                <w:spacing w:val="0"/>
                <w:w w:val="100"/>
                <w:position w:val="0"/>
              </w:rPr>
              <w:t>同一</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72" w:hRule="exact"/>
        </w:trPr>
        <w:tc>
          <w:tcPr>
            <w:tcBorders>
              <w:left w:val="single" w:sz="4"/>
            </w:tcBorders>
            <w:shd w:val="clear" w:color="auto" w:fill="D7D7D7"/>
            <w:vAlign w:val="center"/>
          </w:tcPr>
          <w:p>
            <w:pPr>
              <w:pStyle w:val="Style2"/>
              <w:keepNext w:val="0"/>
              <w:keepLines w:val="0"/>
              <w:widowControl w:val="0"/>
              <w:shd w:val="clear" w:color="auto" w:fill="auto"/>
              <w:bidi w:val="0"/>
              <w:spacing w:before="0" w:after="0" w:line="331" w:lineRule="exact"/>
              <w:ind w:left="0" w:right="0" w:firstLine="0"/>
              <w:jc w:val="left"/>
            </w:pPr>
            <w:r>
              <w:rPr>
                <w:color w:val="000000"/>
                <w:spacing w:val="0"/>
                <w:w w:val="100"/>
                <w:position w:val="0"/>
              </w:rPr>
              <w:t>控制下企业合 并</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740"/>
              <w:jc w:val="both"/>
            </w:pP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D7D7D7"/>
            <w:vAlign w:val="top"/>
          </w:tcPr>
          <w:p>
            <w:pPr>
              <w:widowControl w:val="0"/>
              <w:rPr>
                <w:sz w:val="10"/>
                <w:szCs w:val="10"/>
              </w:rPr>
            </w:pP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1,961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68" w:hRule="exact"/>
        </w:trPr>
        <w:tc>
          <w:tcPr>
            <w:vMerge w:val="restart"/>
            <w:tcBorders>
              <w:left w:val="single" w:sz="4"/>
            </w:tcBorders>
            <w:shd w:val="clear" w:color="auto" w:fill="D7D7D7"/>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二、本年期初</w:t>
            </w:r>
          </w:p>
        </w:tc>
        <w:tc>
          <w:tcPr>
            <w:vMerge/>
            <w:tcBorders>
              <w:left w:val="single" w:sz="4"/>
            </w:tcBorders>
            <w:shd w:val="clear" w:color="auto" w:fill="FFFFFF"/>
            <w:vAlign w:val="center"/>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447,56</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-25,97</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240,60</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2,535,</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5,159,</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5,151,6</w:t>
            </w:r>
          </w:p>
        </w:tc>
      </w:tr>
      <w:tr>
        <w:trPr>
          <w:trHeight w:val="154" w:hRule="exact"/>
        </w:trPr>
        <w:tc>
          <w:tcPr>
            <w:vMerge/>
            <w:tcBorders>
              <w:left w:val="single" w:sz="4"/>
            </w:tcBorders>
            <w:shd w:val="clear" w:color="auto" w:fill="D7D7D7"/>
            <w:vAlign w:val="bottom"/>
          </w:tcPr>
          <w:p>
            <w:pP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,091,</w:t>
            </w: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3,721.</w:t>
            </w: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0,100.</w:t>
            </w: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1,619.</w:t>
            </w: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877,46</w:t>
            </w: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164,68</w:t>
            </w: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-7,505,</w:t>
            </w:r>
          </w:p>
        </w:tc>
        <w:tc>
          <w:tcPr>
            <w:vMerge w:val="restart"/>
            <w:tcBorders>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59,444.</w:t>
            </w:r>
          </w:p>
        </w:tc>
      </w:tr>
      <w:tr>
        <w:trPr>
          <w:trHeight w:val="158" w:hRule="exact"/>
        </w:trPr>
        <w:tc>
          <w:tcPr>
            <w:vMerge w:val="restart"/>
            <w:tcBorders>
              <w:left w:val="single" w:sz="4"/>
            </w:tcBorders>
            <w:shd w:val="clear" w:color="auto" w:fill="D7D7D7"/>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余额</w:t>
            </w: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bottom"/>
          </w:tcPr>
          <w:p>
            <w:pPr/>
          </w:p>
        </w:tc>
        <w:tc>
          <w:tcPr>
            <w:vMerge/>
            <w:tcBorders>
              <w:left w:val="single" w:sz="4"/>
            </w:tcBorders>
            <w:shd w:val="clear" w:color="auto" w:fill="FFFFFF"/>
            <w:vAlign w:val="top"/>
          </w:tcPr>
          <w:p>
            <w:pPr/>
          </w:p>
        </w:tc>
        <w:tc>
          <w:tcPr>
            <w:vMerge/>
            <w:tcBorders>
              <w:left w:val="single" w:sz="4"/>
            </w:tcBorders>
            <w:shd w:val="clear" w:color="auto" w:fill="FFFFFF"/>
            <w:vAlign w:val="bottom"/>
          </w:tcPr>
          <w:p>
            <w:pPr/>
          </w:p>
        </w:tc>
        <w:tc>
          <w:tcPr>
            <w:vMerge/>
            <w:tcBorders>
              <w:left w:val="single" w:sz="4"/>
            </w:tcBorders>
            <w:shd w:val="clear" w:color="auto" w:fill="FFFFFF"/>
            <w:vAlign w:val="top"/>
          </w:tcPr>
          <w:p>
            <w:pPr/>
          </w:p>
        </w:tc>
        <w:tc>
          <w:tcPr>
            <w:vMerge/>
            <w:tcBorders>
              <w:left w:val="single" w:sz="4"/>
            </w:tcBorders>
            <w:shd w:val="clear" w:color="auto" w:fill="FFFFFF"/>
            <w:vAlign w:val="bottom"/>
          </w:tcPr>
          <w:p>
            <w:pPr/>
          </w:p>
        </w:tc>
        <w:tc>
          <w:tcPr>
            <w:vMerge/>
            <w:tcBorders>
              <w:left w:val="single" w:sz="4"/>
            </w:tcBorders>
            <w:shd w:val="clear" w:color="auto" w:fill="FFFFFF"/>
            <w:vAlign w:val="top"/>
          </w:tcPr>
          <w:p>
            <w:pPr/>
          </w:p>
        </w:tc>
        <w:tc>
          <w:tcPr>
            <w:vMerge/>
            <w:tcBorders>
              <w:left w:val="single" w:sz="4"/>
            </w:tcBorders>
            <w:shd w:val="clear" w:color="auto" w:fill="FFFFFF"/>
            <w:vAlign w:val="bottom"/>
          </w:tcPr>
          <w:p>
            <w:pPr/>
          </w:p>
        </w:tc>
        <w:tc>
          <w:tcPr>
            <w:vMerge/>
            <w:tcBorders>
              <w:left w:val="single" w:sz="4"/>
            </w:tcBorders>
            <w:shd w:val="clear" w:color="auto" w:fill="FFFFFF"/>
            <w:vAlign w:val="top"/>
          </w:tcPr>
          <w:p>
            <w:pPr/>
          </w:p>
        </w:tc>
        <w:tc>
          <w:tcPr>
            <w:vMerge/>
            <w:tcBorders>
              <w:left w:val="single" w:sz="4"/>
            </w:tcBorders>
            <w:shd w:val="clear" w:color="auto" w:fill="FFFFFF"/>
            <w:vAlign w:val="bottom"/>
          </w:tcPr>
          <w:p>
            <w:pPr/>
          </w:p>
        </w:tc>
        <w:tc>
          <w:tcPr>
            <w:vMerge/>
            <w:tcBorders>
              <w:left w:val="single" w:sz="4"/>
            </w:tcBorders>
            <w:shd w:val="clear" w:color="auto" w:fill="FFFFFF"/>
            <w:vAlign w:val="top"/>
          </w:tcPr>
          <w:p>
            <w:pPr/>
          </w:p>
        </w:tc>
        <w:tc>
          <w:tcPr>
            <w:vMerge/>
            <w:tcBorders>
              <w:left w:val="single" w:sz="4"/>
              <w:right w:val="single" w:sz="4"/>
            </w:tcBorders>
            <w:shd w:val="clear" w:color="auto" w:fill="FFFFFF"/>
            <w:vAlign w:val="bottom"/>
          </w:tcPr>
          <w:p>
            <w:pPr/>
          </w:p>
        </w:tc>
      </w:tr>
      <w:tr>
        <w:trPr>
          <w:trHeight w:val="149" w:hRule="exact"/>
        </w:trPr>
        <w:tc>
          <w:tcPr>
            <w:vMerge/>
            <w:tcBorders>
              <w:left w:val="single" w:sz="4"/>
            </w:tcBorders>
            <w:shd w:val="clear" w:color="auto" w:fill="D7D7D7"/>
            <w:vAlign w:val="bottom"/>
          </w:tcPr>
          <w:p>
            <w:pP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984.0</w:t>
            </w: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16</w:t>
            </w: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60"/>
              <w:jc w:val="both"/>
              <w:rPr>
                <w:sz w:val="18"/>
                <w:szCs w:val="18"/>
              </w:rPr>
            </w:pPr>
            <w:r>
              <w:rPr>
                <w:rFonts w:ascii="Times New Roman" w:eastAsia="Times New Roman" w:hAnsi="Times New Roman" w:cs="Times New Roman"/>
                <w:color w:val="000000"/>
                <w:spacing w:val="0"/>
                <w:w w:val="100"/>
                <w:position w:val="0"/>
                <w:sz w:val="18"/>
                <w:szCs w:val="18"/>
              </w:rPr>
              <w:t>80</w:t>
            </w: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97</w:t>
            </w: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4.89</w:t>
            </w: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20"/>
              <w:jc w:val="both"/>
              <w:rPr>
                <w:sz w:val="18"/>
                <w:szCs w:val="18"/>
              </w:rPr>
            </w:pPr>
            <w:r>
              <w:rPr>
                <w:rFonts w:ascii="Times New Roman" w:eastAsia="Times New Roman" w:hAnsi="Times New Roman" w:cs="Times New Roman"/>
                <w:color w:val="000000"/>
                <w:spacing w:val="0"/>
                <w:w w:val="100"/>
                <w:position w:val="0"/>
                <w:sz w:val="18"/>
                <w:szCs w:val="18"/>
              </w:rPr>
              <w:t>9.22</w:t>
            </w: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244.45</w:t>
            </w:r>
          </w:p>
        </w:tc>
        <w:tc>
          <w:tcPr>
            <w:vMerge w:val="restart"/>
            <w:tcBorders>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77</w:t>
            </w:r>
          </w:p>
        </w:tc>
      </w:tr>
      <w:tr>
        <w:trPr>
          <w:trHeight w:val="154" w:hRule="exact"/>
        </w:trPr>
        <w:tc>
          <w:tcPr>
            <w:tcBorders>
              <w:left w:val="single" w:sz="4"/>
            </w:tcBorders>
            <w:shd w:val="clear" w:color="auto" w:fill="D7D7D7"/>
            <w:vAlign w:val="top"/>
          </w:tcPr>
          <w:p>
            <w:pPr>
              <w:widowControl w:val="0"/>
              <w:rPr>
                <w:sz w:val="10"/>
                <w:szCs w:val="10"/>
              </w:rPr>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bottom"/>
          </w:tcPr>
          <w:p>
            <w:pPr/>
          </w:p>
        </w:tc>
        <w:tc>
          <w:tcPr>
            <w:vMerge/>
            <w:tcBorders>
              <w:left w:val="single" w:sz="4"/>
            </w:tcBorders>
            <w:shd w:val="clear" w:color="auto" w:fill="FFFFFF"/>
            <w:vAlign w:val="top"/>
          </w:tcPr>
          <w:p>
            <w:pPr/>
          </w:p>
        </w:tc>
        <w:tc>
          <w:tcPr>
            <w:vMerge/>
            <w:tcBorders>
              <w:left w:val="single" w:sz="4"/>
            </w:tcBorders>
            <w:shd w:val="clear" w:color="auto" w:fill="FFFFFF"/>
            <w:vAlign w:val="bottom"/>
          </w:tcPr>
          <w:p>
            <w:pPr/>
          </w:p>
        </w:tc>
        <w:tc>
          <w:tcPr>
            <w:vMerge/>
            <w:tcBorders>
              <w:left w:val="single" w:sz="4"/>
            </w:tcBorders>
            <w:shd w:val="clear" w:color="auto" w:fill="FFFFFF"/>
            <w:vAlign w:val="top"/>
          </w:tcPr>
          <w:p>
            <w:pPr/>
          </w:p>
        </w:tc>
        <w:tc>
          <w:tcPr>
            <w:vMerge/>
            <w:tcBorders>
              <w:left w:val="single" w:sz="4"/>
            </w:tcBorders>
            <w:shd w:val="clear" w:color="auto" w:fill="FFFFFF"/>
            <w:vAlign w:val="bottom"/>
          </w:tcPr>
          <w:p>
            <w:pPr/>
          </w:p>
        </w:tc>
        <w:tc>
          <w:tcPr>
            <w:vMerge/>
            <w:tcBorders>
              <w:left w:val="single" w:sz="4"/>
            </w:tcBorders>
            <w:shd w:val="clear" w:color="auto" w:fill="FFFFFF"/>
            <w:vAlign w:val="top"/>
          </w:tcPr>
          <w:p>
            <w:pPr/>
          </w:p>
        </w:tc>
        <w:tc>
          <w:tcPr>
            <w:vMerge/>
            <w:tcBorders>
              <w:left w:val="single" w:sz="4"/>
            </w:tcBorders>
            <w:shd w:val="clear" w:color="auto" w:fill="FFFFFF"/>
            <w:vAlign w:val="bottom"/>
          </w:tcPr>
          <w:p>
            <w:pPr/>
          </w:p>
        </w:tc>
        <w:tc>
          <w:tcPr>
            <w:vMerge/>
            <w:tcBorders>
              <w:left w:val="single" w:sz="4"/>
            </w:tcBorders>
            <w:shd w:val="clear" w:color="auto" w:fill="FFFFFF"/>
            <w:vAlign w:val="top"/>
          </w:tcPr>
          <w:p>
            <w:pPr/>
          </w:p>
        </w:tc>
        <w:tc>
          <w:tcPr>
            <w:vMerge/>
            <w:tcBorders>
              <w:left w:val="single" w:sz="4"/>
            </w:tcBorders>
            <w:shd w:val="clear" w:color="auto" w:fill="FFFFFF"/>
            <w:vAlign w:val="bottom"/>
          </w:tcPr>
          <w:p>
            <w:pPr/>
          </w:p>
        </w:tc>
        <w:tc>
          <w:tcPr>
            <w:vMerge/>
            <w:tcBorders>
              <w:left w:val="single" w:sz="4"/>
            </w:tcBorders>
            <w:shd w:val="clear" w:color="auto" w:fill="FFFFFF"/>
            <w:vAlign w:val="top"/>
          </w:tcPr>
          <w:p>
            <w:pPr/>
          </w:p>
        </w:tc>
        <w:tc>
          <w:tcPr>
            <w:vMerge/>
            <w:tcBorders>
              <w:left w:val="single" w:sz="4"/>
              <w:right w:val="single" w:sz="4"/>
            </w:tcBorders>
            <w:shd w:val="clear" w:color="auto" w:fill="FFFFFF"/>
            <w:vAlign w:val="bottom"/>
          </w:tcPr>
          <w:p>
            <w:pPr/>
          </w:p>
        </w:tc>
      </w:tr>
      <w:tr>
        <w:trPr>
          <w:trHeight w:val="264" w:hRule="exact"/>
        </w:trPr>
        <w:tc>
          <w:tcPr>
            <w:tcBorders>
              <w:left w:val="single" w:sz="4"/>
            </w:tcBorders>
            <w:shd w:val="clear" w:color="auto" w:fill="D7D7D7"/>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0</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763" w:hRule="exact"/>
        </w:trPr>
        <w:tc>
          <w:tcPr>
            <w:vMerge w:val="restart"/>
            <w:tcBorders>
              <w:top w:val="single" w:sz="4"/>
              <w:left w:val="single" w:sz="4"/>
            </w:tcBorders>
            <w:shd w:val="clear" w:color="auto" w:fill="D7D7D7"/>
            <w:vAlign w:val="bottom"/>
          </w:tcPr>
          <w:p>
            <w:pPr>
              <w:pStyle w:val="Style2"/>
              <w:keepNext w:val="0"/>
              <w:keepLines w:val="0"/>
              <w:widowControl w:val="0"/>
              <w:shd w:val="clear" w:color="auto" w:fill="auto"/>
              <w:bidi w:val="0"/>
              <w:spacing w:before="0" w:after="0" w:line="319" w:lineRule="exact"/>
              <w:ind w:left="0" w:right="0" w:firstLine="0"/>
              <w:jc w:val="left"/>
            </w:pPr>
            <w:r>
              <w:rPr>
                <w:color w:val="000000"/>
                <w:spacing w:val="0"/>
                <w:w w:val="100"/>
                <w:position w:val="0"/>
              </w:rPr>
              <w:t>三、本期增减 变动金额（减 少以</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一</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号填</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29,714</w:t>
            </w:r>
          </w:p>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,162.2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6,163,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-1,471,</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967,41</w:t>
            </w: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-1,436,</w:t>
            </w:r>
          </w:p>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089,99</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30,988,</w:t>
            </w:r>
          </w:p>
        </w:tc>
        <w:tc>
          <w:tcPr>
            <w:vMerge w:val="restart"/>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-1,405,</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101,212</w:t>
            </w:r>
          </w:p>
        </w:tc>
      </w:tr>
      <w:tr>
        <w:trPr>
          <w:trHeight w:val="154" w:hRule="exact"/>
        </w:trPr>
        <w:tc>
          <w:tcPr>
            <w:vMerge/>
            <w:tcBorders>
              <w:left w:val="single" w:sz="4"/>
            </w:tcBorders>
            <w:shd w:val="clear" w:color="auto" w:fill="D7D7D7"/>
            <w:vAlign w:val="bottom"/>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bottom"/>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264.49</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bottom"/>
          </w:tcPr>
          <w:p>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bottom"/>
          </w:tcPr>
          <w:p>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778.65</w:t>
            </w:r>
          </w:p>
        </w:tc>
        <w:tc>
          <w:tcPr>
            <w:vMerge/>
            <w:tcBorders>
              <w:left w:val="single" w:sz="4"/>
              <w:right w:val="single" w:sz="4"/>
            </w:tcBorders>
            <w:shd w:val="clear" w:color="auto" w:fill="FFFFFF"/>
            <w:vAlign w:val="bottom"/>
          </w:tcPr>
          <w:p>
            <w:pPr/>
          </w:p>
        </w:tc>
      </w:tr>
      <w:tr>
        <w:trPr>
          <w:trHeight w:val="144" w:hRule="exact"/>
        </w:trPr>
        <w:tc>
          <w:tcPr>
            <w:tcBorders>
              <w:left w:val="single" w:sz="4"/>
            </w:tcBorders>
            <w:shd w:val="clear" w:color="auto" w:fill="D7D7D7"/>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40"/>
              <w:jc w:val="left"/>
              <w:rPr>
                <w:sz w:val="18"/>
                <w:szCs w:val="18"/>
              </w:rPr>
            </w:pPr>
            <w:r>
              <w:rPr>
                <w:rFonts w:ascii="Times New Roman" w:eastAsia="Times New Roman" w:hAnsi="Times New Roman" w:cs="Times New Roman"/>
                <w:color w:val="000000"/>
                <w:spacing w:val="0"/>
                <w:w w:val="100"/>
                <w:position w:val="0"/>
                <w:sz w:val="18"/>
                <w:szCs w:val="18"/>
              </w:rPr>
              <w:t>6</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8.37</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20"/>
              <w:jc w:val="both"/>
              <w:rPr>
                <w:sz w:val="18"/>
                <w:szCs w:val="18"/>
              </w:rPr>
            </w:pPr>
            <w:r>
              <w:rPr>
                <w:rFonts w:ascii="Times New Roman" w:eastAsia="Times New Roman" w:hAnsi="Times New Roman" w:cs="Times New Roman"/>
                <w:color w:val="000000"/>
                <w:spacing w:val="0"/>
                <w:w w:val="100"/>
                <w:position w:val="0"/>
                <w:sz w:val="18"/>
                <w:szCs w:val="18"/>
              </w:rPr>
              <w:t>1.62</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.97</w:t>
            </w:r>
          </w:p>
        </w:tc>
      </w:tr>
      <w:tr>
        <w:trPr>
          <w:trHeight w:val="278" w:hRule="exact"/>
        </w:trPr>
        <w:tc>
          <w:tcPr>
            <w:tcBorders>
              <w:left w:val="single" w:sz="4"/>
            </w:tcBorders>
            <w:shd w:val="clear" w:color="auto" w:fill="D7D7D7"/>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列）</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456" w:hRule="exact"/>
        </w:trPr>
        <w:tc>
          <w:tcPr>
            <w:tcBorders>
              <w:top w:val="single" w:sz="4"/>
              <w:left w:val="single" w:sz="4"/>
            </w:tcBorders>
            <w:shd w:val="clear" w:color="auto" w:fill="D7D7D7"/>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（一）综合收</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6,163,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-1,474,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-1,468,</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4,440,9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-1,463,</w:t>
            </w:r>
          </w:p>
        </w:tc>
      </w:tr>
      <w:tr>
        <w:trPr>
          <w:trHeight w:val="158" w:hRule="exact"/>
        </w:trPr>
        <w:tc>
          <w:tcPr>
            <w:vMerge w:val="restart"/>
            <w:tcBorders>
              <w:left w:val="single" w:sz="4"/>
            </w:tcBorders>
            <w:shd w:val="clear" w:color="auto" w:fill="D7D7D7"/>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益总额</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center"/>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177,93</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014,67</w:t>
            </w:r>
          </w:p>
        </w:tc>
        <w:tc>
          <w:tcPr>
            <w:vMerge/>
            <w:tcBorders>
              <w:left w:val="single" w:sz="4"/>
            </w:tcBorders>
            <w:shd w:val="clear" w:color="auto" w:fill="FFFFFF"/>
            <w:vAlign w:val="center"/>
          </w:tcPr>
          <w:p>
            <w:pPr/>
          </w:p>
        </w:tc>
        <w:tc>
          <w:tcPr>
            <w:tcBorders>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573,682</w:t>
            </w:r>
          </w:p>
        </w:tc>
      </w:tr>
      <w:tr>
        <w:trPr>
          <w:trHeight w:val="149" w:hRule="exact"/>
        </w:trPr>
        <w:tc>
          <w:tcPr>
            <w:vMerge/>
            <w:tcBorders>
              <w:left w:val="single" w:sz="4"/>
            </w:tcBorders>
            <w:shd w:val="clear" w:color="auto" w:fill="D7D7D7"/>
            <w:vAlign w:val="bottom"/>
          </w:tcPr>
          <w:p>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264.49</w:t>
            </w: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8.37</w:t>
            </w: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both"/>
              <w:rPr>
                <w:sz w:val="18"/>
                <w:szCs w:val="18"/>
              </w:rPr>
            </w:pPr>
            <w:r>
              <w:rPr>
                <w:rFonts w:ascii="Times New Roman" w:eastAsia="Times New Roman" w:hAnsi="Times New Roman" w:cs="Times New Roman"/>
                <w:color w:val="000000"/>
                <w:spacing w:val="0"/>
                <w:w w:val="100"/>
                <w:position w:val="0"/>
                <w:sz w:val="18"/>
                <w:szCs w:val="18"/>
              </w:rPr>
              <w:t>3.88</w:t>
            </w: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90.98</w:t>
            </w:r>
          </w:p>
        </w:tc>
        <w:tc>
          <w:tcPr>
            <w:vMerge w:val="restart"/>
            <w:tcBorders>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.90</w:t>
            </w:r>
          </w:p>
        </w:tc>
      </w:tr>
      <w:tr>
        <w:trPr>
          <w:trHeight w:val="264" w:hRule="exact"/>
        </w:trPr>
        <w:tc>
          <w:tcPr>
            <w:tcBorders>
              <w:left w:val="single" w:sz="4"/>
            </w:tcBorders>
            <w:shd w:val="clear" w:color="auto" w:fill="D7D7D7"/>
            <w:vAlign w:val="top"/>
          </w:tcPr>
          <w:p>
            <w:pPr>
              <w:widowControl w:val="0"/>
              <w:rPr>
                <w:sz w:val="10"/>
                <w:szCs w:val="10"/>
              </w:rPr>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center"/>
          </w:tcPr>
          <w:p>
            <w:pPr/>
          </w:p>
        </w:tc>
        <w:tc>
          <w:tcPr>
            <w:vMerge/>
            <w:tcBorders>
              <w:left w:val="single" w:sz="4"/>
            </w:tcBorders>
            <w:shd w:val="clear" w:color="auto" w:fill="FFFFFF"/>
            <w:vAlign w:val="top"/>
          </w:tcPr>
          <w:p>
            <w:pPr/>
          </w:p>
        </w:tc>
        <w:tc>
          <w:tcPr>
            <w:vMerge/>
            <w:tcBorders>
              <w:left w:val="single" w:sz="4"/>
            </w:tcBorders>
            <w:shd w:val="clear" w:color="auto" w:fill="FFFFFF"/>
            <w:vAlign w:val="center"/>
          </w:tcPr>
          <w:p>
            <w:pPr/>
          </w:p>
        </w:tc>
        <w:tc>
          <w:tcPr>
            <w:vMerge/>
            <w:tcBorders>
              <w:left w:val="single" w:sz="4"/>
            </w:tcBorders>
            <w:shd w:val="clear" w:color="auto" w:fill="FFFFFF"/>
            <w:vAlign w:val="top"/>
          </w:tcPr>
          <w:p>
            <w:pPr/>
          </w:p>
        </w:tc>
        <w:tc>
          <w:tcPr>
            <w:vMerge/>
            <w:tcBorders>
              <w:left w:val="single" w:sz="4"/>
              <w:right w:val="single" w:sz="4"/>
            </w:tcBorders>
            <w:shd w:val="clear" w:color="auto" w:fill="FFFFFF"/>
            <w:vAlign w:val="center"/>
          </w:tcPr>
          <w:p>
            <w:pPr/>
          </w:p>
        </w:tc>
      </w:tr>
      <w:tr>
        <w:trPr>
          <w:trHeight w:val="605" w:hRule="exact"/>
        </w:trPr>
        <w:tc>
          <w:tcPr>
            <w:tcBorders>
              <w:top w:val="single" w:sz="4"/>
              <w:left w:val="single" w:sz="4"/>
            </w:tcBorders>
            <w:shd w:val="clear" w:color="auto" w:fill="D7D7D7"/>
            <w:vAlign w:val="bottom"/>
          </w:tcPr>
          <w:p>
            <w:pPr>
              <w:pStyle w:val="Style2"/>
              <w:keepNext w:val="0"/>
              <w:keepLines w:val="0"/>
              <w:widowControl w:val="0"/>
              <w:shd w:val="clear" w:color="auto" w:fill="auto"/>
              <w:bidi w:val="0"/>
              <w:spacing w:before="0" w:after="0" w:line="302" w:lineRule="exact"/>
              <w:ind w:left="0" w:right="0" w:firstLine="0"/>
              <w:jc w:val="left"/>
            </w:pPr>
            <w:r>
              <w:rPr>
                <w:color w:val="000000"/>
                <w:spacing w:val="0"/>
                <w:w w:val="100"/>
                <w:position w:val="0"/>
              </w:rPr>
              <w:t>（二）所有者 投入和减少资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29,202</w:t>
            </w:r>
          </w:p>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,212.3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29,202</w:t>
            </w:r>
          </w:p>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,212.3</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26,547,</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55,750,</w:t>
            </w:r>
          </w:p>
        </w:tc>
      </w:tr>
      <w:tr>
        <w:trPr>
          <w:trHeight w:val="144" w:hRule="exact"/>
        </w:trPr>
        <w:tc>
          <w:tcPr>
            <w:tcBorders>
              <w:left w:val="single" w:sz="4"/>
            </w:tcBorders>
            <w:shd w:val="clear" w:color="auto" w:fill="D7D7D7"/>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center"/>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center"/>
          </w:tcPr>
          <w:p>
            <w:pP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787.67</w:t>
            </w:r>
          </w:p>
        </w:tc>
        <w:tc>
          <w:tcPr>
            <w:tcBorders>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000.00</w:t>
            </w:r>
          </w:p>
        </w:tc>
      </w:tr>
      <w:tr>
        <w:trPr>
          <w:trHeight w:val="278" w:hRule="exact"/>
        </w:trPr>
        <w:tc>
          <w:tcPr>
            <w:tcBorders>
              <w:left w:val="single" w:sz="4"/>
            </w:tcBorders>
            <w:shd w:val="clear" w:color="auto" w:fill="D7D7D7"/>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本</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40"/>
              <w:jc w:val="left"/>
              <w:rPr>
                <w:sz w:val="18"/>
                <w:szCs w:val="18"/>
              </w:rPr>
            </w:pPr>
            <w:r>
              <w:rPr>
                <w:rFonts w:ascii="Times New Roman" w:eastAsia="Times New Roman" w:hAnsi="Times New Roman" w:cs="Times New Roman"/>
                <w:color w:val="000000"/>
                <w:spacing w:val="0"/>
                <w:w w:val="100"/>
                <w:position w:val="0"/>
                <w:sz w:val="18"/>
                <w:szCs w:val="18"/>
              </w:rPr>
              <w:t>3</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595" w:hRule="exact"/>
        </w:trPr>
        <w:tc>
          <w:tcPr>
            <w:tcBorders>
              <w:top w:val="single" w:sz="4"/>
              <w:left w:val="single" w:sz="4"/>
            </w:tcBorders>
            <w:shd w:val="clear" w:color="auto" w:fill="D7D7D7"/>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w:t>
            </w:r>
            <w:r>
              <w:rPr>
                <w:color w:val="000000"/>
                <w:spacing w:val="0"/>
                <w:w w:val="100"/>
                <w:position w:val="0"/>
              </w:rPr>
              <w:t>所有者投入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29,202</w:t>
            </w:r>
          </w:p>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,212.3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29,202</w:t>
            </w:r>
          </w:p>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,212.3</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25,958,</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55,160,</w:t>
            </w:r>
          </w:p>
        </w:tc>
      </w:tr>
      <w:tr>
        <w:trPr>
          <w:trHeight w:val="163" w:hRule="exact"/>
        </w:trPr>
        <w:tc>
          <w:tcPr>
            <w:tcBorders>
              <w:left w:val="single" w:sz="4"/>
            </w:tcBorders>
            <w:shd w:val="clear" w:color="auto" w:fill="D7D7D7"/>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的普通股</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center"/>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center"/>
          </w:tcPr>
          <w:p>
            <w:pP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481.31</w:t>
            </w:r>
          </w:p>
        </w:tc>
        <w:tc>
          <w:tcPr>
            <w:tcBorders>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693.64</w:t>
            </w:r>
          </w:p>
        </w:tc>
      </w:tr>
      <w:tr>
        <w:trPr>
          <w:trHeight w:val="264" w:hRule="exact"/>
        </w:trPr>
        <w:tc>
          <w:tcPr>
            <w:tcBorders>
              <w:left w:val="single" w:sz="4"/>
            </w:tcBorders>
            <w:shd w:val="clear" w:color="auto" w:fill="D7D7D7"/>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40"/>
              <w:jc w:val="left"/>
              <w:rPr>
                <w:sz w:val="18"/>
                <w:szCs w:val="18"/>
              </w:rPr>
            </w:pPr>
            <w:r>
              <w:rPr>
                <w:rFonts w:ascii="Times New Roman" w:eastAsia="Times New Roman" w:hAnsi="Times New Roman" w:cs="Times New Roman"/>
                <w:color w:val="000000"/>
                <w:spacing w:val="0"/>
                <w:w w:val="100"/>
                <w:position w:val="0"/>
                <w:sz w:val="18"/>
                <w:szCs w:val="18"/>
              </w:rPr>
              <w:t>3</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22" w:lineRule="exact"/>
              <w:ind w:left="0" w:right="0" w:firstLine="0"/>
              <w:jc w:val="left"/>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w:t>
            </w:r>
            <w:r>
              <w:rPr>
                <w:color w:val="000000"/>
                <w:spacing w:val="0"/>
                <w:w w:val="100"/>
                <w:position w:val="0"/>
              </w:rPr>
              <w:t>其他权益工 具持有者投入 资本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86"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322" w:lineRule="exact"/>
              <w:ind w:left="0" w:right="0" w:firstLine="0"/>
              <w:jc w:val="left"/>
            </w:pPr>
            <w:r>
              <w:rPr>
                <w:rFonts w:ascii="Times New Roman" w:eastAsia="Times New Roman" w:hAnsi="Times New Roman" w:cs="Times New Roman"/>
                <w:color w:val="000000"/>
                <w:spacing w:val="0"/>
                <w:w w:val="100"/>
                <w:position w:val="0"/>
                <w:sz w:val="18"/>
                <w:szCs w:val="18"/>
              </w:rPr>
              <w:t>3</w:t>
            </w:r>
            <w:r>
              <w:rPr>
                <w:color w:val="000000"/>
                <w:spacing w:val="0"/>
                <w:w w:val="100"/>
                <w:position w:val="0"/>
              </w:rPr>
              <w:t>-股份支付计 入所有者权益</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sectPr>
          <w:headerReference w:type="default" r:id="rId283"/>
          <w:footerReference w:type="default" r:id="rId284"/>
          <w:headerReference w:type="even" r:id="rId285"/>
          <w:footerReference w:type="even" r:id="rId286"/>
          <w:footnotePr>
            <w:pos w:val="pageBottom"/>
            <w:numFmt w:val="decimal"/>
            <w:numRestart w:val="continuous"/>
          </w:footnotePr>
          <w:pgSz w:w="11904" w:h="17375"/>
          <w:pgMar w:top="1675" w:right="1077" w:bottom="1664" w:left="1040" w:header="0" w:footer="3" w:gutter="0"/>
          <w:cols w:space="720"/>
          <w:noEndnote/>
          <w:rtlGutter w:val="0"/>
          <w:docGrid w:linePitch="360"/>
        </w:sectPr>
      </w:pPr>
    </w:p>
    <w:tbl>
      <w:tblPr>
        <w:tblOverlap w:val="never"/>
        <w:jc w:val="center"/>
        <w:tblLayout w:type="fixed"/>
      </w:tblPr>
      <w:tblGrid>
        <w:gridCol w:w="1219"/>
        <w:gridCol w:w="490"/>
        <w:gridCol w:w="446"/>
        <w:gridCol w:w="451"/>
        <w:gridCol w:w="490"/>
        <w:gridCol w:w="576"/>
        <w:gridCol w:w="576"/>
        <w:gridCol w:w="576"/>
        <w:gridCol w:w="581"/>
        <w:gridCol w:w="576"/>
        <w:gridCol w:w="576"/>
        <w:gridCol w:w="590"/>
        <w:gridCol w:w="566"/>
        <w:gridCol w:w="566"/>
        <w:gridCol w:w="643"/>
        <w:gridCol w:w="658"/>
      </w:tblGrid>
      <w:tr>
        <w:trPr>
          <w:trHeight w:val="36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的金额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4</w:t>
            </w: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589,306</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589,306</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.36</w:t>
            </w: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（三）利润分 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w:t>
            </w:r>
            <w:r>
              <w:rPr>
                <w:color w:val="000000"/>
                <w:spacing w:val="0"/>
                <w:w w:val="100"/>
                <w:position w:val="0"/>
              </w:rPr>
              <w:t>提取盈余公 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120" w:line="240" w:lineRule="auto"/>
              <w:ind w:left="0" w:right="0" w:firstLine="0"/>
              <w:jc w:val="left"/>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w:t>
            </w:r>
            <w:r>
              <w:rPr>
                <w:color w:val="000000"/>
                <w:spacing w:val="0"/>
                <w:w w:val="100"/>
                <w:position w:val="0"/>
              </w:rPr>
              <w:t>提取一般风</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险准备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firstLine="0"/>
              <w:jc w:val="left"/>
            </w:pPr>
            <w:r>
              <w:rPr>
                <w:rFonts w:ascii="Times New Roman" w:eastAsia="Times New Roman" w:hAnsi="Times New Roman" w:cs="Times New Roman"/>
                <w:color w:val="000000"/>
                <w:spacing w:val="0"/>
                <w:w w:val="100"/>
                <w:position w:val="0"/>
                <w:sz w:val="18"/>
                <w:szCs w:val="18"/>
              </w:rPr>
              <w:t>3</w:t>
            </w:r>
            <w:r>
              <w:rPr>
                <w:color w:val="000000"/>
                <w:spacing w:val="0"/>
                <w:w w:val="100"/>
                <w:position w:val="0"/>
              </w:rPr>
              <w:t>.对所有者 （或股东）的</w:t>
            </w:r>
          </w:p>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分配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4</w:t>
            </w: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（四）所有者 权益内部结转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2"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0" w:lineRule="exact"/>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w:t>
            </w:r>
            <w:r>
              <w:rPr>
                <w:color w:val="000000"/>
                <w:spacing w:val="0"/>
                <w:w w:val="100"/>
                <w:position w:val="0"/>
              </w:rPr>
              <w:t>资本公积转 增资本（或股 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firstLine="0"/>
              <w:jc w:val="left"/>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w:t>
            </w:r>
            <w:r>
              <w:rPr>
                <w:color w:val="000000"/>
                <w:spacing w:val="0"/>
                <w:w w:val="100"/>
                <w:position w:val="0"/>
              </w:rPr>
              <w:t>盈余公积转 增资本（或股 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sz w:val="18"/>
                <w:szCs w:val="18"/>
              </w:rPr>
              <w:t>3</w:t>
            </w:r>
            <w:r>
              <w:rPr>
                <w:color w:val="000000"/>
                <w:spacing w:val="0"/>
                <w:w w:val="100"/>
                <w:position w:val="0"/>
              </w:rPr>
              <w:t>.</w:t>
            </w:r>
            <w:r>
              <w:rPr>
                <w:color w:val="000000"/>
                <w:spacing w:val="0"/>
                <w:w w:val="100"/>
                <w:position w:val="0"/>
              </w:rPr>
              <w:t>盈余公积弥</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补亏损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firstLine="0"/>
              <w:jc w:val="left"/>
            </w:pPr>
            <w:r>
              <w:rPr>
                <w:rFonts w:ascii="Times New Roman" w:eastAsia="Times New Roman" w:hAnsi="Times New Roman" w:cs="Times New Roman"/>
                <w:color w:val="000000"/>
                <w:spacing w:val="0"/>
                <w:w w:val="100"/>
                <w:position w:val="0"/>
                <w:sz w:val="18"/>
                <w:szCs w:val="18"/>
              </w:rPr>
              <w:t>4</w:t>
            </w:r>
            <w:r>
              <w:rPr>
                <w:color w:val="000000"/>
                <w:spacing w:val="0"/>
                <w:w w:val="100"/>
                <w:position w:val="0"/>
              </w:rPr>
              <w:t>.</w:t>
            </w:r>
            <w:r>
              <w:rPr>
                <w:color w:val="000000"/>
                <w:spacing w:val="0"/>
                <w:w w:val="100"/>
                <w:position w:val="0"/>
              </w:rPr>
              <w:t>设定受益计 划变动额结转 留存收益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2"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0" w:lineRule="exact"/>
              <w:ind w:left="0" w:right="0" w:firstLine="0"/>
              <w:jc w:val="left"/>
            </w:pPr>
            <w:r>
              <w:rPr>
                <w:rFonts w:ascii="Times New Roman" w:eastAsia="Times New Roman" w:hAnsi="Times New Roman" w:cs="Times New Roman"/>
                <w:color w:val="000000"/>
                <w:spacing w:val="0"/>
                <w:w w:val="100"/>
                <w:position w:val="0"/>
                <w:sz w:val="18"/>
                <w:szCs w:val="18"/>
              </w:rPr>
              <w:t>5</w:t>
            </w:r>
            <w:r>
              <w:rPr>
                <w:color w:val="000000"/>
                <w:spacing w:val="0"/>
                <w:w w:val="100"/>
                <w:position w:val="0"/>
              </w:rPr>
              <w:t>.</w:t>
            </w:r>
            <w:r>
              <w:rPr>
                <w:color w:val="000000"/>
                <w:spacing w:val="0"/>
                <w:w w:val="100"/>
                <w:position w:val="0"/>
              </w:rPr>
              <w:t xml:space="preserve">其他综合收 益结转留存收 </w:t>
            </w:r>
            <w:r>
              <w:rPr>
                <w:color w:val="000000"/>
                <w:spacing w:val="0"/>
                <w:w w:val="100"/>
                <w:position w:val="0"/>
                <w:u w:val="single"/>
              </w:rPr>
              <w:t>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6</w:t>
            </w: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31" w:lineRule="exact"/>
              <w:ind w:left="0" w:right="0" w:firstLine="0"/>
              <w:jc w:val="left"/>
            </w:pPr>
            <w:r>
              <w:rPr>
                <w:color w:val="000000"/>
                <w:spacing w:val="0"/>
                <w:w w:val="100"/>
                <w:position w:val="0"/>
              </w:rPr>
              <w:t>（五）专项储 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.本期提取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.本期使用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（六）其他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511,94</w:t>
            </w:r>
          </w:p>
          <w:p>
            <w:pPr>
              <w:pStyle w:val="Style2"/>
              <w:keepNext w:val="0"/>
              <w:keepLines w:val="0"/>
              <w:widowControl w:val="0"/>
              <w:shd w:val="clear" w:color="auto" w:fill="auto"/>
              <w:bidi w:val="0"/>
              <w:spacing w:before="0" w:after="0" w:line="240" w:lineRule="auto"/>
              <w:ind w:left="0" w:right="0" w:firstLine="220"/>
              <w:jc w:val="left"/>
              <w:rPr>
                <w:sz w:val="18"/>
                <w:szCs w:val="18"/>
              </w:rPr>
            </w:pPr>
            <w:r>
              <w:rPr>
                <w:rFonts w:ascii="Times New Roman" w:eastAsia="Times New Roman" w:hAnsi="Times New Roman" w:cs="Times New Roman"/>
                <w:color w:val="000000"/>
                <w:spacing w:val="0"/>
                <w:w w:val="100"/>
                <w:position w:val="0"/>
                <w:sz w:val="18"/>
                <w:szCs w:val="18"/>
              </w:rPr>
              <w:t>9.93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2,210,</w:t>
            </w:r>
          </w:p>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520.00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2,722,</w:t>
            </w:r>
          </w:p>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469.93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2,722,4</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69.93</w:t>
            </w:r>
          </w:p>
        </w:tc>
      </w:tr>
      <w:tr>
        <w:trPr>
          <w:trHeight w:val="1037"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四、本期期末</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余额</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1,961</w:t>
            </w:r>
          </w:p>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,091,</w:t>
            </w:r>
          </w:p>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984.0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477,27</w:t>
            </w:r>
          </w:p>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7,883.</w:t>
            </w:r>
          </w:p>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42</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-19,80</w:t>
            </w:r>
          </w:p>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6,836.</w:t>
            </w:r>
          </w:p>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31</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240,60</w:t>
            </w:r>
          </w:p>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1,619.</w:t>
            </w:r>
          </w:p>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97</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1,063,</w:t>
            </w:r>
          </w:p>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910,04</w:t>
            </w:r>
          </w:p>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6.52</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3,723,</w:t>
            </w:r>
          </w:p>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074,69</w:t>
            </w:r>
          </w:p>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7.60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23,483,</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534.20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3,746,5</w:t>
            </w:r>
          </w:p>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58,231.</w:t>
            </w:r>
          </w:p>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80</w:t>
            </w:r>
          </w:p>
        </w:tc>
      </w:tr>
    </w:tbl>
    <w:p>
      <w:pPr>
        <w:widowControl w:val="0"/>
        <w:spacing w:line="1" w:lineRule="exact"/>
      </w:pPr>
      <w:r>
        <w:br w:type="page"/>
      </w:r>
    </w:p>
    <w:tbl>
      <w:tblPr>
        <w:tblOverlap w:val="never"/>
        <w:jc w:val="center"/>
        <w:tblLayout w:type="fixed"/>
      </w:tblPr>
      <w:tblGrid>
        <w:gridCol w:w="1219"/>
        <w:gridCol w:w="490"/>
        <w:gridCol w:w="446"/>
        <w:gridCol w:w="451"/>
        <w:gridCol w:w="490"/>
        <w:gridCol w:w="576"/>
        <w:gridCol w:w="576"/>
        <w:gridCol w:w="576"/>
        <w:gridCol w:w="581"/>
        <w:gridCol w:w="576"/>
        <w:gridCol w:w="576"/>
        <w:gridCol w:w="590"/>
        <w:gridCol w:w="566"/>
        <w:gridCol w:w="566"/>
        <w:gridCol w:w="643"/>
        <w:gridCol w:w="658"/>
      </w:tblGrid>
      <w:tr>
        <w:trPr>
          <w:trHeight w:val="446" w:hRule="exact"/>
        </w:trPr>
        <w:tc>
          <w:tcPr>
            <w:tcBorders>
              <w:top w:val="single" w:sz="4"/>
              <w:left w:val="single" w:sz="4"/>
              <w:bottom w:val="single" w:sz="4"/>
            </w:tcBorders>
            <w:shd w:val="clear" w:color="auto" w:fill="D7D7D7"/>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319" w:line="1" w:lineRule="exact"/>
      </w:pPr>
    </w:p>
    <w:p>
      <w:pPr>
        <w:pStyle w:val="Style47"/>
        <w:keepNext/>
        <w:keepLines/>
        <w:widowControl w:val="0"/>
        <w:shd w:val="clear" w:color="auto" w:fill="auto"/>
        <w:bidi w:val="0"/>
        <w:spacing w:before="0" w:after="420" w:line="240" w:lineRule="auto"/>
        <w:ind w:left="0" w:right="0" w:firstLine="0"/>
        <w:jc w:val="left"/>
      </w:pPr>
      <w:bookmarkStart w:id="826" w:name="bookmark826"/>
      <w:bookmarkStart w:id="827" w:name="bookmark827"/>
      <w:bookmarkStart w:id="828" w:name="bookmark828"/>
      <w:bookmarkStart w:id="829" w:name="bookmark829"/>
      <w:r>
        <w:rPr>
          <w:color w:val="000000"/>
          <w:spacing w:val="0"/>
          <w:w w:val="100"/>
          <w:position w:val="0"/>
        </w:rPr>
        <w:t>8</w:t>
      </w:r>
      <w:bookmarkEnd w:id="828"/>
      <w:r>
        <w:rPr>
          <w:color w:val="000000"/>
          <w:spacing w:val="0"/>
          <w:w w:val="100"/>
          <w:position w:val="0"/>
        </w:rPr>
        <w:t>、母公司所有者权益变动表</w:t>
      </w:r>
      <w:bookmarkEnd w:id="826"/>
      <w:bookmarkEnd w:id="827"/>
      <w:bookmarkEnd w:id="829"/>
    </w:p>
    <w:p>
      <w:pPr>
        <w:pStyle w:val="Style41"/>
        <w:keepNext w:val="0"/>
        <w:keepLines w:val="0"/>
        <w:widowControl w:val="0"/>
        <w:shd w:val="clear" w:color="auto" w:fill="auto"/>
        <w:bidi w:val="0"/>
        <w:spacing w:before="0" w:after="140" w:line="240" w:lineRule="auto"/>
        <w:ind w:left="0" w:right="0" w:firstLine="0"/>
        <w:jc w:val="left"/>
      </w:pPr>
      <w:r>
        <w:rPr>
          <w:color w:val="000000"/>
          <w:spacing w:val="0"/>
          <w:w w:val="100"/>
          <w:position w:val="0"/>
        </w:rPr>
        <w:t>本期金额</w:t>
      </w:r>
    </w:p>
    <w:p>
      <w:pPr>
        <w:pStyle w:val="Style41"/>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1310"/>
        <w:gridCol w:w="629"/>
        <w:gridCol w:w="605"/>
        <w:gridCol w:w="605"/>
        <w:gridCol w:w="605"/>
        <w:gridCol w:w="725"/>
        <w:gridCol w:w="725"/>
        <w:gridCol w:w="730"/>
        <w:gridCol w:w="725"/>
        <w:gridCol w:w="725"/>
        <w:gridCol w:w="614"/>
        <w:gridCol w:w="710"/>
        <w:gridCol w:w="874"/>
      </w:tblGrid>
      <w:tr>
        <w:trPr>
          <w:trHeight w:val="408" w:hRule="exact"/>
        </w:trPr>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gridSpan w:val="12"/>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年度</w:t>
            </w:r>
          </w:p>
        </w:tc>
      </w:tr>
      <w:tr>
        <w:trPr>
          <w:trHeight w:val="403" w:hRule="exact"/>
        </w:trPr>
        <w:tc>
          <w:tcPr>
            <w:vMerge/>
            <w:tcBorders>
              <w:left w:val="single" w:sz="4"/>
            </w:tcBorders>
            <w:shd w:val="clear" w:color="auto" w:fill="D7D7D7"/>
            <w:vAlign w:val="center"/>
          </w:tcPr>
          <w:p>
            <w:pPr/>
          </w:p>
        </w:tc>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股本</w:t>
            </w:r>
          </w:p>
        </w:tc>
        <w:tc>
          <w:tcPr>
            <w:gridSpan w:val="3"/>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其他权益工具</w:t>
            </w:r>
          </w:p>
        </w:tc>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资本公 积</w:t>
            </w:r>
          </w:p>
        </w:tc>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减：库存 股</w:t>
            </w:r>
          </w:p>
        </w:tc>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120" w:line="240" w:lineRule="auto"/>
              <w:ind w:left="0" w:right="0" w:firstLine="0"/>
              <w:jc w:val="right"/>
            </w:pPr>
            <w:r>
              <w:rPr>
                <w:color w:val="000000"/>
                <w:spacing w:val="0"/>
                <w:w w:val="100"/>
                <w:position w:val="0"/>
              </w:rPr>
              <w:t>其他综</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合收益</w:t>
            </w:r>
          </w:p>
        </w:tc>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专项储 备</w:t>
            </w:r>
          </w:p>
        </w:tc>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盈余公 积</w:t>
            </w:r>
          </w:p>
        </w:tc>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未分配 利润</w:t>
            </w:r>
          </w:p>
        </w:tc>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w:t>
            </w:r>
          </w:p>
        </w:tc>
        <w:tc>
          <w:tcPr>
            <w:vMerge w:val="restart"/>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322" w:lineRule="exact"/>
              <w:ind w:left="0" w:right="0" w:firstLine="0"/>
              <w:jc w:val="center"/>
            </w:pPr>
            <w:r>
              <w:rPr>
                <w:color w:val="000000"/>
                <w:spacing w:val="0"/>
                <w:w w:val="100"/>
                <w:position w:val="0"/>
              </w:rPr>
              <w:t>所有者权 益合计</w:t>
            </w:r>
          </w:p>
        </w:tc>
      </w:tr>
      <w:tr>
        <w:trPr>
          <w:trHeight w:val="403" w:hRule="exact"/>
        </w:trPr>
        <w:tc>
          <w:tcPr>
            <w:vMerge/>
            <w:tcBorders>
              <w:left w:val="single" w:sz="4"/>
            </w:tcBorders>
            <w:shd w:val="clear" w:color="auto" w:fill="D7D7D7"/>
            <w:vAlign w:val="center"/>
          </w:tcPr>
          <w:p>
            <w:pPr/>
          </w:p>
        </w:tc>
        <w:tc>
          <w:tcPr>
            <w:vMerge/>
            <w:tcBorders>
              <w:left w:val="single" w:sz="4"/>
            </w:tcBorders>
            <w:shd w:val="clear" w:color="auto" w:fill="D7D7D7"/>
            <w:vAlign w:val="center"/>
          </w:tcPr>
          <w:p>
            <w:pP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优先股</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永续债</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vMerge/>
            <w:tcBorders>
              <w:left w:val="single" w:sz="4"/>
            </w:tcBorders>
            <w:shd w:val="clear" w:color="auto" w:fill="D7D7D7"/>
            <w:vAlign w:val="center"/>
          </w:tcPr>
          <w:p>
            <w:pPr/>
          </w:p>
        </w:tc>
        <w:tc>
          <w:tcPr>
            <w:vMerge/>
            <w:tcBorders>
              <w:left w:val="single" w:sz="4"/>
            </w:tcBorders>
            <w:shd w:val="clear" w:color="auto" w:fill="D7D7D7"/>
            <w:vAlign w:val="center"/>
          </w:tcPr>
          <w:p>
            <w:pPr/>
          </w:p>
        </w:tc>
        <w:tc>
          <w:tcPr>
            <w:vMerge/>
            <w:tcBorders>
              <w:left w:val="single" w:sz="4"/>
            </w:tcBorders>
            <w:shd w:val="clear" w:color="auto" w:fill="D7D7D7"/>
            <w:vAlign w:val="center"/>
          </w:tcPr>
          <w:p>
            <w:pPr/>
          </w:p>
        </w:tc>
        <w:tc>
          <w:tcPr>
            <w:vMerge/>
            <w:tcBorders>
              <w:left w:val="single" w:sz="4"/>
            </w:tcBorders>
            <w:shd w:val="clear" w:color="auto" w:fill="D7D7D7"/>
            <w:vAlign w:val="center"/>
          </w:tcPr>
          <w:p>
            <w:pPr/>
          </w:p>
        </w:tc>
        <w:tc>
          <w:tcPr>
            <w:vMerge/>
            <w:tcBorders>
              <w:left w:val="single" w:sz="4"/>
            </w:tcBorders>
            <w:shd w:val="clear" w:color="auto" w:fill="D7D7D7"/>
            <w:vAlign w:val="center"/>
          </w:tcPr>
          <w:p>
            <w:pPr/>
          </w:p>
        </w:tc>
        <w:tc>
          <w:tcPr>
            <w:vMerge/>
            <w:tcBorders>
              <w:left w:val="single" w:sz="4"/>
            </w:tcBorders>
            <w:shd w:val="clear" w:color="auto" w:fill="D7D7D7"/>
            <w:vAlign w:val="center"/>
          </w:tcPr>
          <w:p>
            <w:pPr/>
          </w:p>
        </w:tc>
        <w:tc>
          <w:tcPr>
            <w:vMerge/>
            <w:tcBorders>
              <w:left w:val="single" w:sz="4"/>
            </w:tcBorders>
            <w:shd w:val="clear" w:color="auto" w:fill="D7D7D7"/>
            <w:vAlign w:val="center"/>
          </w:tcPr>
          <w:p>
            <w:pPr/>
          </w:p>
        </w:tc>
        <w:tc>
          <w:tcPr>
            <w:vMerge/>
            <w:tcBorders>
              <w:left w:val="single" w:sz="4"/>
              <w:right w:val="single" w:sz="4"/>
            </w:tcBorders>
            <w:shd w:val="clear" w:color="auto" w:fill="D7D7D7"/>
            <w:vAlign w:val="center"/>
          </w:tcPr>
          <w:p>
            <w:pPr/>
          </w:p>
        </w:tc>
      </w:tr>
      <w:tr>
        <w:trPr>
          <w:trHeight w:val="288" w:hRule="exact"/>
        </w:trPr>
        <w:tc>
          <w:tcPr>
            <w:vMerge w:val="restart"/>
            <w:tcBorders>
              <w:top w:val="single" w:sz="4"/>
              <w:left w:val="single" w:sz="4"/>
            </w:tcBorders>
            <w:shd w:val="clear" w:color="auto" w:fill="D7D7D7"/>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一、上年期末余</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1,961,0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281,75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63" w:hRule="exact"/>
        </w:trPr>
        <w:tc>
          <w:tcPr>
            <w:vMerge/>
            <w:tcBorders>
              <w:left w:val="single" w:sz="4"/>
            </w:tcBorders>
            <w:shd w:val="clear" w:color="auto" w:fill="D7D7D7"/>
            <w:vAlign w:val="bottom"/>
          </w:tcPr>
          <w:p>
            <w:pPr/>
          </w:p>
        </w:tc>
        <w:tc>
          <w:tcPr>
            <w:vMerge/>
            <w:tcBorders>
              <w:left w:val="single" w:sz="4"/>
            </w:tcBorders>
            <w:shd w:val="clear" w:color="auto" w:fill="FFFFFF"/>
            <w:vAlign w:val="center"/>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432,914,</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-24,272,</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239,696,</w:t>
            </w:r>
          </w:p>
        </w:tc>
        <w:tc>
          <w:tcPr>
            <w:vMerge/>
            <w:tcBorders>
              <w:left w:val="single" w:sz="4"/>
            </w:tcBorders>
            <w:shd w:val="clear" w:color="auto" w:fill="FFFFFF"/>
            <w:vAlign w:val="center"/>
          </w:tcPr>
          <w:p>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2,891,188,</w:t>
            </w:r>
          </w:p>
        </w:tc>
      </w:tr>
      <w:tr>
        <w:trPr>
          <w:trHeight w:val="302" w:hRule="exact"/>
        </w:trPr>
        <w:tc>
          <w:tcPr>
            <w:vMerge w:val="restart"/>
            <w:tcBorders>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额</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91,984.</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459.13</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545.63</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322.69</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8,248.9</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469.11</w:t>
            </w:r>
          </w:p>
        </w:tc>
      </w:tr>
      <w:tr>
        <w:trPr>
          <w:trHeight w:val="269" w:hRule="exact"/>
        </w:trPr>
        <w:tc>
          <w:tcPr>
            <w:vMerge/>
            <w:tcBorders>
              <w:left w:val="single" w:sz="4"/>
            </w:tcBorders>
            <w:shd w:val="clear" w:color="auto" w:fill="D7D7D7"/>
            <w:vAlign w:val="center"/>
          </w:tcPr>
          <w:p>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20"/>
              <w:jc w:val="left"/>
              <w:rPr>
                <w:sz w:val="18"/>
                <w:szCs w:val="18"/>
              </w:rPr>
            </w:pPr>
            <w:r>
              <w:rPr>
                <w:rFonts w:ascii="Times New Roman" w:eastAsia="Times New Roman" w:hAnsi="Times New Roman" w:cs="Times New Roman"/>
                <w:color w:val="000000"/>
                <w:spacing w:val="0"/>
                <w:w w:val="100"/>
                <w:position w:val="0"/>
                <w:sz w:val="18"/>
                <w:szCs w:val="18"/>
              </w:rPr>
              <w:t>00</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374"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both"/>
            </w:pPr>
            <w:r>
              <w:rPr>
                <w:color w:val="000000"/>
                <w:spacing w:val="0"/>
                <w:w w:val="100"/>
                <w:position w:val="0"/>
              </w:rPr>
              <w:t>加：会计政</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-92,864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-92,864,87</w:t>
            </w:r>
          </w:p>
        </w:tc>
      </w:tr>
      <w:tr>
        <w:trPr>
          <w:trHeight w:val="341" w:hRule="exact"/>
        </w:trPr>
        <w:tc>
          <w:tcPr>
            <w:tcBorders>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策变更</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,870.53</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0.53</w:t>
            </w:r>
          </w:p>
        </w:tc>
      </w:tr>
      <w:tr>
        <w:trPr>
          <w:trHeight w:val="360"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740"/>
              <w:jc w:val="left"/>
            </w:pPr>
            <w:r>
              <w:rPr>
                <w:color w:val="000000"/>
                <w:spacing w:val="0"/>
                <w:w w:val="100"/>
                <w:position w:val="0"/>
              </w:rPr>
              <w:t>前期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55" w:hRule="exact"/>
        </w:trPr>
        <w:tc>
          <w:tcPr>
            <w:tcBorders>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差错更正</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374" w:hRule="exact"/>
        </w:trPr>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740"/>
              <w:jc w:val="left"/>
            </w:pP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9,341,25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-20,288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-10,947,28</w:t>
            </w:r>
          </w:p>
        </w:tc>
      </w:tr>
      <w:tr>
        <w:trPr>
          <w:trHeight w:val="341" w:hRule="exact"/>
        </w:trPr>
        <w:tc>
          <w:tcPr>
            <w:vMerge/>
            <w:tcBorders>
              <w:left w:val="single" w:sz="4"/>
            </w:tcBorders>
            <w:shd w:val="clear" w:color="auto" w:fill="D7D7D7"/>
            <w:vAlign w:val="center"/>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0.00</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,536.07</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6.07</w:t>
            </w:r>
          </w:p>
        </w:tc>
      </w:tr>
      <w:tr>
        <w:trPr>
          <w:trHeight w:val="293" w:hRule="exact"/>
        </w:trPr>
        <w:tc>
          <w:tcPr>
            <w:vMerge w:val="restart"/>
            <w:tcBorders>
              <w:top w:val="single" w:sz="4"/>
              <w:left w:val="single" w:sz="4"/>
            </w:tcBorders>
            <w:shd w:val="clear" w:color="auto" w:fill="D7D7D7"/>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二、本年期初余</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1,961,0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168,60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58" w:hRule="exact"/>
        </w:trPr>
        <w:tc>
          <w:tcPr>
            <w:vMerge/>
            <w:tcBorders>
              <w:left w:val="single" w:sz="4"/>
            </w:tcBorders>
            <w:shd w:val="clear" w:color="auto" w:fill="D7D7D7"/>
            <w:vAlign w:val="bottom"/>
          </w:tcPr>
          <w:p>
            <w:pPr/>
          </w:p>
        </w:tc>
        <w:tc>
          <w:tcPr>
            <w:vMerge/>
            <w:tcBorders>
              <w:left w:val="single" w:sz="4"/>
            </w:tcBorders>
            <w:shd w:val="clear" w:color="auto" w:fill="FFFFFF"/>
            <w:vAlign w:val="center"/>
          </w:tcPr>
          <w:p>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rPr>
              <w:t>442,255,7</w:t>
            </w: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-24,272,</w:t>
            </w: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239,696,</w:t>
            </w:r>
          </w:p>
        </w:tc>
        <w:tc>
          <w:tcPr>
            <w:vMerge/>
            <w:tcBorders>
              <w:left w:val="single" w:sz="4"/>
            </w:tcBorders>
            <w:shd w:val="clear" w:color="auto" w:fill="FFFFFF"/>
            <w:vAlign w:val="center"/>
          </w:tcPr>
          <w:p>
            <w:pPr/>
          </w:p>
        </w:tc>
        <w:tc>
          <w:tcPr>
            <w:vMerge w:val="restart"/>
            <w:tcBorders>
              <w:left w:val="single" w:sz="4"/>
            </w:tcBorders>
            <w:shd w:val="clear" w:color="auto" w:fill="FFFFFF"/>
            <w:vAlign w:val="top"/>
          </w:tcPr>
          <w:p>
            <w:pPr>
              <w:widowControl w:val="0"/>
              <w:rPr>
                <w:sz w:val="10"/>
                <w:szCs w:val="10"/>
              </w:rPr>
            </w:pPr>
          </w:p>
        </w:tc>
        <w:tc>
          <w:tcPr>
            <w:vMerge w:val="restart"/>
            <w:tcBorders>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2,787,376,</w:t>
            </w:r>
          </w:p>
        </w:tc>
      </w:tr>
      <w:tr>
        <w:trPr>
          <w:trHeight w:val="154" w:hRule="exact"/>
        </w:trPr>
        <w:tc>
          <w:tcPr>
            <w:vMerge w:val="restart"/>
            <w:tcBorders>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额</w:t>
            </w: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91,984.</w:t>
            </w: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vMerge w:val="restart"/>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4,842.3</w:t>
            </w:r>
          </w:p>
        </w:tc>
        <w:tc>
          <w:tcPr>
            <w:vMerge/>
            <w:tcBorders>
              <w:left w:val="single" w:sz="4"/>
            </w:tcBorders>
            <w:shd w:val="clear" w:color="auto" w:fill="FFFFFF"/>
            <w:vAlign w:val="top"/>
          </w:tcPr>
          <w:p>
            <w:pPr/>
          </w:p>
        </w:tc>
        <w:tc>
          <w:tcPr>
            <w:vMerge/>
            <w:tcBorders>
              <w:left w:val="single" w:sz="4"/>
              <w:right w:val="single" w:sz="4"/>
            </w:tcBorders>
            <w:shd w:val="clear" w:color="auto" w:fill="FFFFFF"/>
            <w:vAlign w:val="top"/>
          </w:tcPr>
          <w:p>
            <w:pPr/>
          </w:p>
        </w:tc>
      </w:tr>
      <w:tr>
        <w:trPr>
          <w:trHeight w:val="154" w:hRule="exact"/>
        </w:trPr>
        <w:tc>
          <w:tcPr>
            <w:vMerge/>
            <w:tcBorders>
              <w:left w:val="single" w:sz="4"/>
            </w:tcBorders>
            <w:shd w:val="clear" w:color="auto" w:fill="D7D7D7"/>
            <w:vAlign w:val="center"/>
          </w:tcPr>
          <w:p>
            <w:pPr/>
          </w:p>
        </w:tc>
        <w:tc>
          <w:tcPr>
            <w:vMerge/>
            <w:tcBorders>
              <w:left w:val="single" w:sz="4"/>
            </w:tcBorders>
            <w:shd w:val="clear" w:color="auto" w:fill="FFFFFF"/>
            <w:vAlign w:val="top"/>
          </w:tcPr>
          <w:p>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000000"/>
                <w:spacing w:val="0"/>
                <w:w w:val="100"/>
                <w:position w:val="0"/>
                <w:sz w:val="15"/>
                <w:szCs w:val="15"/>
              </w:rPr>
              <w:t>09.13</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545.63</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322.69</w:t>
            </w:r>
          </w:p>
        </w:tc>
        <w:tc>
          <w:tcPr>
            <w:vMerge/>
            <w:tcBorders>
              <w:left w:val="single" w:sz="4"/>
            </w:tcBorders>
            <w:shd w:val="clear" w:color="auto" w:fill="FFFFFF"/>
            <w:vAlign w:val="top"/>
          </w:tcPr>
          <w:p>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312.51</w:t>
            </w:r>
          </w:p>
        </w:tc>
      </w:tr>
      <w:tr>
        <w:trPr>
          <w:trHeight w:val="264" w:hRule="exact"/>
        </w:trPr>
        <w:tc>
          <w:tcPr>
            <w:vMerge/>
            <w:tcBorders>
              <w:left w:val="single" w:sz="4"/>
            </w:tcBorders>
            <w:shd w:val="clear" w:color="auto" w:fill="D7D7D7"/>
            <w:vAlign w:val="center"/>
          </w:tcPr>
          <w:p>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420"/>
              <w:jc w:val="left"/>
              <w:rPr>
                <w:sz w:val="18"/>
                <w:szCs w:val="18"/>
              </w:rPr>
            </w:pPr>
            <w:r>
              <w:rPr>
                <w:rFonts w:ascii="Times New Roman" w:eastAsia="Times New Roman" w:hAnsi="Times New Roman" w:cs="Times New Roman"/>
                <w:color w:val="000000"/>
                <w:spacing w:val="0"/>
                <w:w w:val="100"/>
                <w:position w:val="0"/>
                <w:sz w:val="18"/>
                <w:szCs w:val="18"/>
              </w:rPr>
              <w:t>00</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610" w:hRule="exact"/>
        </w:trPr>
        <w:tc>
          <w:tcPr>
            <w:tcBorders>
              <w:top w:val="single" w:sz="4"/>
              <w:left w:val="single" w:sz="4"/>
            </w:tcBorders>
            <w:shd w:val="clear" w:color="auto" w:fill="D7D7D7"/>
            <w:vAlign w:val="bottom"/>
          </w:tcPr>
          <w:p>
            <w:pPr>
              <w:pStyle w:val="Style2"/>
              <w:keepNext w:val="0"/>
              <w:keepLines w:val="0"/>
              <w:widowControl w:val="0"/>
              <w:shd w:val="clear" w:color="auto" w:fill="auto"/>
              <w:bidi w:val="0"/>
              <w:spacing w:before="0" w:after="0" w:line="331" w:lineRule="exact"/>
              <w:ind w:left="0" w:right="0" w:firstLine="0"/>
              <w:jc w:val="left"/>
            </w:pPr>
            <w:r>
              <w:rPr>
                <w:color w:val="000000"/>
                <w:spacing w:val="0"/>
                <w:w w:val="100"/>
                <w:position w:val="0"/>
              </w:rPr>
              <w:t>三、本期增减变 动金额（减少以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100,973,</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-253,521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-55,853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-157,080,9</w:t>
            </w:r>
          </w:p>
        </w:tc>
      </w:tr>
      <w:tr>
        <w:trPr>
          <w:trHeight w:val="418" w:hRule="exact"/>
        </w:trPr>
        <w:tc>
          <w:tcPr>
            <w:tcBorders>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―，，号填列）</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00"/>
              <w:jc w:val="both"/>
              <w:rPr>
                <w:sz w:val="18"/>
                <w:szCs w:val="18"/>
              </w:rPr>
            </w:pPr>
            <w:r>
              <w:rPr>
                <w:rFonts w:ascii="Times New Roman" w:eastAsia="Times New Roman" w:hAnsi="Times New Roman" w:cs="Times New Roman"/>
                <w:color w:val="000000"/>
                <w:spacing w:val="0"/>
                <w:w w:val="100"/>
                <w:position w:val="0"/>
                <w:sz w:val="18"/>
                <w:szCs w:val="18"/>
              </w:rPr>
              <w:t>450.64</w:t>
            </w: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,941.28</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12.92</w:t>
            </w:r>
          </w:p>
        </w:tc>
      </w:tr>
      <w:tr>
        <w:trPr>
          <w:trHeight w:val="374"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（一）综合收益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-253,521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-55,853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-56,107,46</w:t>
            </w:r>
          </w:p>
        </w:tc>
      </w:tr>
      <w:tr>
        <w:trPr>
          <w:trHeight w:val="341" w:hRule="exact"/>
        </w:trPr>
        <w:tc>
          <w:tcPr>
            <w:tcBorders>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总额</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,941.28</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2.28</w:t>
            </w:r>
          </w:p>
        </w:tc>
      </w:tr>
      <w:tr>
        <w:trPr>
          <w:trHeight w:val="370"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（二）所有者投</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100,973,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-100,973,4</w:t>
            </w:r>
          </w:p>
        </w:tc>
      </w:tr>
      <w:tr>
        <w:trPr>
          <w:trHeight w:val="346" w:hRule="exact"/>
        </w:trPr>
        <w:tc>
          <w:tcPr>
            <w:tcBorders>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入和减少资本</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both"/>
              <w:rPr>
                <w:sz w:val="18"/>
                <w:szCs w:val="18"/>
              </w:rPr>
            </w:pPr>
            <w:r>
              <w:rPr>
                <w:rFonts w:ascii="Times New Roman" w:eastAsia="Times New Roman" w:hAnsi="Times New Roman" w:cs="Times New Roman"/>
                <w:color w:val="000000"/>
                <w:spacing w:val="0"/>
                <w:w w:val="100"/>
                <w:position w:val="0"/>
                <w:sz w:val="18"/>
                <w:szCs w:val="18"/>
              </w:rPr>
              <w:t>450.64</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50.64</w:t>
            </w:r>
          </w:p>
        </w:tc>
      </w:tr>
      <w:tr>
        <w:trPr>
          <w:trHeight w:val="710"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.所有者投入 的普通股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22" w:lineRule="exact"/>
              <w:ind w:left="0" w:right="0" w:firstLine="0"/>
              <w:jc w:val="left"/>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w:t>
            </w:r>
            <w:r>
              <w:rPr>
                <w:color w:val="000000"/>
                <w:spacing w:val="0"/>
                <w:w w:val="100"/>
                <w:position w:val="0"/>
              </w:rPr>
              <w:t>其他权益工 具持有者投入 资本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9" w:lineRule="exact"/>
              <w:ind w:left="0" w:right="0" w:firstLine="0"/>
              <w:jc w:val="left"/>
            </w:pPr>
            <w:r>
              <w:rPr>
                <w:rFonts w:ascii="Times New Roman" w:eastAsia="Times New Roman" w:hAnsi="Times New Roman" w:cs="Times New Roman"/>
                <w:color w:val="000000"/>
                <w:spacing w:val="0"/>
                <w:w w:val="100"/>
                <w:position w:val="0"/>
                <w:sz w:val="18"/>
                <w:szCs w:val="18"/>
              </w:rPr>
              <w:t>3</w:t>
            </w:r>
            <w:r>
              <w:rPr>
                <w:color w:val="000000"/>
                <w:spacing w:val="0"/>
                <w:w w:val="100"/>
                <w:position w:val="0"/>
              </w:rPr>
              <w:t>.股份支付计 入所有者权益 的金额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46" w:hRule="exact"/>
        </w:trPr>
        <w:tc>
          <w:tcPr>
            <w:tcBorders>
              <w:top w:val="single" w:sz="4"/>
              <w:left w:val="single" w:sz="4"/>
            </w:tcBorders>
            <w:shd w:val="clear" w:color="auto" w:fill="D7D7D7"/>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4</w:t>
            </w: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100,973,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-100,973,4</w:t>
            </w:r>
          </w:p>
        </w:tc>
      </w:tr>
      <w:tr>
        <w:trPr>
          <w:trHeight w:val="269" w:hRule="exact"/>
        </w:trPr>
        <w:tc>
          <w:tcPr>
            <w:tcBorders>
              <w:left w:val="single" w:sz="4"/>
            </w:tcBorders>
            <w:shd w:val="clear" w:color="auto" w:fill="D7D7D7"/>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200"/>
              <w:jc w:val="both"/>
              <w:rPr>
                <w:sz w:val="18"/>
                <w:szCs w:val="18"/>
              </w:rPr>
            </w:pPr>
            <w:r>
              <w:rPr>
                <w:rFonts w:ascii="Times New Roman" w:eastAsia="Times New Roman" w:hAnsi="Times New Roman" w:cs="Times New Roman"/>
                <w:color w:val="000000"/>
                <w:spacing w:val="0"/>
                <w:w w:val="100"/>
                <w:position w:val="0"/>
                <w:sz w:val="18"/>
                <w:szCs w:val="18"/>
              </w:rPr>
              <w:t>450.64</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50.64</w:t>
            </w:r>
          </w:p>
        </w:tc>
      </w:tr>
      <w:tr>
        <w:trPr>
          <w:trHeight w:val="408"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（三）利润分配</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pPr>
      <w:r>
        <w:br w:type="page"/>
      </w:r>
    </w:p>
    <w:tbl>
      <w:tblPr>
        <w:tblOverlap w:val="never"/>
        <w:jc w:val="center"/>
        <w:tblLayout w:type="fixed"/>
      </w:tblPr>
      <w:tblGrid>
        <w:gridCol w:w="1310"/>
        <w:gridCol w:w="629"/>
        <w:gridCol w:w="605"/>
        <w:gridCol w:w="605"/>
        <w:gridCol w:w="605"/>
        <w:gridCol w:w="725"/>
        <w:gridCol w:w="725"/>
        <w:gridCol w:w="730"/>
        <w:gridCol w:w="725"/>
        <w:gridCol w:w="725"/>
        <w:gridCol w:w="614"/>
        <w:gridCol w:w="710"/>
        <w:gridCol w:w="874"/>
      </w:tblGrid>
      <w:tr>
        <w:trPr>
          <w:trHeight w:val="792"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.提取盈余公 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firstLine="0"/>
              <w:jc w:val="left"/>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w:t>
            </w:r>
            <w:r>
              <w:rPr>
                <w:color w:val="000000"/>
                <w:spacing w:val="0"/>
                <w:w w:val="100"/>
                <w:position w:val="0"/>
              </w:rPr>
              <w:t>对所有者（或 股东）的分配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3</w:t>
            </w: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31" w:lineRule="exact"/>
              <w:ind w:left="0" w:right="0" w:firstLine="0"/>
              <w:jc w:val="left"/>
            </w:pPr>
            <w:r>
              <w:rPr>
                <w:color w:val="000000"/>
                <w:spacing w:val="0"/>
                <w:w w:val="100"/>
                <w:position w:val="0"/>
              </w:rPr>
              <w:t>（四）所有者权 益内部结转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07" w:lineRule="exact"/>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.资本公积转 增资本（或股 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2"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4" w:lineRule="exact"/>
              <w:ind w:left="0" w:right="0" w:firstLine="0"/>
              <w:jc w:val="left"/>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w:t>
            </w:r>
            <w:r>
              <w:rPr>
                <w:color w:val="000000"/>
                <w:spacing w:val="0"/>
                <w:w w:val="100"/>
                <w:position w:val="0"/>
              </w:rPr>
              <w:t>盈余公积转 增资本（或股 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120" w:line="240" w:lineRule="auto"/>
              <w:ind w:left="0" w:right="0" w:firstLine="0"/>
              <w:jc w:val="left"/>
            </w:pPr>
            <w:r>
              <w:rPr>
                <w:rFonts w:ascii="Times New Roman" w:eastAsia="Times New Roman" w:hAnsi="Times New Roman" w:cs="Times New Roman"/>
                <w:color w:val="000000"/>
                <w:spacing w:val="0"/>
                <w:w w:val="100"/>
                <w:position w:val="0"/>
                <w:sz w:val="18"/>
                <w:szCs w:val="18"/>
              </w:rPr>
              <w:t>3</w:t>
            </w:r>
            <w:r>
              <w:rPr>
                <w:color w:val="000000"/>
                <w:spacing w:val="0"/>
                <w:w w:val="100"/>
                <w:position w:val="0"/>
              </w:rPr>
              <w:t>.盈余公积弥</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补亏损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22" w:lineRule="exact"/>
              <w:ind w:left="0" w:right="0" w:firstLine="0"/>
              <w:jc w:val="left"/>
            </w:pPr>
            <w:r>
              <w:rPr>
                <w:rFonts w:ascii="Times New Roman" w:eastAsia="Times New Roman" w:hAnsi="Times New Roman" w:cs="Times New Roman"/>
                <w:color w:val="000000"/>
                <w:spacing w:val="0"/>
                <w:w w:val="100"/>
                <w:position w:val="0"/>
                <w:sz w:val="18"/>
                <w:szCs w:val="18"/>
              </w:rPr>
              <w:t>4</w:t>
            </w:r>
            <w:r>
              <w:rPr>
                <w:color w:val="000000"/>
                <w:spacing w:val="0"/>
                <w:w w:val="100"/>
                <w:position w:val="0"/>
              </w:rPr>
              <w:t>.</w:t>
            </w:r>
            <w:r>
              <w:rPr>
                <w:color w:val="000000"/>
                <w:spacing w:val="0"/>
                <w:w w:val="100"/>
                <w:position w:val="0"/>
              </w:rPr>
              <w:t>设定受益计 划变动额结转 留存收益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0" w:lineRule="exact"/>
              <w:ind w:left="0" w:right="0" w:firstLine="0"/>
              <w:jc w:val="left"/>
            </w:pPr>
            <w:r>
              <w:rPr>
                <w:rFonts w:ascii="Times New Roman" w:eastAsia="Times New Roman" w:hAnsi="Times New Roman" w:cs="Times New Roman"/>
                <w:color w:val="000000"/>
                <w:spacing w:val="0"/>
                <w:w w:val="100"/>
                <w:position w:val="0"/>
                <w:sz w:val="18"/>
                <w:szCs w:val="18"/>
              </w:rPr>
              <w:t>5</w:t>
            </w:r>
            <w:r>
              <w:rPr>
                <w:color w:val="000000"/>
                <w:spacing w:val="0"/>
                <w:w w:val="100"/>
                <w:position w:val="0"/>
              </w:rPr>
              <w:t xml:space="preserve">.其他综合收 益结转留存收 </w:t>
            </w:r>
            <w:r>
              <w:rPr>
                <w:color w:val="000000"/>
                <w:spacing w:val="0"/>
                <w:w w:val="100"/>
                <w:position w:val="0"/>
                <w:u w:val="single"/>
              </w:rPr>
              <w:t>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6</w:t>
            </w: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（五）专项储备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.本期提取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.本期使用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（六）其他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37"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四、本期期末余 额</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1,961,0</w:t>
            </w:r>
          </w:p>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91,984.</w:t>
            </w:r>
          </w:p>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442,255,</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709.13</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100,973,</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450.64</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-24,526,</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066.63</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239,696,</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322.69</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112,75</w:t>
            </w:r>
          </w:p>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0,901.0</w:t>
            </w:r>
          </w:p>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2,630,295,</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399.59</w:t>
            </w:r>
          </w:p>
        </w:tc>
      </w:tr>
    </w:tbl>
    <w:p>
      <w:pPr>
        <w:pStyle w:val="Style20"/>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上期金额</w:t>
      </w:r>
    </w:p>
    <w:p>
      <w:pPr>
        <w:widowControl w:val="0"/>
        <w:spacing w:after="119" w:line="1" w:lineRule="exact"/>
      </w:pPr>
    </w:p>
    <w:p>
      <w:pPr>
        <w:pStyle w:val="Style41"/>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1234"/>
        <w:gridCol w:w="595"/>
        <w:gridCol w:w="571"/>
        <w:gridCol w:w="576"/>
        <w:gridCol w:w="571"/>
        <w:gridCol w:w="682"/>
        <w:gridCol w:w="686"/>
        <w:gridCol w:w="686"/>
        <w:gridCol w:w="782"/>
        <w:gridCol w:w="662"/>
        <w:gridCol w:w="802"/>
        <w:gridCol w:w="797"/>
        <w:gridCol w:w="936"/>
      </w:tblGrid>
      <w:tr>
        <w:trPr>
          <w:trHeight w:val="408" w:hRule="exact"/>
        </w:trPr>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440"/>
              <w:jc w:val="left"/>
            </w:pPr>
            <w:r>
              <w:rPr>
                <w:color w:val="000000"/>
                <w:spacing w:val="0"/>
                <w:w w:val="100"/>
                <w:position w:val="0"/>
              </w:rPr>
              <w:t>项目</w:t>
            </w:r>
          </w:p>
        </w:tc>
        <w:tc>
          <w:tcPr>
            <w:gridSpan w:val="12"/>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2019</w:t>
            </w:r>
            <w:r>
              <w:rPr>
                <w:color w:val="000000"/>
                <w:spacing w:val="0"/>
                <w:w w:val="100"/>
                <w:position w:val="0"/>
              </w:rPr>
              <w:t>年年度</w:t>
            </w:r>
          </w:p>
        </w:tc>
      </w:tr>
      <w:tr>
        <w:trPr>
          <w:trHeight w:val="403" w:hRule="exact"/>
        </w:trPr>
        <w:tc>
          <w:tcPr>
            <w:vMerge/>
            <w:tcBorders>
              <w:left w:val="single" w:sz="4"/>
            </w:tcBorders>
            <w:shd w:val="clear" w:color="auto" w:fill="D7D7D7"/>
            <w:vAlign w:val="center"/>
          </w:tcPr>
          <w:p>
            <w:pPr/>
          </w:p>
        </w:tc>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股本</w:t>
            </w:r>
          </w:p>
        </w:tc>
        <w:tc>
          <w:tcPr>
            <w:gridSpan w:val="3"/>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其他权益工具</w:t>
            </w:r>
          </w:p>
        </w:tc>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资本公 积</w:t>
            </w:r>
          </w:p>
        </w:tc>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减:库存</w:t>
            </w:r>
          </w:p>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股</w:t>
            </w:r>
          </w:p>
        </w:tc>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其他综</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合收益</w:t>
            </w:r>
          </w:p>
        </w:tc>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专项储备</w:t>
            </w:r>
          </w:p>
        </w:tc>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120" w:line="240" w:lineRule="auto"/>
              <w:ind w:left="0" w:right="0" w:firstLine="0"/>
              <w:jc w:val="right"/>
            </w:pPr>
            <w:r>
              <w:rPr>
                <w:color w:val="000000"/>
                <w:spacing w:val="0"/>
                <w:w w:val="100"/>
                <w:position w:val="0"/>
              </w:rPr>
              <w:t>盈余公</w:t>
            </w:r>
          </w:p>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积</w:t>
            </w:r>
          </w:p>
        </w:tc>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未分配利 润</w:t>
            </w:r>
          </w:p>
        </w:tc>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w:t>
            </w:r>
          </w:p>
        </w:tc>
        <w:tc>
          <w:tcPr>
            <w:vMerge w:val="restart"/>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322" w:lineRule="exact"/>
              <w:ind w:left="0" w:right="0" w:firstLine="0"/>
              <w:jc w:val="center"/>
            </w:pPr>
            <w:r>
              <w:rPr>
                <w:color w:val="000000"/>
                <w:spacing w:val="0"/>
                <w:w w:val="100"/>
                <w:position w:val="0"/>
              </w:rPr>
              <w:t>所有者权 益合计</w:t>
            </w:r>
          </w:p>
        </w:tc>
      </w:tr>
      <w:tr>
        <w:trPr>
          <w:trHeight w:val="715" w:hRule="exact"/>
        </w:trPr>
        <w:tc>
          <w:tcPr>
            <w:vMerge/>
            <w:tcBorders>
              <w:left w:val="single" w:sz="4"/>
            </w:tcBorders>
            <w:shd w:val="clear" w:color="auto" w:fill="D7D7D7"/>
            <w:vAlign w:val="center"/>
          </w:tcPr>
          <w:p>
            <w:pPr/>
          </w:p>
        </w:tc>
        <w:tc>
          <w:tcPr>
            <w:vMerge/>
            <w:tcBorders>
              <w:left w:val="single" w:sz="4"/>
            </w:tcBorders>
            <w:shd w:val="clear" w:color="auto" w:fill="D7D7D7"/>
            <w:vAlign w:val="center"/>
          </w:tcPr>
          <w:p>
            <w:pP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优先</w:t>
            </w:r>
          </w:p>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股</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永续 债</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vMerge/>
            <w:tcBorders>
              <w:left w:val="single" w:sz="4"/>
            </w:tcBorders>
            <w:shd w:val="clear" w:color="auto" w:fill="D7D7D7"/>
            <w:vAlign w:val="center"/>
          </w:tcPr>
          <w:p>
            <w:pPr/>
          </w:p>
        </w:tc>
        <w:tc>
          <w:tcPr>
            <w:vMerge/>
            <w:tcBorders>
              <w:left w:val="single" w:sz="4"/>
            </w:tcBorders>
            <w:shd w:val="clear" w:color="auto" w:fill="D7D7D7"/>
            <w:vAlign w:val="center"/>
          </w:tcPr>
          <w:p>
            <w:pPr/>
          </w:p>
        </w:tc>
        <w:tc>
          <w:tcPr>
            <w:vMerge/>
            <w:tcBorders>
              <w:left w:val="single" w:sz="4"/>
            </w:tcBorders>
            <w:shd w:val="clear" w:color="auto" w:fill="D7D7D7"/>
            <w:vAlign w:val="center"/>
          </w:tcPr>
          <w:p>
            <w:pPr/>
          </w:p>
        </w:tc>
        <w:tc>
          <w:tcPr>
            <w:vMerge/>
            <w:tcBorders>
              <w:left w:val="single" w:sz="4"/>
            </w:tcBorders>
            <w:shd w:val="clear" w:color="auto" w:fill="D7D7D7"/>
            <w:vAlign w:val="center"/>
          </w:tcPr>
          <w:p>
            <w:pPr/>
          </w:p>
        </w:tc>
        <w:tc>
          <w:tcPr>
            <w:vMerge/>
            <w:tcBorders>
              <w:left w:val="single" w:sz="4"/>
            </w:tcBorders>
            <w:shd w:val="clear" w:color="auto" w:fill="D7D7D7"/>
            <w:vAlign w:val="center"/>
          </w:tcPr>
          <w:p>
            <w:pPr/>
          </w:p>
        </w:tc>
        <w:tc>
          <w:tcPr>
            <w:vMerge/>
            <w:tcBorders>
              <w:left w:val="single" w:sz="4"/>
            </w:tcBorders>
            <w:shd w:val="clear" w:color="auto" w:fill="D7D7D7"/>
            <w:vAlign w:val="center"/>
          </w:tcPr>
          <w:p>
            <w:pPr/>
          </w:p>
        </w:tc>
        <w:tc>
          <w:tcPr>
            <w:vMerge/>
            <w:tcBorders>
              <w:left w:val="single" w:sz="4"/>
            </w:tcBorders>
            <w:shd w:val="clear" w:color="auto" w:fill="D7D7D7"/>
            <w:vAlign w:val="center"/>
          </w:tcPr>
          <w:p>
            <w:pPr/>
          </w:p>
        </w:tc>
        <w:tc>
          <w:tcPr>
            <w:vMerge/>
            <w:tcBorders>
              <w:left w:val="single" w:sz="4"/>
              <w:right w:val="single" w:sz="4"/>
            </w:tcBorders>
            <w:shd w:val="clear" w:color="auto" w:fill="D7D7D7"/>
            <w:vAlign w:val="center"/>
          </w:tcPr>
          <w:p>
            <w:pPr/>
          </w:p>
        </w:tc>
      </w:tr>
      <w:tr>
        <w:trPr>
          <w:trHeight w:val="1032"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120" w:line="240" w:lineRule="auto"/>
              <w:ind w:left="0" w:right="0" w:firstLine="0"/>
              <w:jc w:val="left"/>
            </w:pPr>
            <w:r>
              <w:rPr>
                <w:color w:val="000000"/>
                <w:spacing w:val="0"/>
                <w:w w:val="100"/>
                <w:position w:val="0"/>
              </w:rPr>
              <w:t>一、上年期末余</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额</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1,961,</w:t>
            </w:r>
          </w:p>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091,98</w:t>
            </w:r>
          </w:p>
          <w:p>
            <w:pPr>
              <w:pStyle w:val="Style2"/>
              <w:keepNext w:val="0"/>
              <w:keepLines w:val="0"/>
              <w:widowControl w:val="0"/>
              <w:shd w:val="clear" w:color="auto" w:fill="auto"/>
              <w:bidi w:val="0"/>
              <w:spacing w:before="0" w:after="100" w:line="240" w:lineRule="auto"/>
              <w:ind w:left="0" w:right="0" w:firstLine="240"/>
              <w:jc w:val="left"/>
              <w:rPr>
                <w:sz w:val="18"/>
                <w:szCs w:val="18"/>
              </w:rPr>
            </w:pPr>
            <w:r>
              <w:rPr>
                <w:rFonts w:ascii="Times New Roman" w:eastAsia="Times New Roman" w:hAnsi="Times New Roman" w:cs="Times New Roman"/>
                <w:color w:val="000000"/>
                <w:spacing w:val="0"/>
                <w:w w:val="100"/>
                <w:position w:val="0"/>
                <w:sz w:val="18"/>
                <w:szCs w:val="18"/>
              </w:rPr>
              <w:t>4.00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432,402</w:t>
            </w:r>
          </w:p>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,509.20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-6,888,1</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54.51</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230,387</w:t>
            </w:r>
          </w:p>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,899.16</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959,614,9</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98.68</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3,576,609,2</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36.53</w:t>
            </w:r>
          </w:p>
        </w:tc>
      </w:tr>
    </w:tbl>
    <w:p>
      <w:pPr>
        <w:widowControl w:val="0"/>
        <w:spacing w:line="1" w:lineRule="exact"/>
      </w:pPr>
      <w:r>
        <w:br w:type="page"/>
      </w:r>
    </w:p>
    <w:tbl>
      <w:tblPr>
        <w:tblOverlap w:val="never"/>
        <w:jc w:val="center"/>
        <w:tblLayout w:type="fixed"/>
      </w:tblPr>
      <w:tblGrid>
        <w:gridCol w:w="1234"/>
        <w:gridCol w:w="595"/>
        <w:gridCol w:w="571"/>
        <w:gridCol w:w="576"/>
        <w:gridCol w:w="571"/>
        <w:gridCol w:w="682"/>
        <w:gridCol w:w="686"/>
        <w:gridCol w:w="686"/>
        <w:gridCol w:w="782"/>
        <w:gridCol w:w="662"/>
        <w:gridCol w:w="802"/>
        <w:gridCol w:w="797"/>
        <w:gridCol w:w="936"/>
      </w:tblGrid>
      <w:tr>
        <w:trPr>
          <w:trHeight w:val="792"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120" w:line="240" w:lineRule="auto"/>
              <w:ind w:left="0" w:right="0"/>
              <w:jc w:val="both"/>
            </w:pPr>
            <w:r>
              <w:rPr>
                <w:color w:val="000000"/>
                <w:spacing w:val="0"/>
                <w:w w:val="100"/>
                <w:position w:val="0"/>
              </w:rPr>
              <w:t>加:会计政</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策变更</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-24,744,</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862.52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9,308,4</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23.53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83,728,19</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4.99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68,291,756.</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w:t>
            </w:r>
          </w:p>
        </w:tc>
      </w:tr>
      <w:tr>
        <w:trPr>
          <w:trHeight w:val="710"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120" w:line="240" w:lineRule="auto"/>
              <w:ind w:left="0" w:right="0" w:firstLine="740"/>
              <w:jc w:val="both"/>
            </w:pPr>
            <w:r>
              <w:rPr>
                <w:color w:val="000000"/>
                <w:spacing w:val="0"/>
                <w:w w:val="100"/>
                <w:position w:val="0"/>
              </w:rPr>
              <w:t>前期</w:t>
            </w:r>
          </w:p>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差错更正</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740"/>
              <w:jc w:val="both"/>
            </w:pP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120" w:line="240" w:lineRule="auto"/>
              <w:ind w:left="0" w:right="0" w:firstLine="0"/>
              <w:jc w:val="both"/>
            </w:pPr>
            <w:r>
              <w:rPr>
                <w:color w:val="000000"/>
                <w:spacing w:val="0"/>
                <w:w w:val="100"/>
                <w:position w:val="0"/>
              </w:rPr>
              <w:t>二、本年期初余</w:t>
            </w:r>
          </w:p>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1,961,</w:t>
            </w:r>
          </w:p>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091,98</w:t>
            </w:r>
          </w:p>
          <w:p>
            <w:pPr>
              <w:pStyle w:val="Style2"/>
              <w:keepNext w:val="0"/>
              <w:keepLines w:val="0"/>
              <w:widowControl w:val="0"/>
              <w:shd w:val="clear" w:color="auto" w:fill="auto"/>
              <w:bidi w:val="0"/>
              <w:spacing w:before="0" w:after="100" w:line="240" w:lineRule="auto"/>
              <w:ind w:left="0" w:right="0" w:firstLine="240"/>
              <w:jc w:val="left"/>
              <w:rPr>
                <w:sz w:val="18"/>
                <w:szCs w:val="18"/>
              </w:rPr>
            </w:pPr>
            <w:r>
              <w:rPr>
                <w:rFonts w:ascii="Times New Roman" w:eastAsia="Times New Roman" w:hAnsi="Times New Roman" w:cs="Times New Roman"/>
                <w:color w:val="000000"/>
                <w:spacing w:val="0"/>
                <w:w w:val="100"/>
                <w:position w:val="0"/>
                <w:sz w:val="18"/>
                <w:szCs w:val="18"/>
              </w:rPr>
              <w:t>4.00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432,402</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,509.20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-31,633,</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017.03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239,696</w:t>
            </w:r>
          </w:p>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,322.69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1,043,343</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,193.67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3,644,900,9</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92.53</w:t>
            </w:r>
          </w:p>
        </w:tc>
      </w:tr>
      <w:tr>
        <w:trPr>
          <w:trHeight w:val="1027"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05" w:lineRule="exact"/>
              <w:ind w:left="0" w:right="0" w:firstLine="0"/>
              <w:jc w:val="both"/>
            </w:pPr>
            <w:r>
              <w:rPr>
                <w:color w:val="000000"/>
                <w:spacing w:val="0"/>
                <w:w w:val="100"/>
                <w:position w:val="0"/>
              </w:rPr>
              <w:t xml:space="preserve">三、本期增减变 动金额（减少以 </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511,949.</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7,360,4</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71.40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-761,584,</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944.75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-753,712,52</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3.42</w:t>
            </w:r>
          </w:p>
        </w:tc>
      </w:tr>
      <w:tr>
        <w:trPr>
          <w:trHeight w:val="710"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（一）综合收益 总额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7,360,4</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71.40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-763,795,</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464.75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-756,434,99</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3.35</w:t>
            </w: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（二）所有者投 入和减少资本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firstLine="0"/>
              <w:jc w:val="both"/>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.所有者投入 的普通股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22" w:lineRule="exact"/>
              <w:ind w:left="0" w:right="0" w:firstLine="0"/>
              <w:jc w:val="both"/>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w:t>
            </w:r>
            <w:r>
              <w:rPr>
                <w:color w:val="000000"/>
                <w:spacing w:val="0"/>
                <w:w w:val="100"/>
                <w:position w:val="0"/>
              </w:rPr>
              <w:t>其他权益工 具持有者投入 资本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2"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firstLine="0"/>
              <w:jc w:val="both"/>
            </w:pPr>
            <w:r>
              <w:rPr>
                <w:rFonts w:ascii="Times New Roman" w:eastAsia="Times New Roman" w:hAnsi="Times New Roman" w:cs="Times New Roman"/>
                <w:color w:val="000000"/>
                <w:spacing w:val="0"/>
                <w:w w:val="100"/>
                <w:position w:val="0"/>
                <w:sz w:val="18"/>
                <w:szCs w:val="18"/>
              </w:rPr>
              <w:t>3</w:t>
            </w:r>
            <w:r>
              <w:rPr>
                <w:color w:val="000000"/>
                <w:spacing w:val="0"/>
                <w:w w:val="100"/>
                <w:position w:val="0"/>
              </w:rPr>
              <w:t>.股份支付计 入所有者权益 的金额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18"/>
                <w:szCs w:val="18"/>
              </w:rPr>
              <w:t>4</w:t>
            </w: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（三）利润分配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firstLine="0"/>
              <w:jc w:val="both"/>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.提取盈余公 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firstLine="0"/>
              <w:jc w:val="both"/>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w:t>
            </w:r>
            <w:r>
              <w:rPr>
                <w:color w:val="000000"/>
                <w:spacing w:val="0"/>
                <w:w w:val="100"/>
                <w:position w:val="0"/>
              </w:rPr>
              <w:t>对所有者（或 股东）的分配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18"/>
                <w:szCs w:val="18"/>
              </w:rPr>
              <w:t>3</w:t>
            </w: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31" w:lineRule="exact"/>
              <w:ind w:left="0" w:right="0" w:firstLine="0"/>
              <w:jc w:val="both"/>
            </w:pPr>
            <w:r>
              <w:rPr>
                <w:color w:val="000000"/>
                <w:spacing w:val="0"/>
                <w:w w:val="100"/>
                <w:position w:val="0"/>
              </w:rPr>
              <w:t>（四）所有者权 益内部结转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07" w:lineRule="exact"/>
              <w:ind w:left="0" w:right="0" w:firstLine="0"/>
              <w:jc w:val="both"/>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.资本公积转 增资本（或股 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2"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4" w:lineRule="exact"/>
              <w:ind w:left="0" w:right="0" w:firstLine="0"/>
              <w:jc w:val="both"/>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w:t>
            </w:r>
            <w:r>
              <w:rPr>
                <w:color w:val="000000"/>
                <w:spacing w:val="0"/>
                <w:w w:val="100"/>
                <w:position w:val="0"/>
              </w:rPr>
              <w:t>盈余公积转 增资本（或股 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18"/>
                <w:szCs w:val="18"/>
              </w:rPr>
              <w:t>3</w:t>
            </w:r>
            <w:r>
              <w:rPr>
                <w:color w:val="000000"/>
                <w:spacing w:val="0"/>
                <w:w w:val="100"/>
                <w:position w:val="0"/>
              </w:rPr>
              <w:t>.盈余公积弥</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sectPr>
          <w:headerReference w:type="default" r:id="rId287"/>
          <w:footerReference w:type="default" r:id="rId288"/>
          <w:headerReference w:type="even" r:id="rId289"/>
          <w:footerReference w:type="even" r:id="rId290"/>
          <w:footnotePr>
            <w:pos w:val="pageBottom"/>
            <w:numFmt w:val="decimal"/>
            <w:numRestart w:val="continuous"/>
          </w:footnotePr>
          <w:pgSz w:w="11904" w:h="17375"/>
          <w:pgMar w:top="1675" w:right="1077" w:bottom="1664" w:left="1040" w:header="0" w:footer="3" w:gutter="0"/>
          <w:cols w:space="720"/>
          <w:noEndnote/>
          <w:rtlGutter w:val="0"/>
          <w:docGrid w:linePitch="360"/>
        </w:sectPr>
      </w:pPr>
    </w:p>
    <w:tbl>
      <w:tblPr>
        <w:tblOverlap w:val="never"/>
        <w:jc w:val="center"/>
        <w:tblLayout w:type="fixed"/>
      </w:tblPr>
      <w:tblGrid>
        <w:gridCol w:w="1234"/>
        <w:gridCol w:w="595"/>
        <w:gridCol w:w="571"/>
        <w:gridCol w:w="576"/>
        <w:gridCol w:w="571"/>
        <w:gridCol w:w="682"/>
        <w:gridCol w:w="686"/>
        <w:gridCol w:w="686"/>
        <w:gridCol w:w="782"/>
        <w:gridCol w:w="662"/>
        <w:gridCol w:w="802"/>
        <w:gridCol w:w="797"/>
        <w:gridCol w:w="936"/>
      </w:tblGrid>
      <w:tr>
        <w:trPr>
          <w:trHeight w:val="437"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补亏损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9" w:lineRule="exact"/>
              <w:ind w:left="0" w:right="0" w:firstLine="0"/>
              <w:jc w:val="left"/>
            </w:pPr>
            <w:r>
              <w:rPr>
                <w:rFonts w:ascii="Times New Roman" w:eastAsia="Times New Roman" w:hAnsi="Times New Roman" w:cs="Times New Roman"/>
                <w:color w:val="000000"/>
                <w:spacing w:val="0"/>
                <w:w w:val="100"/>
                <w:position w:val="0"/>
                <w:sz w:val="18"/>
                <w:szCs w:val="18"/>
              </w:rPr>
              <w:t>4</w:t>
            </w:r>
            <w:r>
              <w:rPr>
                <w:color w:val="000000"/>
                <w:spacing w:val="0"/>
                <w:w w:val="100"/>
                <w:position w:val="0"/>
              </w:rPr>
              <w:t>.</w:t>
            </w:r>
            <w:r>
              <w:rPr>
                <w:color w:val="000000"/>
                <w:spacing w:val="0"/>
                <w:w w:val="100"/>
                <w:position w:val="0"/>
              </w:rPr>
              <w:t>设定受益计 划变动额结转 留存收益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firstLine="0"/>
              <w:jc w:val="left"/>
            </w:pPr>
            <w:r>
              <w:rPr>
                <w:rFonts w:ascii="Times New Roman" w:eastAsia="Times New Roman" w:hAnsi="Times New Roman" w:cs="Times New Roman"/>
                <w:color w:val="000000"/>
                <w:spacing w:val="0"/>
                <w:w w:val="100"/>
                <w:position w:val="0"/>
                <w:sz w:val="18"/>
                <w:szCs w:val="18"/>
              </w:rPr>
              <w:t>5</w:t>
            </w:r>
            <w:r>
              <w:rPr>
                <w:color w:val="000000"/>
                <w:spacing w:val="0"/>
                <w:w w:val="100"/>
                <w:position w:val="0"/>
              </w:rPr>
              <w:t xml:space="preserve">.其他综合收 益结转留存收 </w:t>
            </w:r>
            <w:r>
              <w:rPr>
                <w:color w:val="000000"/>
                <w:spacing w:val="0"/>
                <w:w w:val="100"/>
                <w:position w:val="0"/>
                <w:u w:val="single"/>
              </w:rPr>
              <w:t>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6</w:t>
            </w: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（五）专项储备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.本期提取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.本期使用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（六）其他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511,949.</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2,210,520</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2,722,469.9</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w:t>
            </w:r>
          </w:p>
        </w:tc>
      </w:tr>
      <w:tr>
        <w:trPr>
          <w:trHeight w:val="1032"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四、本期期末余 额</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1,961,</w:t>
            </w:r>
          </w:p>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091,98</w:t>
            </w:r>
          </w:p>
          <w:p>
            <w:pPr>
              <w:pStyle w:val="Style2"/>
              <w:keepNext w:val="0"/>
              <w:keepLines w:val="0"/>
              <w:widowControl w:val="0"/>
              <w:shd w:val="clear" w:color="auto" w:fill="auto"/>
              <w:bidi w:val="0"/>
              <w:spacing w:before="0" w:after="100" w:line="240" w:lineRule="auto"/>
              <w:ind w:left="0" w:right="0" w:firstLine="240"/>
              <w:jc w:val="left"/>
              <w:rPr>
                <w:sz w:val="18"/>
                <w:szCs w:val="18"/>
              </w:rPr>
            </w:pPr>
            <w:r>
              <w:rPr>
                <w:rFonts w:ascii="Times New Roman" w:eastAsia="Times New Roman" w:hAnsi="Times New Roman" w:cs="Times New Roman"/>
                <w:color w:val="000000"/>
                <w:spacing w:val="0"/>
                <w:w w:val="100"/>
                <w:position w:val="0"/>
                <w:sz w:val="18"/>
                <w:szCs w:val="18"/>
              </w:rPr>
              <w:t>4.00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432,914</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,459.13</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-24,272,</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545.63</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239,696</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,322.69</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281,758,2</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48.92</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2,891,188,4</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69.11</w:t>
            </w:r>
          </w:p>
        </w:tc>
      </w:tr>
    </w:tbl>
    <w:p>
      <w:pPr>
        <w:widowControl w:val="0"/>
        <w:spacing w:after="299" w:line="1" w:lineRule="exact"/>
      </w:pPr>
    </w:p>
    <w:p>
      <w:pPr>
        <w:pStyle w:val="Style39"/>
        <w:keepNext/>
        <w:keepLines/>
        <w:widowControl w:val="0"/>
        <w:shd w:val="clear" w:color="auto" w:fill="auto"/>
        <w:bidi w:val="0"/>
        <w:spacing w:before="0" w:after="380" w:line="240" w:lineRule="auto"/>
        <w:ind w:left="0" w:right="0" w:firstLine="0"/>
        <w:jc w:val="left"/>
      </w:pPr>
      <w:bookmarkStart w:id="830" w:name="bookmark830"/>
      <w:bookmarkStart w:id="831" w:name="bookmark831"/>
      <w:bookmarkStart w:id="832" w:name="bookmark832"/>
      <w:r>
        <w:rPr>
          <w:color w:val="000000"/>
          <w:spacing w:val="0"/>
          <w:w w:val="100"/>
          <w:position w:val="0"/>
          <w:sz w:val="24"/>
          <w:szCs w:val="24"/>
        </w:rPr>
        <w:t>三、公司基本情况</w:t>
      </w:r>
      <w:bookmarkEnd w:id="830"/>
      <w:bookmarkEnd w:id="831"/>
      <w:bookmarkEnd w:id="832"/>
    </w:p>
    <w:p>
      <w:pPr>
        <w:pStyle w:val="Style41"/>
        <w:keepNext w:val="0"/>
        <w:keepLines w:val="0"/>
        <w:widowControl w:val="0"/>
        <w:shd w:val="clear" w:color="auto" w:fill="auto"/>
        <w:bidi w:val="0"/>
        <w:spacing w:before="0" w:after="0" w:line="240" w:lineRule="auto"/>
        <w:ind w:left="0" w:right="0" w:firstLine="0"/>
        <w:jc w:val="both"/>
      </w:pPr>
      <w:r>
        <w:rPr>
          <w:b/>
          <w:bCs/>
          <w:color w:val="000000"/>
          <w:spacing w:val="0"/>
          <w:w w:val="100"/>
          <w:position w:val="0"/>
        </w:rPr>
        <w:t>（一）公司概况</w:t>
      </w:r>
    </w:p>
    <w:p>
      <w:pPr>
        <w:pStyle w:val="Style41"/>
        <w:keepNext w:val="0"/>
        <w:keepLines w:val="0"/>
        <w:widowControl w:val="0"/>
        <w:shd w:val="clear" w:color="auto" w:fill="auto"/>
        <w:bidi w:val="0"/>
        <w:spacing w:before="0" w:after="0" w:line="467" w:lineRule="exact"/>
        <w:ind w:left="0" w:right="0" w:firstLine="360"/>
        <w:jc w:val="both"/>
      </w:pPr>
      <w:r>
        <w:rPr>
          <w:color w:val="000000"/>
          <w:spacing w:val="0"/>
          <w:w w:val="100"/>
          <w:position w:val="0"/>
        </w:rPr>
        <w:t>北京神州泰岳软件股份有限公司（以下简称</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公司</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或</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本公司</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）前身系北京神州泰岳软件有限公司，成立于</w:t>
      </w:r>
      <w:r>
        <w:rPr>
          <w:rFonts w:ascii="Times New Roman" w:eastAsia="Times New Roman" w:hAnsi="Times New Roman" w:cs="Times New Roman"/>
          <w:color w:val="000000"/>
          <w:spacing w:val="0"/>
          <w:w w:val="100"/>
          <w:position w:val="0"/>
          <w:sz w:val="18"/>
          <w:szCs w:val="18"/>
        </w:rPr>
        <w:t>2001</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 xml:space="preserve">月 </w:t>
      </w:r>
      <w:r>
        <w:rPr>
          <w:rFonts w:ascii="Times New Roman" w:eastAsia="Times New Roman" w:hAnsi="Times New Roman" w:cs="Times New Roman"/>
          <w:color w:val="000000"/>
          <w:spacing w:val="0"/>
          <w:w w:val="100"/>
          <w:position w:val="0"/>
          <w:sz w:val="18"/>
          <w:szCs w:val="18"/>
        </w:rPr>
        <w:t>18</w:t>
      </w:r>
      <w:r>
        <w:rPr>
          <w:color w:val="000000"/>
          <w:spacing w:val="0"/>
          <w:w w:val="100"/>
          <w:position w:val="0"/>
        </w:rPr>
        <w:t>日，成立时注册资本为人民币</w:t>
      </w:r>
      <w:r>
        <w:rPr>
          <w:rFonts w:ascii="Times New Roman" w:eastAsia="Times New Roman" w:hAnsi="Times New Roman" w:cs="Times New Roman"/>
          <w:color w:val="000000"/>
          <w:spacing w:val="0"/>
          <w:w w:val="100"/>
          <w:position w:val="0"/>
          <w:sz w:val="18"/>
          <w:szCs w:val="18"/>
        </w:rPr>
        <w:t>1,000</w:t>
      </w:r>
      <w:r>
        <w:rPr>
          <w:color w:val="000000"/>
          <w:spacing w:val="0"/>
          <w:w w:val="100"/>
          <w:position w:val="0"/>
        </w:rPr>
        <w:t>万元。</w:t>
      </w:r>
    </w:p>
    <w:p>
      <w:pPr>
        <w:pStyle w:val="Style41"/>
        <w:keepNext w:val="0"/>
        <w:keepLines w:val="0"/>
        <w:widowControl w:val="0"/>
        <w:shd w:val="clear" w:color="auto" w:fill="auto"/>
        <w:bidi w:val="0"/>
        <w:spacing w:before="0" w:after="0" w:line="467" w:lineRule="exact"/>
        <w:ind w:left="0" w:right="0" w:firstLine="360"/>
        <w:jc w:val="both"/>
      </w:pPr>
      <w:r>
        <w:rPr>
          <w:rFonts w:ascii="Times New Roman" w:eastAsia="Times New Roman" w:hAnsi="Times New Roman" w:cs="Times New Roman"/>
          <w:color w:val="000000"/>
          <w:spacing w:val="0"/>
          <w:w w:val="100"/>
          <w:position w:val="0"/>
          <w:sz w:val="18"/>
          <w:szCs w:val="18"/>
        </w:rPr>
        <w:t>2002</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日，经股东会表决通过，以截至</w:t>
      </w:r>
      <w:r>
        <w:rPr>
          <w:rFonts w:ascii="Times New Roman" w:eastAsia="Times New Roman" w:hAnsi="Times New Roman" w:cs="Times New Roman"/>
          <w:color w:val="000000"/>
          <w:spacing w:val="0"/>
          <w:w w:val="100"/>
          <w:position w:val="0"/>
          <w:sz w:val="18"/>
          <w:szCs w:val="18"/>
        </w:rPr>
        <w:t>2002</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4</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30</w:t>
      </w:r>
      <w:r>
        <w:rPr>
          <w:color w:val="000000"/>
          <w:spacing w:val="0"/>
          <w:w w:val="100"/>
          <w:position w:val="0"/>
        </w:rPr>
        <w:t>日经审计的净资产为基数，按照</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 xml:space="preserve">： </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的比例折股，整体变更设 立为股份有限公司。</w:t>
      </w:r>
      <w:r>
        <w:rPr>
          <w:rFonts w:ascii="Times New Roman" w:eastAsia="Times New Roman" w:hAnsi="Times New Roman" w:cs="Times New Roman"/>
          <w:color w:val="000000"/>
          <w:spacing w:val="0"/>
          <w:w w:val="100"/>
          <w:position w:val="0"/>
          <w:sz w:val="18"/>
          <w:szCs w:val="18"/>
        </w:rPr>
        <w:t>2002</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27</w:t>
      </w:r>
      <w:r>
        <w:rPr>
          <w:color w:val="000000"/>
          <w:spacing w:val="0"/>
          <w:w w:val="100"/>
          <w:position w:val="0"/>
        </w:rPr>
        <w:t>日，北京市人民政府经济体制改革办公室出具京政体改股函</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2002</w:t>
      </w:r>
      <w:r>
        <w:rPr>
          <w:color w:val="000000"/>
          <w:spacing w:val="0"/>
          <w:w w:val="100"/>
          <w:position w:val="0"/>
        </w:rPr>
        <w:t xml:space="preserve">] </w:t>
      </w:r>
      <w:r>
        <w:rPr>
          <w:rFonts w:ascii="Times New Roman" w:eastAsia="Times New Roman" w:hAnsi="Times New Roman" w:cs="Times New Roman"/>
          <w:color w:val="000000"/>
          <w:spacing w:val="0"/>
          <w:w w:val="100"/>
          <w:position w:val="0"/>
          <w:sz w:val="18"/>
          <w:szCs w:val="18"/>
        </w:rPr>
        <w:t>7</w:t>
      </w:r>
      <w:r>
        <w:rPr>
          <w:color w:val="000000"/>
          <w:spacing w:val="0"/>
          <w:w w:val="100"/>
          <w:position w:val="0"/>
        </w:rPr>
        <w:t>号文批准了公司的上 述整体改制方案。</w:t>
      </w:r>
      <w:r>
        <w:rPr>
          <w:rFonts w:ascii="Times New Roman" w:eastAsia="Times New Roman" w:hAnsi="Times New Roman" w:cs="Times New Roman"/>
          <w:color w:val="000000"/>
          <w:spacing w:val="0"/>
          <w:w w:val="100"/>
          <w:position w:val="0"/>
          <w:sz w:val="18"/>
          <w:szCs w:val="18"/>
        </w:rPr>
        <w:t>2002</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27</w:t>
      </w:r>
      <w:r>
        <w:rPr>
          <w:color w:val="000000"/>
          <w:spacing w:val="0"/>
          <w:w w:val="100"/>
          <w:position w:val="0"/>
        </w:rPr>
        <w:t>日，北京京都会计师事务所有限公司出具北京京都验字〔</w:t>
      </w:r>
      <w:r>
        <w:rPr>
          <w:rFonts w:ascii="Times New Roman" w:eastAsia="Times New Roman" w:hAnsi="Times New Roman" w:cs="Times New Roman"/>
          <w:color w:val="000000"/>
          <w:spacing w:val="0"/>
          <w:w w:val="100"/>
          <w:position w:val="0"/>
          <w:sz w:val="18"/>
          <w:szCs w:val="18"/>
        </w:rPr>
        <w:t>2002</w:t>
      </w:r>
      <w:r>
        <w:rPr>
          <w:color w:val="000000"/>
          <w:spacing w:val="0"/>
          <w:w w:val="100"/>
          <w:position w:val="0"/>
        </w:rPr>
        <w:t>）第</w:t>
      </w:r>
      <w:r>
        <w:rPr>
          <w:rFonts w:ascii="Times New Roman" w:eastAsia="Times New Roman" w:hAnsi="Times New Roman" w:cs="Times New Roman"/>
          <w:color w:val="000000"/>
          <w:spacing w:val="0"/>
          <w:w w:val="100"/>
          <w:position w:val="0"/>
          <w:sz w:val="18"/>
          <w:szCs w:val="18"/>
        </w:rPr>
        <w:t>0025</w:t>
      </w:r>
      <w:r>
        <w:rPr>
          <w:color w:val="000000"/>
          <w:spacing w:val="0"/>
          <w:w w:val="100"/>
          <w:position w:val="0"/>
        </w:rPr>
        <w:t>号《验资报告》审验 确认，公司注册资本人民币</w:t>
      </w:r>
      <w:r>
        <w:rPr>
          <w:rFonts w:ascii="Times New Roman" w:eastAsia="Times New Roman" w:hAnsi="Times New Roman" w:cs="Times New Roman"/>
          <w:color w:val="000000"/>
          <w:spacing w:val="0"/>
          <w:w w:val="100"/>
          <w:position w:val="0"/>
          <w:sz w:val="18"/>
          <w:szCs w:val="18"/>
        </w:rPr>
        <w:t>2,159.20</w:t>
      </w:r>
      <w:r>
        <w:rPr>
          <w:color w:val="000000"/>
          <w:spacing w:val="0"/>
          <w:w w:val="100"/>
          <w:position w:val="0"/>
        </w:rPr>
        <w:t>万元已缴足。</w:t>
      </w:r>
      <w:r>
        <w:rPr>
          <w:rFonts w:ascii="Times New Roman" w:eastAsia="Times New Roman" w:hAnsi="Times New Roman" w:cs="Times New Roman"/>
          <w:color w:val="000000"/>
          <w:spacing w:val="0"/>
          <w:w w:val="100"/>
          <w:position w:val="0"/>
          <w:sz w:val="18"/>
          <w:szCs w:val="18"/>
        </w:rPr>
        <w:t>2002</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6</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 xml:space="preserve">日，公司在北京市工商行政管理局注册登记并取得注册号为 </w:t>
      </w:r>
      <w:r>
        <w:rPr>
          <w:rFonts w:ascii="Times New Roman" w:eastAsia="Times New Roman" w:hAnsi="Times New Roman" w:cs="Times New Roman"/>
          <w:color w:val="000000"/>
          <w:spacing w:val="0"/>
          <w:w w:val="100"/>
          <w:position w:val="0"/>
          <w:sz w:val="18"/>
          <w:szCs w:val="18"/>
        </w:rPr>
        <w:t>1100001270093</w:t>
      </w:r>
      <w:r>
        <w:rPr>
          <w:color w:val="000000"/>
          <w:spacing w:val="0"/>
          <w:w w:val="100"/>
          <w:position w:val="0"/>
        </w:rPr>
        <w:t>的《企业法人营业执照》。</w:t>
      </w:r>
    </w:p>
    <w:p>
      <w:pPr>
        <w:pStyle w:val="Style41"/>
        <w:keepNext w:val="0"/>
        <w:keepLines w:val="0"/>
        <w:widowControl w:val="0"/>
        <w:shd w:val="clear" w:color="auto" w:fill="auto"/>
        <w:bidi w:val="0"/>
        <w:spacing w:before="0" w:after="0" w:line="467" w:lineRule="exact"/>
        <w:ind w:left="0" w:right="0" w:firstLine="360"/>
        <w:jc w:val="both"/>
      </w:pPr>
      <w:r>
        <w:rPr>
          <w:color w:val="000000"/>
          <w:spacing w:val="0"/>
          <w:w w:val="100"/>
          <w:position w:val="0"/>
        </w:rPr>
        <w:t>经历次股权转让和增资，至</w:t>
      </w:r>
      <w:r>
        <w:rPr>
          <w:rFonts w:ascii="Times New Roman" w:eastAsia="Times New Roman" w:hAnsi="Times New Roman" w:cs="Times New Roman"/>
          <w:color w:val="000000"/>
          <w:spacing w:val="0"/>
          <w:w w:val="100"/>
          <w:position w:val="0"/>
          <w:sz w:val="18"/>
          <w:szCs w:val="18"/>
        </w:rPr>
        <w:t>2009</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6</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25</w:t>
      </w:r>
      <w:r>
        <w:rPr>
          <w:color w:val="000000"/>
          <w:spacing w:val="0"/>
          <w:w w:val="100"/>
          <w:position w:val="0"/>
        </w:rPr>
        <w:t>日，公司注册资本为人民币</w:t>
      </w:r>
      <w:r>
        <w:rPr>
          <w:rFonts w:ascii="Times New Roman" w:eastAsia="Times New Roman" w:hAnsi="Times New Roman" w:cs="Times New Roman"/>
          <w:color w:val="000000"/>
          <w:spacing w:val="0"/>
          <w:w w:val="100"/>
          <w:position w:val="0"/>
          <w:sz w:val="18"/>
          <w:szCs w:val="18"/>
        </w:rPr>
        <w:t>9,480</w:t>
      </w:r>
      <w:r>
        <w:rPr>
          <w:color w:val="000000"/>
          <w:spacing w:val="0"/>
          <w:w w:val="100"/>
          <w:position w:val="0"/>
        </w:rPr>
        <w:t>万元。</w:t>
      </w:r>
    </w:p>
    <w:p>
      <w:pPr>
        <w:pStyle w:val="Style41"/>
        <w:keepNext w:val="0"/>
        <w:keepLines w:val="0"/>
        <w:widowControl w:val="0"/>
        <w:shd w:val="clear" w:color="auto" w:fill="auto"/>
        <w:bidi w:val="0"/>
        <w:spacing w:before="0" w:after="0" w:line="467" w:lineRule="exact"/>
        <w:ind w:left="0" w:right="0" w:firstLine="360"/>
        <w:jc w:val="both"/>
      </w:pPr>
      <w:r>
        <w:rPr>
          <w:rFonts w:ascii="Times New Roman" w:eastAsia="Times New Roman" w:hAnsi="Times New Roman" w:cs="Times New Roman"/>
          <w:color w:val="000000"/>
          <w:spacing w:val="0"/>
          <w:w w:val="100"/>
          <w:position w:val="0"/>
          <w:sz w:val="18"/>
          <w:szCs w:val="18"/>
        </w:rPr>
        <w:t>2009</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9</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20</w:t>
      </w:r>
      <w:r>
        <w:rPr>
          <w:color w:val="000000"/>
          <w:spacing w:val="0"/>
          <w:w w:val="100"/>
          <w:position w:val="0"/>
        </w:rPr>
        <w:t>日，经中国证券监督管理委员会以</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证监许可</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2009</w:t>
      </w:r>
      <w:r>
        <w:rPr>
          <w:color w:val="000000"/>
          <w:spacing w:val="0"/>
          <w:w w:val="100"/>
          <w:position w:val="0"/>
        </w:rPr>
        <w:t xml:space="preserve">] </w:t>
      </w:r>
      <w:r>
        <w:rPr>
          <w:rFonts w:ascii="Times New Roman" w:eastAsia="Times New Roman" w:hAnsi="Times New Roman" w:cs="Times New Roman"/>
          <w:color w:val="000000"/>
          <w:spacing w:val="0"/>
          <w:w w:val="100"/>
          <w:position w:val="0"/>
          <w:sz w:val="18"/>
          <w:szCs w:val="18"/>
        </w:rPr>
        <w:t>952</w:t>
      </w:r>
      <w:r>
        <w:rPr>
          <w:color w:val="000000"/>
          <w:spacing w:val="0"/>
          <w:w w:val="100"/>
          <w:position w:val="0"/>
        </w:rPr>
        <w:t>号</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文核准，向社会公众公开发行境内上市内资</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 xml:space="preserve">A </w:t>
      </w:r>
      <w:r>
        <w:rPr>
          <w:color w:val="000000"/>
          <w:spacing w:val="0"/>
          <w:w w:val="100"/>
          <w:position w:val="0"/>
        </w:rPr>
        <w:t>股）股票</w:t>
      </w:r>
      <w:r>
        <w:rPr>
          <w:rFonts w:ascii="Times New Roman" w:eastAsia="Times New Roman" w:hAnsi="Times New Roman" w:cs="Times New Roman"/>
          <w:color w:val="000000"/>
          <w:spacing w:val="0"/>
          <w:w w:val="100"/>
          <w:position w:val="0"/>
          <w:sz w:val="18"/>
          <w:szCs w:val="18"/>
        </w:rPr>
        <w:t>3,160</w:t>
      </w:r>
      <w:r>
        <w:rPr>
          <w:color w:val="000000"/>
          <w:spacing w:val="0"/>
          <w:w w:val="100"/>
          <w:position w:val="0"/>
        </w:rPr>
        <w:t>万股并在深圳交易所创业板上市交易。</w:t>
      </w:r>
      <w:r>
        <w:rPr>
          <w:rFonts w:ascii="Times New Roman" w:eastAsia="Times New Roman" w:hAnsi="Times New Roman" w:cs="Times New Roman"/>
          <w:color w:val="000000"/>
          <w:spacing w:val="0"/>
          <w:w w:val="100"/>
          <w:position w:val="0"/>
          <w:sz w:val="18"/>
          <w:szCs w:val="18"/>
        </w:rPr>
        <w:t>2009</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4</w:t>
      </w:r>
      <w:r>
        <w:rPr>
          <w:color w:val="000000"/>
          <w:spacing w:val="0"/>
          <w:w w:val="100"/>
          <w:position w:val="0"/>
        </w:rPr>
        <w:t xml:space="preserve">日，由北京市工商行政管理局换发企业法人营业执照，注 册号 </w:t>
      </w:r>
      <w:r>
        <w:rPr>
          <w:rFonts w:ascii="Times New Roman" w:eastAsia="Times New Roman" w:hAnsi="Times New Roman" w:cs="Times New Roman"/>
          <w:color w:val="000000"/>
          <w:spacing w:val="0"/>
          <w:w w:val="100"/>
          <w:position w:val="0"/>
          <w:sz w:val="18"/>
          <w:szCs w:val="18"/>
        </w:rPr>
        <w:t>110000002700930</w:t>
      </w:r>
      <w:r>
        <w:rPr>
          <w:color w:val="000000"/>
          <w:spacing w:val="0"/>
          <w:w w:val="100"/>
          <w:position w:val="0"/>
        </w:rPr>
        <w:t>。</w:t>
      </w:r>
    </w:p>
    <w:p>
      <w:pPr>
        <w:pStyle w:val="Style41"/>
        <w:keepNext w:val="0"/>
        <w:keepLines w:val="0"/>
        <w:widowControl w:val="0"/>
        <w:shd w:val="clear" w:color="auto" w:fill="auto"/>
        <w:bidi w:val="0"/>
        <w:spacing w:before="0" w:after="0" w:line="467" w:lineRule="exact"/>
        <w:ind w:left="0" w:right="0" w:firstLine="360"/>
        <w:jc w:val="both"/>
      </w:pPr>
      <w:r>
        <w:rPr>
          <w:rFonts w:ascii="Times New Roman" w:eastAsia="Times New Roman" w:hAnsi="Times New Roman" w:cs="Times New Roman"/>
          <w:color w:val="000000"/>
          <w:spacing w:val="0"/>
          <w:w w:val="100"/>
          <w:position w:val="0"/>
          <w:sz w:val="18"/>
          <w:szCs w:val="18"/>
        </w:rPr>
        <w:t>2010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4</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8</w:t>
      </w:r>
      <w:r>
        <w:rPr>
          <w:color w:val="000000"/>
          <w:spacing w:val="0"/>
          <w:w w:val="100"/>
          <w:position w:val="0"/>
        </w:rPr>
        <w:t>日，经公司</w:t>
      </w:r>
      <w:r>
        <w:rPr>
          <w:rFonts w:ascii="Times New Roman" w:eastAsia="Times New Roman" w:hAnsi="Times New Roman" w:cs="Times New Roman"/>
          <w:color w:val="000000"/>
          <w:spacing w:val="0"/>
          <w:w w:val="100"/>
          <w:position w:val="0"/>
          <w:sz w:val="18"/>
          <w:szCs w:val="18"/>
        </w:rPr>
        <w:t>2009</w:t>
      </w:r>
      <w:r>
        <w:rPr>
          <w:color w:val="000000"/>
          <w:spacing w:val="0"/>
          <w:w w:val="100"/>
          <w:position w:val="0"/>
        </w:rPr>
        <w:t>年度股东大会决议通过，以</w:t>
      </w:r>
      <w:r>
        <w:rPr>
          <w:rFonts w:ascii="Times New Roman" w:eastAsia="Times New Roman" w:hAnsi="Times New Roman" w:cs="Times New Roman"/>
          <w:color w:val="000000"/>
          <w:spacing w:val="0"/>
          <w:w w:val="100"/>
          <w:position w:val="0"/>
          <w:sz w:val="18"/>
          <w:szCs w:val="18"/>
        </w:rPr>
        <w:t>2009</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日公司总股本</w:t>
      </w:r>
      <w:r>
        <w:rPr>
          <w:rFonts w:ascii="Times New Roman" w:eastAsia="Times New Roman" w:hAnsi="Times New Roman" w:cs="Times New Roman"/>
          <w:color w:val="000000"/>
          <w:spacing w:val="0"/>
          <w:w w:val="100"/>
          <w:position w:val="0"/>
          <w:sz w:val="18"/>
          <w:szCs w:val="18"/>
        </w:rPr>
        <w:t>12,640</w:t>
      </w:r>
      <w:r>
        <w:rPr>
          <w:color w:val="000000"/>
          <w:spacing w:val="0"/>
          <w:w w:val="100"/>
          <w:position w:val="0"/>
        </w:rPr>
        <w:t>万股为基数，以资本公积金向 全体股东每</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股转增</w:t>
      </w:r>
      <w:r>
        <w:rPr>
          <w:rFonts w:ascii="Times New Roman" w:eastAsia="Times New Roman" w:hAnsi="Times New Roman" w:cs="Times New Roman"/>
          <w:color w:val="000000"/>
          <w:spacing w:val="0"/>
          <w:w w:val="100"/>
          <w:position w:val="0"/>
          <w:sz w:val="18"/>
          <w:szCs w:val="18"/>
        </w:rPr>
        <w:t>15</w:t>
      </w:r>
      <w:r>
        <w:rPr>
          <w:color w:val="000000"/>
          <w:spacing w:val="0"/>
          <w:w w:val="100"/>
          <w:position w:val="0"/>
        </w:rPr>
        <w:t>股，合计转增股本</w:t>
      </w:r>
      <w:r>
        <w:rPr>
          <w:rFonts w:ascii="Times New Roman" w:eastAsia="Times New Roman" w:hAnsi="Times New Roman" w:cs="Times New Roman"/>
          <w:color w:val="000000"/>
          <w:spacing w:val="0"/>
          <w:w w:val="100"/>
          <w:position w:val="0"/>
          <w:sz w:val="18"/>
          <w:szCs w:val="18"/>
        </w:rPr>
        <w:t>18,960</w:t>
      </w:r>
      <w:r>
        <w:rPr>
          <w:color w:val="000000"/>
          <w:spacing w:val="0"/>
          <w:w w:val="100"/>
          <w:position w:val="0"/>
        </w:rPr>
        <w:t>万股。</w:t>
      </w:r>
    </w:p>
    <w:p>
      <w:pPr>
        <w:pStyle w:val="Style41"/>
        <w:keepNext w:val="0"/>
        <w:keepLines w:val="0"/>
        <w:widowControl w:val="0"/>
        <w:shd w:val="clear" w:color="auto" w:fill="auto"/>
        <w:bidi w:val="0"/>
        <w:spacing w:before="0" w:after="140" w:line="467" w:lineRule="exact"/>
        <w:ind w:left="0" w:right="0" w:firstLine="360"/>
        <w:jc w:val="both"/>
      </w:pPr>
      <w:r>
        <w:rPr>
          <w:rFonts w:ascii="Times New Roman" w:eastAsia="Times New Roman" w:hAnsi="Times New Roman" w:cs="Times New Roman"/>
          <w:color w:val="000000"/>
          <w:spacing w:val="0"/>
          <w:w w:val="100"/>
          <w:position w:val="0"/>
          <w:sz w:val="18"/>
          <w:szCs w:val="18"/>
        </w:rPr>
        <w:t>2011</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4</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8</w:t>
      </w:r>
      <w:r>
        <w:rPr>
          <w:color w:val="000000"/>
          <w:spacing w:val="0"/>
          <w:w w:val="100"/>
          <w:position w:val="0"/>
        </w:rPr>
        <w:t>日，经公司</w:t>
      </w:r>
      <w:r>
        <w:rPr>
          <w:rFonts w:ascii="Times New Roman" w:eastAsia="Times New Roman" w:hAnsi="Times New Roman" w:cs="Times New Roman"/>
          <w:color w:val="000000"/>
          <w:spacing w:val="0"/>
          <w:w w:val="100"/>
          <w:position w:val="0"/>
          <w:sz w:val="18"/>
          <w:szCs w:val="18"/>
        </w:rPr>
        <w:t>2010</w:t>
      </w:r>
      <w:r>
        <w:rPr>
          <w:color w:val="000000"/>
          <w:spacing w:val="0"/>
          <w:w w:val="100"/>
          <w:position w:val="0"/>
        </w:rPr>
        <w:t>年度股东大会决议通过，以</w:t>
      </w:r>
      <w:r>
        <w:rPr>
          <w:rFonts w:ascii="Times New Roman" w:eastAsia="Times New Roman" w:hAnsi="Times New Roman" w:cs="Times New Roman"/>
          <w:color w:val="000000"/>
          <w:spacing w:val="0"/>
          <w:w w:val="100"/>
          <w:position w:val="0"/>
          <w:sz w:val="18"/>
          <w:szCs w:val="18"/>
        </w:rPr>
        <w:t>2010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日公司总股本</w:t>
      </w:r>
      <w:r>
        <w:rPr>
          <w:rFonts w:ascii="Times New Roman" w:eastAsia="Times New Roman" w:hAnsi="Times New Roman" w:cs="Times New Roman"/>
          <w:color w:val="000000"/>
          <w:spacing w:val="0"/>
          <w:w w:val="100"/>
          <w:position w:val="0"/>
          <w:sz w:val="18"/>
          <w:szCs w:val="18"/>
        </w:rPr>
        <w:t>31,600</w:t>
      </w:r>
      <w:r>
        <w:rPr>
          <w:color w:val="000000"/>
          <w:spacing w:val="0"/>
          <w:w w:val="100"/>
          <w:position w:val="0"/>
        </w:rPr>
        <w:t>万股为基数，以资本公积金向 全体股东每</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股转增</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股，合计转增股本</w:t>
      </w:r>
      <w:r>
        <w:rPr>
          <w:rFonts w:ascii="Times New Roman" w:eastAsia="Times New Roman" w:hAnsi="Times New Roman" w:cs="Times New Roman"/>
          <w:color w:val="000000"/>
          <w:spacing w:val="0"/>
          <w:w w:val="100"/>
          <w:position w:val="0"/>
          <w:sz w:val="18"/>
          <w:szCs w:val="18"/>
        </w:rPr>
        <w:t>6,320</w:t>
      </w:r>
      <w:r>
        <w:rPr>
          <w:color w:val="000000"/>
          <w:spacing w:val="0"/>
          <w:w w:val="100"/>
          <w:position w:val="0"/>
        </w:rPr>
        <w:t>万股。</w:t>
      </w:r>
    </w:p>
    <w:p>
      <w:pPr>
        <w:pStyle w:val="Style41"/>
        <w:keepNext w:val="0"/>
        <w:keepLines w:val="0"/>
        <w:widowControl w:val="0"/>
        <w:shd w:val="clear" w:color="auto" w:fill="auto"/>
        <w:bidi w:val="0"/>
        <w:spacing w:before="0" w:after="0" w:line="468" w:lineRule="exact"/>
        <w:ind w:left="0" w:right="0"/>
        <w:jc w:val="both"/>
      </w:pPr>
      <w:r>
        <w:rPr>
          <w:rFonts w:ascii="Times New Roman" w:eastAsia="Times New Roman" w:hAnsi="Times New Roman" w:cs="Times New Roman"/>
          <w:color w:val="000000"/>
          <w:spacing w:val="0"/>
          <w:w w:val="100"/>
          <w:position w:val="0"/>
          <w:sz w:val="18"/>
          <w:szCs w:val="18"/>
        </w:rPr>
        <w:t>2012</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9</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7</w:t>
      </w:r>
      <w:r>
        <w:rPr>
          <w:color w:val="000000"/>
          <w:spacing w:val="0"/>
          <w:w w:val="100"/>
          <w:position w:val="0"/>
        </w:rPr>
        <w:t>日，公司</w:t>
      </w:r>
      <w:r>
        <w:rPr>
          <w:rFonts w:ascii="Times New Roman" w:eastAsia="Times New Roman" w:hAnsi="Times New Roman" w:cs="Times New Roman"/>
          <w:color w:val="000000"/>
          <w:spacing w:val="0"/>
          <w:w w:val="100"/>
          <w:position w:val="0"/>
          <w:sz w:val="18"/>
          <w:szCs w:val="18"/>
        </w:rPr>
        <w:t>2012</w:t>
      </w:r>
      <w:r>
        <w:rPr>
          <w:color w:val="000000"/>
          <w:spacing w:val="0"/>
          <w:w w:val="100"/>
          <w:position w:val="0"/>
        </w:rPr>
        <w:t>年第一次临时股东大会决议通过《北京神州泰岳软件股份有限公司股票期权与限制性股票激励 计划》，向</w:t>
      </w:r>
      <w:r>
        <w:rPr>
          <w:rFonts w:ascii="Times New Roman" w:eastAsia="Times New Roman" w:hAnsi="Times New Roman" w:cs="Times New Roman"/>
          <w:color w:val="000000"/>
          <w:spacing w:val="0"/>
          <w:w w:val="100"/>
          <w:position w:val="0"/>
          <w:sz w:val="18"/>
          <w:szCs w:val="18"/>
        </w:rPr>
        <w:t>185</w:t>
      </w:r>
      <w:r>
        <w:rPr>
          <w:color w:val="000000"/>
          <w:spacing w:val="0"/>
          <w:w w:val="100"/>
          <w:position w:val="0"/>
        </w:rPr>
        <w:t>名自然人发行限制性股票</w:t>
      </w:r>
      <w:r>
        <w:rPr>
          <w:rFonts w:ascii="Times New Roman" w:eastAsia="Times New Roman" w:hAnsi="Times New Roman" w:cs="Times New Roman"/>
          <w:color w:val="000000"/>
          <w:spacing w:val="0"/>
          <w:w w:val="100"/>
          <w:position w:val="0"/>
          <w:sz w:val="18"/>
          <w:szCs w:val="18"/>
        </w:rPr>
        <w:t>418.37</w:t>
      </w:r>
      <w:r>
        <w:rPr>
          <w:color w:val="000000"/>
          <w:spacing w:val="0"/>
          <w:w w:val="100"/>
          <w:position w:val="0"/>
        </w:rPr>
        <w:t>万股。</w:t>
      </w:r>
      <w:r>
        <w:rPr>
          <w:rFonts w:ascii="Times New Roman" w:eastAsia="Times New Roman" w:hAnsi="Times New Roman" w:cs="Times New Roman"/>
          <w:color w:val="000000"/>
          <w:spacing w:val="0"/>
          <w:w w:val="100"/>
          <w:position w:val="0"/>
          <w:sz w:val="18"/>
          <w:szCs w:val="18"/>
        </w:rPr>
        <w:t>2012</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 xml:space="preserve">日，由北京市工商行政管理局换发企业法人营业执照，注 册号 </w:t>
      </w:r>
      <w:r>
        <w:rPr>
          <w:rFonts w:ascii="Times New Roman" w:eastAsia="Times New Roman" w:hAnsi="Times New Roman" w:cs="Times New Roman"/>
          <w:color w:val="000000"/>
          <w:spacing w:val="0"/>
          <w:w w:val="100"/>
          <w:position w:val="0"/>
          <w:sz w:val="18"/>
          <w:szCs w:val="18"/>
        </w:rPr>
        <w:t>110000002700930</w:t>
      </w:r>
      <w:r>
        <w:rPr>
          <w:color w:val="000000"/>
          <w:spacing w:val="0"/>
          <w:w w:val="100"/>
          <w:position w:val="0"/>
        </w:rPr>
        <w:t>。</w:t>
      </w:r>
    </w:p>
    <w:p>
      <w:pPr>
        <w:pStyle w:val="Style41"/>
        <w:keepNext w:val="0"/>
        <w:keepLines w:val="0"/>
        <w:widowControl w:val="0"/>
        <w:shd w:val="clear" w:color="auto" w:fill="auto"/>
        <w:bidi w:val="0"/>
        <w:spacing w:before="0" w:after="0" w:line="468" w:lineRule="exact"/>
        <w:ind w:left="0" w:right="0"/>
        <w:jc w:val="both"/>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20</w:t>
      </w:r>
      <w:r>
        <w:rPr>
          <w:color w:val="000000"/>
          <w:spacing w:val="0"/>
          <w:w w:val="100"/>
          <w:position w:val="0"/>
        </w:rPr>
        <w:t>日，公司</w:t>
      </w:r>
      <w:r>
        <w:rPr>
          <w:rFonts w:ascii="Times New Roman" w:eastAsia="Times New Roman" w:hAnsi="Times New Roman" w:cs="Times New Roman"/>
          <w:color w:val="000000"/>
          <w:spacing w:val="0"/>
          <w:w w:val="100"/>
          <w:position w:val="0"/>
          <w:sz w:val="18"/>
          <w:szCs w:val="18"/>
        </w:rPr>
        <w:t>2012</w:t>
      </w:r>
      <w:r>
        <w:rPr>
          <w:color w:val="000000"/>
          <w:spacing w:val="0"/>
          <w:w w:val="100"/>
          <w:position w:val="0"/>
        </w:rPr>
        <w:t>年度股东大会决议审议通过了《</w:t>
      </w:r>
      <w:r>
        <w:rPr>
          <w:rFonts w:ascii="Times New Roman" w:eastAsia="Times New Roman" w:hAnsi="Times New Roman" w:cs="Times New Roman"/>
          <w:color w:val="000000"/>
          <w:spacing w:val="0"/>
          <w:w w:val="100"/>
          <w:position w:val="0"/>
          <w:sz w:val="18"/>
          <w:szCs w:val="18"/>
        </w:rPr>
        <w:t>2012</w:t>
      </w:r>
      <w:r>
        <w:rPr>
          <w:color w:val="000000"/>
          <w:spacing w:val="0"/>
          <w:w w:val="100"/>
          <w:position w:val="0"/>
        </w:rPr>
        <w:t>年度利润分配及资本公积金转增股本预案》，截止</w:t>
      </w:r>
      <w:r>
        <w:rPr>
          <w:rFonts w:ascii="Times New Roman" w:eastAsia="Times New Roman" w:hAnsi="Times New Roman" w:cs="Times New Roman"/>
          <w:color w:val="000000"/>
          <w:spacing w:val="0"/>
          <w:w w:val="100"/>
          <w:position w:val="0"/>
          <w:sz w:val="18"/>
          <w:szCs w:val="18"/>
        </w:rPr>
        <w:t xml:space="preserve">2012 </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日，母公司资本公积金为</w:t>
      </w:r>
      <w:r>
        <w:rPr>
          <w:rFonts w:ascii="Times New Roman" w:eastAsia="Times New Roman" w:hAnsi="Times New Roman" w:cs="Times New Roman"/>
          <w:color w:val="000000"/>
          <w:spacing w:val="0"/>
          <w:w w:val="100"/>
          <w:position w:val="0"/>
          <w:sz w:val="18"/>
          <w:szCs w:val="18"/>
        </w:rPr>
        <w:t>1,556,513,432.57</w:t>
      </w:r>
      <w:r>
        <w:rPr>
          <w:color w:val="000000"/>
          <w:spacing w:val="0"/>
          <w:w w:val="100"/>
          <w:position w:val="0"/>
        </w:rPr>
        <w:t>元，本次以</w:t>
      </w:r>
      <w:r>
        <w:rPr>
          <w:rFonts w:ascii="Times New Roman" w:eastAsia="Times New Roman" w:hAnsi="Times New Roman" w:cs="Times New Roman"/>
          <w:color w:val="000000"/>
          <w:spacing w:val="0"/>
          <w:w w:val="100"/>
          <w:position w:val="0"/>
          <w:sz w:val="18"/>
          <w:szCs w:val="18"/>
        </w:rPr>
        <w:t>2012</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日公司总股本</w:t>
      </w:r>
      <w:r>
        <w:rPr>
          <w:rFonts w:ascii="Times New Roman" w:eastAsia="Times New Roman" w:hAnsi="Times New Roman" w:cs="Times New Roman"/>
          <w:color w:val="000000"/>
          <w:spacing w:val="0"/>
          <w:w w:val="100"/>
          <w:position w:val="0"/>
          <w:sz w:val="18"/>
          <w:szCs w:val="18"/>
        </w:rPr>
        <w:t>38,338.37</w:t>
      </w:r>
      <w:r>
        <w:rPr>
          <w:color w:val="000000"/>
          <w:spacing w:val="0"/>
          <w:w w:val="100"/>
          <w:position w:val="0"/>
        </w:rPr>
        <w:t>万股为基数，由资本公积 金向全体股东每</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股转增</w:t>
      </w:r>
      <w:r>
        <w:rPr>
          <w:rFonts w:ascii="Times New Roman" w:eastAsia="Times New Roman" w:hAnsi="Times New Roman" w:cs="Times New Roman"/>
          <w:color w:val="000000"/>
          <w:spacing w:val="0"/>
          <w:w w:val="100"/>
          <w:position w:val="0"/>
          <w:sz w:val="18"/>
          <w:szCs w:val="18"/>
        </w:rPr>
        <w:t>6</w:t>
      </w:r>
      <w:r>
        <w:rPr>
          <w:color w:val="000000"/>
          <w:spacing w:val="0"/>
          <w:w w:val="100"/>
          <w:position w:val="0"/>
        </w:rPr>
        <w:t>股，合计转增</w:t>
      </w:r>
      <w:r>
        <w:rPr>
          <w:rFonts w:ascii="Times New Roman" w:eastAsia="Times New Roman" w:hAnsi="Times New Roman" w:cs="Times New Roman"/>
          <w:color w:val="000000"/>
          <w:spacing w:val="0"/>
          <w:w w:val="100"/>
          <w:position w:val="0"/>
          <w:sz w:val="18"/>
          <w:szCs w:val="18"/>
        </w:rPr>
        <w:t>23,003.02</w:t>
      </w:r>
      <w:r>
        <w:rPr>
          <w:color w:val="000000"/>
          <w:spacing w:val="0"/>
          <w:w w:val="100"/>
          <w:position w:val="0"/>
        </w:rPr>
        <w:t>万股。</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6</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19</w:t>
      </w:r>
      <w:r>
        <w:rPr>
          <w:color w:val="000000"/>
          <w:spacing w:val="0"/>
          <w:w w:val="100"/>
          <w:position w:val="0"/>
        </w:rPr>
        <w:t xml:space="preserve">日，由北京市工商行政管理局换发企业法人营业执照， 注册号 </w:t>
      </w:r>
      <w:r>
        <w:rPr>
          <w:rFonts w:ascii="Times New Roman" w:eastAsia="Times New Roman" w:hAnsi="Times New Roman" w:cs="Times New Roman"/>
          <w:color w:val="000000"/>
          <w:spacing w:val="0"/>
          <w:w w:val="100"/>
          <w:position w:val="0"/>
          <w:sz w:val="18"/>
          <w:szCs w:val="18"/>
        </w:rPr>
        <w:t>110000002700930</w:t>
      </w:r>
      <w:r>
        <w:rPr>
          <w:color w:val="000000"/>
          <w:spacing w:val="0"/>
          <w:w w:val="100"/>
          <w:position w:val="0"/>
        </w:rPr>
        <w:t>。</w:t>
      </w:r>
    </w:p>
    <w:p>
      <w:pPr>
        <w:pStyle w:val="Style41"/>
        <w:keepNext w:val="0"/>
        <w:keepLines w:val="0"/>
        <w:widowControl w:val="0"/>
        <w:shd w:val="clear" w:color="auto" w:fill="auto"/>
        <w:bidi w:val="0"/>
        <w:spacing w:before="0" w:after="0" w:line="468" w:lineRule="exact"/>
        <w:ind w:left="0" w:right="0"/>
        <w:jc w:val="both"/>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8</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16</w:t>
      </w:r>
      <w:r>
        <w:rPr>
          <w:color w:val="000000"/>
          <w:spacing w:val="0"/>
          <w:w w:val="100"/>
          <w:position w:val="0"/>
        </w:rPr>
        <w:t>日，公司第五届董事会第六次会议审议通过了《关于回购注销部分已不符合激励条件的原激励对象已获授 的限制性股票的议案》。由于部分原激励对象因个人原因已离职，根据相关规定，其已不具备激励对象资格，公司对该等原 激励对象获授的限制性股票全部注销回购，回购数量为</w:t>
      </w:r>
      <w:r>
        <w:rPr>
          <w:rFonts w:ascii="Times New Roman" w:eastAsia="Times New Roman" w:hAnsi="Times New Roman" w:cs="Times New Roman"/>
          <w:color w:val="000000"/>
          <w:spacing w:val="0"/>
          <w:w w:val="100"/>
          <w:position w:val="0"/>
          <w:sz w:val="18"/>
          <w:szCs w:val="18"/>
        </w:rPr>
        <w:t>280,800</w:t>
      </w:r>
      <w:r>
        <w:rPr>
          <w:color w:val="000000"/>
          <w:spacing w:val="0"/>
          <w:w w:val="100"/>
          <w:position w:val="0"/>
        </w:rPr>
        <w:t>股，回购价格为</w:t>
      </w:r>
      <w:r>
        <w:rPr>
          <w:rFonts w:ascii="Times New Roman" w:eastAsia="Times New Roman" w:hAnsi="Times New Roman" w:cs="Times New Roman"/>
          <w:color w:val="000000"/>
          <w:spacing w:val="0"/>
          <w:w w:val="100"/>
          <w:position w:val="0"/>
          <w:sz w:val="18"/>
          <w:szCs w:val="18"/>
        </w:rPr>
        <w:t>5.36</w:t>
      </w:r>
      <w:r>
        <w:rPr>
          <w:color w:val="000000"/>
          <w:spacing w:val="0"/>
          <w:w w:val="100"/>
          <w:position w:val="0"/>
        </w:rPr>
        <w:t>元</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股。注销完成后，公司注册资本由人 民币</w:t>
      </w:r>
      <w:r>
        <w:rPr>
          <w:rFonts w:ascii="Times New Roman" w:eastAsia="Times New Roman" w:hAnsi="Times New Roman" w:cs="Times New Roman"/>
          <w:color w:val="000000"/>
          <w:spacing w:val="0"/>
          <w:w w:val="100"/>
          <w:position w:val="0"/>
          <w:sz w:val="18"/>
          <w:szCs w:val="18"/>
        </w:rPr>
        <w:t>613,413,920</w:t>
      </w:r>
      <w:r>
        <w:rPr>
          <w:color w:val="000000"/>
          <w:spacing w:val="0"/>
          <w:w w:val="100"/>
          <w:position w:val="0"/>
        </w:rPr>
        <w:t>元减少至人民币</w:t>
      </w:r>
      <w:r>
        <w:rPr>
          <w:rFonts w:ascii="Times New Roman" w:eastAsia="Times New Roman" w:hAnsi="Times New Roman" w:cs="Times New Roman"/>
          <w:color w:val="000000"/>
          <w:spacing w:val="0"/>
          <w:w w:val="100"/>
          <w:position w:val="0"/>
          <w:sz w:val="18"/>
          <w:szCs w:val="18"/>
        </w:rPr>
        <w:t>613,133,120</w:t>
      </w:r>
      <w:r>
        <w:rPr>
          <w:color w:val="000000"/>
          <w:spacing w:val="0"/>
          <w:w w:val="100"/>
          <w:position w:val="0"/>
        </w:rPr>
        <w:t>元；公司股份总数由人民币普通股</w:t>
      </w:r>
      <w:r>
        <w:rPr>
          <w:rFonts w:ascii="Times New Roman" w:eastAsia="Times New Roman" w:hAnsi="Times New Roman" w:cs="Times New Roman"/>
          <w:color w:val="000000"/>
          <w:spacing w:val="0"/>
          <w:w w:val="100"/>
          <w:position w:val="0"/>
          <w:sz w:val="18"/>
          <w:szCs w:val="18"/>
        </w:rPr>
        <w:t>613,413,920</w:t>
      </w:r>
      <w:r>
        <w:rPr>
          <w:color w:val="000000"/>
          <w:spacing w:val="0"/>
          <w:w w:val="100"/>
          <w:position w:val="0"/>
        </w:rPr>
        <w:t>股减少至</w:t>
      </w:r>
      <w:r>
        <w:rPr>
          <w:rFonts w:ascii="Times New Roman" w:eastAsia="Times New Roman" w:hAnsi="Times New Roman" w:cs="Times New Roman"/>
          <w:color w:val="000000"/>
          <w:spacing w:val="0"/>
          <w:w w:val="100"/>
          <w:position w:val="0"/>
          <w:sz w:val="18"/>
          <w:szCs w:val="18"/>
        </w:rPr>
        <w:t>613,133,120</w:t>
      </w:r>
      <w:r>
        <w:rPr>
          <w:color w:val="000000"/>
          <w:spacing w:val="0"/>
          <w:w w:val="100"/>
          <w:position w:val="0"/>
        </w:rPr>
        <w:t>股。</w:t>
      </w:r>
    </w:p>
    <w:p>
      <w:pPr>
        <w:pStyle w:val="Style41"/>
        <w:keepNext w:val="0"/>
        <w:keepLines w:val="0"/>
        <w:widowControl w:val="0"/>
        <w:shd w:val="clear" w:color="auto" w:fill="auto"/>
        <w:bidi w:val="0"/>
        <w:spacing w:before="0" w:after="0" w:line="468" w:lineRule="exact"/>
        <w:ind w:left="0" w:right="0"/>
        <w:jc w:val="both"/>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11</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21</w:t>
      </w:r>
      <w:r>
        <w:rPr>
          <w:color w:val="000000"/>
          <w:spacing w:val="0"/>
          <w:w w:val="100"/>
          <w:position w:val="0"/>
        </w:rPr>
        <w:t>日，根据公司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年第二次临时股东大会审议通过的《公司注册资本变更的议案》和《关于修改</w:t>
      </w:r>
      <w:r>
        <w:rPr>
          <w:color w:val="000000"/>
          <w:spacing w:val="0"/>
          <w:w w:val="100"/>
          <w:position w:val="0"/>
          <w:sz w:val="18"/>
          <w:szCs w:val="18"/>
        </w:rPr>
        <w:t>〈</w:t>
      </w:r>
      <w:r>
        <w:rPr>
          <w:color w:val="000000"/>
          <w:spacing w:val="0"/>
          <w:w w:val="100"/>
          <w:position w:val="0"/>
        </w:rPr>
        <w:t>公司章 程</w:t>
      </w:r>
      <w:r>
        <w:rPr>
          <w:color w:val="000000"/>
          <w:spacing w:val="0"/>
          <w:w w:val="100"/>
          <w:position w:val="0"/>
          <w:sz w:val="18"/>
          <w:szCs w:val="18"/>
        </w:rPr>
        <w:t>〉</w:t>
      </w:r>
      <w:r>
        <w:rPr>
          <w:color w:val="000000"/>
          <w:spacing w:val="0"/>
          <w:w w:val="100"/>
          <w:position w:val="0"/>
        </w:rPr>
        <w:t>的议案》，公司已完成相应的工商变更登记手续，并取得了北京市工商行政管理局换发的《企业法人营业执照》，注册 号为</w:t>
      </w:r>
      <w:r>
        <w:rPr>
          <w:rFonts w:ascii="Times New Roman" w:eastAsia="Times New Roman" w:hAnsi="Times New Roman" w:cs="Times New Roman"/>
          <w:color w:val="000000"/>
          <w:spacing w:val="0"/>
          <w:w w:val="100"/>
          <w:position w:val="0"/>
          <w:sz w:val="18"/>
          <w:szCs w:val="18"/>
        </w:rPr>
        <w:t>110000002700930</w:t>
      </w:r>
      <w:r>
        <w:rPr>
          <w:color w:val="000000"/>
          <w:spacing w:val="0"/>
          <w:w w:val="100"/>
          <w:position w:val="0"/>
        </w:rPr>
        <w:t>。</w:t>
      </w:r>
    </w:p>
    <w:p>
      <w:pPr>
        <w:pStyle w:val="Style41"/>
        <w:keepNext w:val="0"/>
        <w:keepLines w:val="0"/>
        <w:widowControl w:val="0"/>
        <w:shd w:val="clear" w:color="auto" w:fill="auto"/>
        <w:bidi w:val="0"/>
        <w:spacing w:before="0" w:after="0" w:line="468" w:lineRule="exact"/>
        <w:ind w:left="0" w:right="0"/>
        <w:jc w:val="both"/>
      </w:pPr>
      <w:r>
        <w:rPr>
          <w:rFonts w:ascii="Times New Roman" w:eastAsia="Times New Roman" w:hAnsi="Times New Roman" w:cs="Times New Roman"/>
          <w:color w:val="000000"/>
          <w:spacing w:val="0"/>
          <w:w w:val="100"/>
          <w:position w:val="0"/>
          <w:sz w:val="18"/>
          <w:szCs w:val="18"/>
        </w:rPr>
        <w:t>2014</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4</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9</w:t>
      </w:r>
      <w:r>
        <w:rPr>
          <w:color w:val="000000"/>
          <w:spacing w:val="0"/>
          <w:w w:val="100"/>
          <w:position w:val="0"/>
        </w:rPr>
        <w:t>日，公司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年度股东大会审议通过《关于修改</w:t>
      </w:r>
      <w:r>
        <w:rPr>
          <w:color w:val="000000"/>
          <w:spacing w:val="0"/>
          <w:w w:val="100"/>
          <w:position w:val="0"/>
          <w:sz w:val="18"/>
          <w:szCs w:val="18"/>
        </w:rPr>
        <w:t>〈</w:t>
      </w:r>
      <w:r>
        <w:rPr>
          <w:color w:val="000000"/>
          <w:spacing w:val="0"/>
          <w:w w:val="100"/>
          <w:position w:val="0"/>
        </w:rPr>
        <w:t>公司章程</w:t>
      </w:r>
      <w:r>
        <w:rPr>
          <w:color w:val="000000"/>
          <w:spacing w:val="0"/>
          <w:w w:val="100"/>
          <w:position w:val="0"/>
          <w:sz w:val="18"/>
          <w:szCs w:val="18"/>
        </w:rPr>
        <w:t>〉</w:t>
      </w:r>
      <w:r>
        <w:rPr>
          <w:color w:val="000000"/>
          <w:spacing w:val="0"/>
          <w:w w:val="100"/>
          <w:position w:val="0"/>
        </w:rPr>
        <w:t>的议案》，因公司股权激励计划之股票期权行 权而增加股份数为</w:t>
      </w:r>
      <w:r>
        <w:rPr>
          <w:rFonts w:ascii="Times New Roman" w:eastAsia="Times New Roman" w:hAnsi="Times New Roman" w:cs="Times New Roman"/>
          <w:color w:val="000000"/>
          <w:spacing w:val="0"/>
          <w:w w:val="100"/>
          <w:position w:val="0"/>
          <w:sz w:val="18"/>
          <w:szCs w:val="18"/>
        </w:rPr>
        <w:t>2,083,264</w:t>
      </w:r>
      <w:r>
        <w:rPr>
          <w:color w:val="000000"/>
          <w:spacing w:val="0"/>
          <w:w w:val="100"/>
          <w:position w:val="0"/>
        </w:rPr>
        <w:t>股；同时，根据公司《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年度利润分配及转增股本预案》，以公司</w:t>
      </w:r>
      <w:r>
        <w:rPr>
          <w:rFonts w:ascii="Times New Roman" w:eastAsia="Times New Roman" w:hAnsi="Times New Roman" w:cs="Times New Roman"/>
          <w:color w:val="000000"/>
          <w:spacing w:val="0"/>
          <w:w w:val="100"/>
          <w:position w:val="0"/>
          <w:sz w:val="18"/>
          <w:szCs w:val="18"/>
        </w:rPr>
        <w:t>2014</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28</w:t>
      </w:r>
      <w:r>
        <w:rPr>
          <w:color w:val="000000"/>
          <w:spacing w:val="0"/>
          <w:w w:val="100"/>
          <w:position w:val="0"/>
        </w:rPr>
        <w:t xml:space="preserve">日总股本 </w:t>
      </w:r>
      <w:r>
        <w:rPr>
          <w:rFonts w:ascii="Times New Roman" w:eastAsia="Times New Roman" w:hAnsi="Times New Roman" w:cs="Times New Roman"/>
          <w:color w:val="000000"/>
          <w:spacing w:val="0"/>
          <w:w w:val="100"/>
          <w:position w:val="0"/>
          <w:sz w:val="18"/>
          <w:szCs w:val="18"/>
        </w:rPr>
        <w:t>615,216,384</w:t>
      </w:r>
      <w:r>
        <w:rPr>
          <w:color w:val="000000"/>
          <w:spacing w:val="0"/>
          <w:w w:val="100"/>
          <w:position w:val="0"/>
        </w:rPr>
        <w:t>股为基数，向全体股东以每</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股派发现金红利</w:t>
      </w:r>
      <w:r>
        <w:rPr>
          <w:rFonts w:ascii="Times New Roman" w:eastAsia="Times New Roman" w:hAnsi="Times New Roman" w:cs="Times New Roman"/>
          <w:color w:val="000000"/>
          <w:spacing w:val="0"/>
          <w:w w:val="100"/>
          <w:position w:val="0"/>
          <w:sz w:val="18"/>
          <w:szCs w:val="18"/>
        </w:rPr>
        <w:t>2.5</w:t>
      </w:r>
      <w:r>
        <w:rPr>
          <w:color w:val="000000"/>
          <w:spacing w:val="0"/>
          <w:w w:val="100"/>
          <w:position w:val="0"/>
        </w:rPr>
        <w:t>元（含税），以资本公积金向全体股东每</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股转增</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股，实施 完成后公司注册资本增至</w:t>
      </w:r>
      <w:r>
        <w:rPr>
          <w:rFonts w:ascii="Times New Roman" w:eastAsia="Times New Roman" w:hAnsi="Times New Roman" w:cs="Times New Roman"/>
          <w:color w:val="000000"/>
          <w:spacing w:val="0"/>
          <w:w w:val="100"/>
          <w:position w:val="0"/>
          <w:sz w:val="18"/>
          <w:szCs w:val="18"/>
        </w:rPr>
        <w:t>1</w:t>
      </w:r>
      <w:r>
        <w:rPr>
          <w:rFonts w:ascii="Times New Roman" w:eastAsia="Times New Roman" w:hAnsi="Times New Roman" w:cs="Times New Roman"/>
          <w:color w:val="000000"/>
          <w:spacing w:val="0"/>
          <w:w w:val="100"/>
          <w:position w:val="0"/>
          <w:sz w:val="18"/>
          <w:szCs w:val="18"/>
        </w:rPr>
        <w:t>,230,432,768.00</w:t>
      </w:r>
      <w:r>
        <w:rPr>
          <w:color w:val="000000"/>
          <w:spacing w:val="0"/>
          <w:w w:val="100"/>
          <w:position w:val="0"/>
        </w:rPr>
        <w:t>元。</w:t>
      </w:r>
      <w:r>
        <w:rPr>
          <w:rFonts w:ascii="Times New Roman" w:eastAsia="Times New Roman" w:hAnsi="Times New Roman" w:cs="Times New Roman"/>
          <w:color w:val="000000"/>
          <w:spacing w:val="0"/>
          <w:w w:val="100"/>
          <w:position w:val="0"/>
          <w:sz w:val="18"/>
          <w:szCs w:val="18"/>
        </w:rPr>
        <w:t>2014</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25</w:t>
      </w:r>
      <w:r>
        <w:rPr>
          <w:color w:val="000000"/>
          <w:spacing w:val="0"/>
          <w:w w:val="100"/>
          <w:position w:val="0"/>
        </w:rPr>
        <w:t xml:space="preserve">日，由北京市工商行政管理局换发企业法人营业执照，注册号 </w:t>
      </w:r>
      <w:r>
        <w:rPr>
          <w:rFonts w:ascii="Times New Roman" w:eastAsia="Times New Roman" w:hAnsi="Times New Roman" w:cs="Times New Roman"/>
          <w:color w:val="000000"/>
          <w:spacing w:val="0"/>
          <w:w w:val="100"/>
          <w:position w:val="0"/>
          <w:sz w:val="18"/>
          <w:szCs w:val="18"/>
        </w:rPr>
        <w:t>110000002700930</w:t>
      </w:r>
      <w:r>
        <w:rPr>
          <w:color w:val="000000"/>
          <w:spacing w:val="0"/>
          <w:w w:val="100"/>
          <w:position w:val="0"/>
        </w:rPr>
        <w:t>。</w:t>
      </w:r>
    </w:p>
    <w:p>
      <w:pPr>
        <w:pStyle w:val="Style41"/>
        <w:keepNext w:val="0"/>
        <w:keepLines w:val="0"/>
        <w:widowControl w:val="0"/>
        <w:shd w:val="clear" w:color="auto" w:fill="auto"/>
        <w:bidi w:val="0"/>
        <w:spacing w:before="0" w:after="0" w:line="468" w:lineRule="exact"/>
        <w:ind w:left="0" w:right="0"/>
        <w:jc w:val="both"/>
      </w:pPr>
      <w:r>
        <w:rPr>
          <w:rFonts w:ascii="Times New Roman" w:eastAsia="Times New Roman" w:hAnsi="Times New Roman" w:cs="Times New Roman"/>
          <w:color w:val="000000"/>
          <w:spacing w:val="0"/>
          <w:w w:val="100"/>
          <w:position w:val="0"/>
          <w:sz w:val="18"/>
          <w:szCs w:val="18"/>
        </w:rPr>
        <w:t>2014</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6</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27</w:t>
      </w:r>
      <w:r>
        <w:rPr>
          <w:color w:val="000000"/>
          <w:spacing w:val="0"/>
          <w:w w:val="100"/>
          <w:position w:val="0"/>
        </w:rPr>
        <w:t>日，公司</w:t>
      </w:r>
      <w:r>
        <w:rPr>
          <w:rFonts w:ascii="Times New Roman" w:eastAsia="Times New Roman" w:hAnsi="Times New Roman" w:cs="Times New Roman"/>
          <w:color w:val="000000"/>
          <w:spacing w:val="0"/>
          <w:w w:val="100"/>
          <w:position w:val="0"/>
          <w:sz w:val="18"/>
          <w:szCs w:val="18"/>
        </w:rPr>
        <w:t>2014</w:t>
      </w:r>
      <w:r>
        <w:rPr>
          <w:color w:val="000000"/>
          <w:spacing w:val="0"/>
          <w:w w:val="100"/>
          <w:position w:val="0"/>
        </w:rPr>
        <w:t>年第一次临时股东大会审议通过《关于变更公司注册资本的议案》、《关于修改</w:t>
      </w:r>
      <w:r>
        <w:rPr>
          <w:color w:val="000000"/>
          <w:spacing w:val="0"/>
          <w:w w:val="100"/>
          <w:position w:val="0"/>
          <w:sz w:val="18"/>
          <w:szCs w:val="18"/>
        </w:rPr>
        <w:t>〈</w:t>
      </w:r>
      <w:r>
        <w:rPr>
          <w:color w:val="000000"/>
          <w:spacing w:val="0"/>
          <w:w w:val="100"/>
          <w:position w:val="0"/>
        </w:rPr>
        <w:t>公司章程</w:t>
      </w: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 xml:space="preserve"> </w:t>
      </w:r>
      <w:r>
        <w:rPr>
          <w:color w:val="000000"/>
          <w:spacing w:val="0"/>
          <w:w w:val="100"/>
          <w:position w:val="0"/>
        </w:rPr>
        <w:t>的议案》，公司因发行股份及支付现金购买资产的相关股份上市手续已办理完毕，公司股本增加了</w:t>
      </w:r>
      <w:r>
        <w:rPr>
          <w:rFonts w:ascii="Times New Roman" w:eastAsia="Times New Roman" w:hAnsi="Times New Roman" w:cs="Times New Roman"/>
          <w:color w:val="000000"/>
          <w:spacing w:val="0"/>
          <w:w w:val="100"/>
          <w:position w:val="0"/>
          <w:sz w:val="18"/>
          <w:szCs w:val="18"/>
        </w:rPr>
        <w:t>92,756,183</w:t>
      </w:r>
      <w:r>
        <w:rPr>
          <w:color w:val="000000"/>
          <w:spacing w:val="0"/>
          <w:w w:val="100"/>
          <w:position w:val="0"/>
        </w:rPr>
        <w:t>股，公司股份 总数由</w:t>
      </w:r>
      <w:r>
        <w:rPr>
          <w:rFonts w:ascii="Times New Roman" w:eastAsia="Times New Roman" w:hAnsi="Times New Roman" w:cs="Times New Roman"/>
          <w:color w:val="000000"/>
          <w:spacing w:val="0"/>
          <w:w w:val="100"/>
          <w:position w:val="0"/>
          <w:sz w:val="18"/>
          <w:szCs w:val="18"/>
        </w:rPr>
        <w:t>1</w:t>
      </w:r>
      <w:r>
        <w:rPr>
          <w:rFonts w:ascii="Times New Roman" w:eastAsia="Times New Roman" w:hAnsi="Times New Roman" w:cs="Times New Roman"/>
          <w:color w:val="000000"/>
          <w:spacing w:val="0"/>
          <w:w w:val="100"/>
          <w:position w:val="0"/>
          <w:sz w:val="18"/>
          <w:szCs w:val="18"/>
        </w:rPr>
        <w:t>,230,432,768.00</w:t>
      </w:r>
      <w:r>
        <w:rPr>
          <w:color w:val="000000"/>
          <w:spacing w:val="0"/>
          <w:w w:val="100"/>
          <w:position w:val="0"/>
        </w:rPr>
        <w:t>股变更为</w:t>
      </w:r>
      <w:r>
        <w:rPr>
          <w:rFonts w:ascii="Times New Roman" w:eastAsia="Times New Roman" w:hAnsi="Times New Roman" w:cs="Times New Roman"/>
          <w:color w:val="000000"/>
          <w:spacing w:val="0"/>
          <w:w w:val="100"/>
          <w:position w:val="0"/>
          <w:sz w:val="18"/>
          <w:szCs w:val="18"/>
        </w:rPr>
        <w:t>1,323,188,951</w:t>
      </w:r>
      <w:r>
        <w:rPr>
          <w:color w:val="000000"/>
          <w:spacing w:val="0"/>
          <w:w w:val="100"/>
          <w:position w:val="0"/>
        </w:rPr>
        <w:t>股，注册资本由人民币</w:t>
      </w:r>
      <w:r>
        <w:rPr>
          <w:rFonts w:ascii="Times New Roman" w:eastAsia="Times New Roman" w:hAnsi="Times New Roman" w:cs="Times New Roman"/>
          <w:color w:val="000000"/>
          <w:spacing w:val="0"/>
          <w:w w:val="100"/>
          <w:position w:val="0"/>
          <w:sz w:val="18"/>
          <w:szCs w:val="18"/>
        </w:rPr>
        <w:t>1</w:t>
      </w:r>
      <w:r>
        <w:rPr>
          <w:rFonts w:ascii="Times New Roman" w:eastAsia="Times New Roman" w:hAnsi="Times New Roman" w:cs="Times New Roman"/>
          <w:color w:val="000000"/>
          <w:spacing w:val="0"/>
          <w:w w:val="100"/>
          <w:position w:val="0"/>
          <w:sz w:val="18"/>
          <w:szCs w:val="18"/>
        </w:rPr>
        <w:t>,230,432,768.00</w:t>
      </w:r>
      <w:r>
        <w:rPr>
          <w:color w:val="000000"/>
          <w:spacing w:val="0"/>
          <w:w w:val="100"/>
          <w:position w:val="0"/>
        </w:rPr>
        <w:t>元变更为人民币</w:t>
      </w:r>
      <w:r>
        <w:rPr>
          <w:rFonts w:ascii="Times New Roman" w:eastAsia="Times New Roman" w:hAnsi="Times New Roman" w:cs="Times New Roman"/>
          <w:color w:val="000000"/>
          <w:spacing w:val="0"/>
          <w:w w:val="100"/>
          <w:position w:val="0"/>
          <w:sz w:val="18"/>
          <w:szCs w:val="18"/>
        </w:rPr>
        <w:t>1,323,188,951.00</w:t>
      </w:r>
      <w:r>
        <w:rPr>
          <w:color w:val="000000"/>
          <w:spacing w:val="0"/>
          <w:w w:val="100"/>
          <w:position w:val="0"/>
        </w:rPr>
        <w:t xml:space="preserve">元。 </w:t>
      </w:r>
      <w:r>
        <w:rPr>
          <w:rFonts w:ascii="Times New Roman" w:eastAsia="Times New Roman" w:hAnsi="Times New Roman" w:cs="Times New Roman"/>
          <w:color w:val="000000"/>
          <w:spacing w:val="0"/>
          <w:w w:val="100"/>
          <w:position w:val="0"/>
          <w:sz w:val="18"/>
          <w:szCs w:val="18"/>
        </w:rPr>
        <w:t>2014</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7</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14</w:t>
      </w:r>
      <w:r>
        <w:rPr>
          <w:color w:val="000000"/>
          <w:spacing w:val="0"/>
          <w:w w:val="100"/>
          <w:position w:val="0"/>
        </w:rPr>
        <w:t>日，由北京市工商行政管理局换发企业法人营业执照，注册号</w:t>
      </w:r>
      <w:r>
        <w:rPr>
          <w:rFonts w:ascii="Times New Roman" w:eastAsia="Times New Roman" w:hAnsi="Times New Roman" w:cs="Times New Roman"/>
          <w:color w:val="000000"/>
          <w:spacing w:val="0"/>
          <w:w w:val="100"/>
          <w:position w:val="0"/>
          <w:sz w:val="18"/>
          <w:szCs w:val="18"/>
        </w:rPr>
        <w:t>110000002700930</w:t>
      </w:r>
      <w:r>
        <w:rPr>
          <w:color w:val="000000"/>
          <w:spacing w:val="0"/>
          <w:w w:val="100"/>
          <w:position w:val="0"/>
        </w:rPr>
        <w:t>。</w:t>
      </w:r>
    </w:p>
    <w:p>
      <w:pPr>
        <w:pStyle w:val="Style41"/>
        <w:keepNext w:val="0"/>
        <w:keepLines w:val="0"/>
        <w:widowControl w:val="0"/>
        <w:shd w:val="clear" w:color="auto" w:fill="auto"/>
        <w:bidi w:val="0"/>
        <w:spacing w:before="0" w:after="0" w:line="468" w:lineRule="exact"/>
        <w:ind w:left="0" w:right="0"/>
        <w:jc w:val="both"/>
      </w:pPr>
      <w:r>
        <w:rPr>
          <w:rFonts w:ascii="Times New Roman" w:eastAsia="Times New Roman" w:hAnsi="Times New Roman" w:cs="Times New Roman"/>
          <w:color w:val="000000"/>
          <w:spacing w:val="0"/>
          <w:w w:val="100"/>
          <w:position w:val="0"/>
          <w:sz w:val="18"/>
          <w:szCs w:val="18"/>
        </w:rPr>
        <w:t>2014</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11</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日，公司</w:t>
      </w:r>
      <w:r>
        <w:rPr>
          <w:rFonts w:ascii="Times New Roman" w:eastAsia="Times New Roman" w:hAnsi="Times New Roman" w:cs="Times New Roman"/>
          <w:color w:val="000000"/>
          <w:spacing w:val="0"/>
          <w:w w:val="100"/>
          <w:position w:val="0"/>
          <w:sz w:val="18"/>
          <w:szCs w:val="18"/>
        </w:rPr>
        <w:t>2014</w:t>
      </w:r>
      <w:r>
        <w:rPr>
          <w:color w:val="000000"/>
          <w:spacing w:val="0"/>
          <w:w w:val="100"/>
          <w:position w:val="0"/>
        </w:rPr>
        <w:t>年第二次临时股东大会审议通过了《关于修改</w:t>
      </w:r>
      <w:r>
        <w:rPr>
          <w:color w:val="000000"/>
          <w:spacing w:val="0"/>
          <w:w w:val="100"/>
          <w:position w:val="0"/>
          <w:sz w:val="18"/>
          <w:szCs w:val="18"/>
        </w:rPr>
        <w:t>〈</w:t>
      </w:r>
      <w:r>
        <w:rPr>
          <w:color w:val="000000"/>
          <w:spacing w:val="0"/>
          <w:w w:val="100"/>
          <w:position w:val="0"/>
        </w:rPr>
        <w:t>公司章程</w:t>
      </w:r>
      <w:r>
        <w:rPr>
          <w:color w:val="000000"/>
          <w:spacing w:val="0"/>
          <w:w w:val="100"/>
          <w:position w:val="0"/>
          <w:sz w:val="18"/>
          <w:szCs w:val="18"/>
        </w:rPr>
        <w:t>〉</w:t>
      </w:r>
      <w:r>
        <w:rPr>
          <w:color w:val="000000"/>
          <w:spacing w:val="0"/>
          <w:w w:val="100"/>
          <w:position w:val="0"/>
        </w:rPr>
        <w:t xml:space="preserve">的议案》，因公司股权激励计划第 一个行权期激励对象行权、回购注销不符合激励条件的原激励对象已获授的限制性股票等原因，公司股份总数由 </w:t>
      </w:r>
      <w:r>
        <w:rPr>
          <w:rFonts w:ascii="Times New Roman" w:eastAsia="Times New Roman" w:hAnsi="Times New Roman" w:cs="Times New Roman"/>
          <w:color w:val="000000"/>
          <w:spacing w:val="0"/>
          <w:w w:val="100"/>
          <w:position w:val="0"/>
          <w:sz w:val="18"/>
          <w:szCs w:val="18"/>
        </w:rPr>
        <w:t>1,323,188,951</w:t>
      </w:r>
      <w:r>
        <w:rPr>
          <w:color w:val="000000"/>
          <w:spacing w:val="0"/>
          <w:w w:val="100"/>
          <w:position w:val="0"/>
        </w:rPr>
        <w:t>股变更为</w:t>
      </w:r>
      <w:r>
        <w:rPr>
          <w:rFonts w:ascii="Times New Roman" w:eastAsia="Times New Roman" w:hAnsi="Times New Roman" w:cs="Times New Roman"/>
          <w:color w:val="000000"/>
          <w:spacing w:val="0"/>
          <w:w w:val="100"/>
          <w:position w:val="0"/>
          <w:sz w:val="18"/>
          <w:szCs w:val="18"/>
        </w:rPr>
        <w:t>1,323,268,087</w:t>
      </w:r>
      <w:r>
        <w:rPr>
          <w:color w:val="000000"/>
          <w:spacing w:val="0"/>
          <w:w w:val="100"/>
          <w:position w:val="0"/>
        </w:rPr>
        <w:t>股，注册资本由人民币</w:t>
      </w:r>
      <w:r>
        <w:rPr>
          <w:rFonts w:ascii="Times New Roman" w:eastAsia="Times New Roman" w:hAnsi="Times New Roman" w:cs="Times New Roman"/>
          <w:color w:val="000000"/>
          <w:spacing w:val="0"/>
          <w:w w:val="100"/>
          <w:position w:val="0"/>
          <w:sz w:val="18"/>
          <w:szCs w:val="18"/>
        </w:rPr>
        <w:t>1,323,188,951.00</w:t>
      </w:r>
      <w:r>
        <w:rPr>
          <w:color w:val="000000"/>
          <w:spacing w:val="0"/>
          <w:w w:val="100"/>
          <w:position w:val="0"/>
        </w:rPr>
        <w:t>元变更为人民币</w:t>
      </w:r>
      <w:r>
        <w:rPr>
          <w:rFonts w:ascii="Times New Roman" w:eastAsia="Times New Roman" w:hAnsi="Times New Roman" w:cs="Times New Roman"/>
          <w:color w:val="000000"/>
          <w:spacing w:val="0"/>
          <w:w w:val="100"/>
          <w:position w:val="0"/>
          <w:sz w:val="18"/>
          <w:szCs w:val="18"/>
        </w:rPr>
        <w:t>1,323,268,087.00</w:t>
      </w:r>
      <w:r>
        <w:rPr>
          <w:color w:val="000000"/>
          <w:spacing w:val="0"/>
          <w:w w:val="100"/>
          <w:position w:val="0"/>
        </w:rPr>
        <w:t>元。</w:t>
      </w:r>
      <w:r>
        <w:rPr>
          <w:rFonts w:ascii="Times New Roman" w:eastAsia="Times New Roman" w:hAnsi="Times New Roman" w:cs="Times New Roman"/>
          <w:color w:val="000000"/>
          <w:spacing w:val="0"/>
          <w:w w:val="100"/>
          <w:position w:val="0"/>
          <w:sz w:val="18"/>
          <w:szCs w:val="18"/>
        </w:rPr>
        <w:t>2014</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11</w:t>
      </w:r>
      <w:r>
        <w:rPr>
          <w:color w:val="000000"/>
          <w:spacing w:val="0"/>
          <w:w w:val="100"/>
          <w:position w:val="0"/>
        </w:rPr>
        <w:t xml:space="preserve">月 </w:t>
      </w:r>
      <w:r>
        <w:rPr>
          <w:rFonts w:ascii="Times New Roman" w:eastAsia="Times New Roman" w:hAnsi="Times New Roman" w:cs="Times New Roman"/>
          <w:color w:val="000000"/>
          <w:spacing w:val="0"/>
          <w:w w:val="100"/>
          <w:position w:val="0"/>
          <w:sz w:val="18"/>
          <w:szCs w:val="18"/>
        </w:rPr>
        <w:t>18</w:t>
      </w:r>
      <w:r>
        <w:rPr>
          <w:color w:val="000000"/>
          <w:spacing w:val="0"/>
          <w:w w:val="100"/>
          <w:position w:val="0"/>
        </w:rPr>
        <w:t>日，由北京市工商行政管理局换发企业法人营业执照，注册号</w:t>
      </w:r>
      <w:r>
        <w:rPr>
          <w:rFonts w:ascii="Times New Roman" w:eastAsia="Times New Roman" w:hAnsi="Times New Roman" w:cs="Times New Roman"/>
          <w:color w:val="000000"/>
          <w:spacing w:val="0"/>
          <w:w w:val="100"/>
          <w:position w:val="0"/>
          <w:sz w:val="18"/>
          <w:szCs w:val="18"/>
        </w:rPr>
        <w:t>110000002700930</w:t>
      </w:r>
      <w:r>
        <w:rPr>
          <w:color w:val="000000"/>
          <w:spacing w:val="0"/>
          <w:w w:val="100"/>
          <w:position w:val="0"/>
        </w:rPr>
        <w:t>。</w:t>
      </w:r>
    </w:p>
    <w:p>
      <w:pPr>
        <w:pStyle w:val="Style41"/>
        <w:keepNext w:val="0"/>
        <w:keepLines w:val="0"/>
        <w:widowControl w:val="0"/>
        <w:shd w:val="clear" w:color="auto" w:fill="auto"/>
        <w:bidi w:val="0"/>
        <w:spacing w:before="0" w:after="0" w:line="468" w:lineRule="exact"/>
        <w:ind w:left="0" w:right="0"/>
        <w:jc w:val="both"/>
        <w:sectPr>
          <w:headerReference w:type="default" r:id="rId291"/>
          <w:footerReference w:type="default" r:id="rId292"/>
          <w:headerReference w:type="even" r:id="rId293"/>
          <w:footerReference w:type="even" r:id="rId294"/>
          <w:headerReference w:type="first" r:id="rId295"/>
          <w:footerReference w:type="first" r:id="rId296"/>
          <w:footnotePr>
            <w:pos w:val="pageBottom"/>
            <w:numFmt w:val="decimal"/>
            <w:numRestart w:val="continuous"/>
          </w:footnotePr>
          <w:pgSz w:w="11904" w:h="17375"/>
          <w:pgMar w:top="1675" w:right="1077" w:bottom="1664" w:left="1040" w:header="0" w:footer="3" w:gutter="0"/>
          <w:cols w:space="720"/>
          <w:noEndnote/>
          <w:titlePg/>
          <w:rtlGutter w:val="0"/>
          <w:docGrid w:linePitch="360"/>
        </w:sectPr>
      </w:pPr>
      <w:r>
        <w:rPr>
          <w:rFonts w:ascii="Times New Roman" w:eastAsia="Times New Roman" w:hAnsi="Times New Roman" w:cs="Times New Roman"/>
          <w:color w:val="000000"/>
          <w:spacing w:val="0"/>
          <w:w w:val="100"/>
          <w:position w:val="0"/>
          <w:sz w:val="18"/>
          <w:szCs w:val="18"/>
        </w:rPr>
        <w:t>2015</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8</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20</w:t>
      </w:r>
      <w:r>
        <w:rPr>
          <w:color w:val="000000"/>
          <w:spacing w:val="0"/>
          <w:w w:val="100"/>
          <w:position w:val="0"/>
        </w:rPr>
        <w:t>日，公司</w:t>
      </w:r>
      <w:r>
        <w:rPr>
          <w:rFonts w:ascii="Times New Roman" w:eastAsia="Times New Roman" w:hAnsi="Times New Roman" w:cs="Times New Roman"/>
          <w:color w:val="000000"/>
          <w:spacing w:val="0"/>
          <w:w w:val="100"/>
          <w:position w:val="0"/>
          <w:sz w:val="18"/>
          <w:szCs w:val="18"/>
        </w:rPr>
        <w:t>2015</w:t>
      </w:r>
      <w:r>
        <w:rPr>
          <w:color w:val="000000"/>
          <w:spacing w:val="0"/>
          <w:w w:val="100"/>
          <w:position w:val="0"/>
        </w:rPr>
        <w:t>年第四次临时股东大会审议通过了《关于修改</w:t>
      </w:r>
      <w:r>
        <w:rPr>
          <w:color w:val="000000"/>
          <w:spacing w:val="0"/>
          <w:w w:val="100"/>
          <w:position w:val="0"/>
          <w:sz w:val="18"/>
          <w:szCs w:val="18"/>
        </w:rPr>
        <w:t>〈</w:t>
      </w:r>
      <w:r>
        <w:rPr>
          <w:color w:val="000000"/>
          <w:spacing w:val="0"/>
          <w:w w:val="100"/>
          <w:position w:val="0"/>
        </w:rPr>
        <w:t>公司章程</w:t>
      </w:r>
      <w:r>
        <w:rPr>
          <w:color w:val="000000"/>
          <w:spacing w:val="0"/>
          <w:w w:val="100"/>
          <w:position w:val="0"/>
          <w:sz w:val="18"/>
          <w:szCs w:val="18"/>
        </w:rPr>
        <w:t>〉</w:t>
      </w:r>
      <w:r>
        <w:rPr>
          <w:color w:val="000000"/>
          <w:spacing w:val="0"/>
          <w:w w:val="100"/>
          <w:position w:val="0"/>
        </w:rPr>
        <w:t>的议案》，因根据公司《</w:t>
      </w:r>
      <w:r>
        <w:rPr>
          <w:rFonts w:ascii="Times New Roman" w:eastAsia="Times New Roman" w:hAnsi="Times New Roman" w:cs="Times New Roman"/>
          <w:color w:val="000000"/>
          <w:spacing w:val="0"/>
          <w:w w:val="100"/>
          <w:position w:val="0"/>
          <w:sz w:val="18"/>
          <w:szCs w:val="18"/>
        </w:rPr>
        <w:t>2014</w:t>
      </w:r>
      <w:r>
        <w:rPr>
          <w:color w:val="000000"/>
          <w:spacing w:val="0"/>
          <w:w w:val="100"/>
          <w:position w:val="0"/>
        </w:rPr>
        <w:t>年度 利润分配及转增股本预案》，以公司</w:t>
      </w:r>
      <w:r>
        <w:rPr>
          <w:rFonts w:ascii="Times New Roman" w:eastAsia="Times New Roman" w:hAnsi="Times New Roman" w:cs="Times New Roman"/>
          <w:color w:val="000000"/>
          <w:spacing w:val="0"/>
          <w:w w:val="100"/>
          <w:position w:val="0"/>
          <w:sz w:val="18"/>
          <w:szCs w:val="18"/>
        </w:rPr>
        <w:t>2015</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日总股本</w:t>
      </w:r>
      <w:r>
        <w:rPr>
          <w:rFonts w:ascii="Times New Roman" w:eastAsia="Times New Roman" w:hAnsi="Times New Roman" w:cs="Times New Roman"/>
          <w:color w:val="000000"/>
          <w:spacing w:val="0"/>
          <w:w w:val="100"/>
          <w:position w:val="0"/>
          <w:sz w:val="18"/>
          <w:szCs w:val="18"/>
        </w:rPr>
        <w:t>1,327,841,494</w:t>
      </w:r>
      <w:r>
        <w:rPr>
          <w:color w:val="000000"/>
          <w:spacing w:val="0"/>
          <w:w w:val="100"/>
          <w:position w:val="0"/>
        </w:rPr>
        <w:t>为基数，以资本公积金向全体股东每</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股转增</w:t>
      </w:r>
      <w:r>
        <w:rPr>
          <w:rFonts w:ascii="Times New Roman" w:eastAsia="Times New Roman" w:hAnsi="Times New Roman" w:cs="Times New Roman"/>
          <w:color w:val="000000"/>
          <w:spacing w:val="0"/>
          <w:w w:val="100"/>
          <w:position w:val="0"/>
          <w:sz w:val="18"/>
          <w:szCs w:val="18"/>
        </w:rPr>
        <w:t xml:space="preserve">5.020004 </w:t>
      </w:r>
      <w:r>
        <w:rPr>
          <w:color w:val="000000"/>
          <w:spacing w:val="0"/>
          <w:w w:val="100"/>
          <w:position w:val="0"/>
        </w:rPr>
        <w:t>股，以及因公司股权激励计划之股票期权行权而增加股份数、因李毅等承诺人应补偿的股份由上市公司注销减少股份数等原</w:t>
      </w:r>
    </w:p>
    <w:p>
      <w:pPr>
        <w:pStyle w:val="Style212"/>
        <w:keepNext w:val="0"/>
        <w:keepLines w:val="0"/>
        <w:widowControl w:val="0"/>
        <w:shd w:val="clear" w:color="auto" w:fill="auto"/>
        <w:bidi w:val="0"/>
        <w:spacing w:before="0" w:after="0" w:line="240" w:lineRule="auto"/>
        <w:ind w:left="0" w:right="0" w:firstLine="0"/>
        <w:jc w:val="left"/>
      </w:pPr>
      <w:r>
        <w:rPr>
          <w:spacing w:val="0"/>
          <w:w w:val="100"/>
          <w:position w:val="0"/>
        </w:rPr>
        <w:t>Ultrapoiuer</w:t>
      </w:r>
    </w:p>
    <w:p>
      <w:pPr>
        <w:pStyle w:val="Style41"/>
        <w:keepNext w:val="0"/>
        <w:keepLines w:val="0"/>
        <w:widowControl w:val="0"/>
        <w:pBdr>
          <w:top w:val="single" w:sz="4" w:space="0" w:color="auto"/>
        </w:pBdr>
        <w:shd w:val="clear" w:color="auto" w:fill="auto"/>
        <w:bidi w:val="0"/>
        <w:spacing w:before="0" w:after="0" w:line="466" w:lineRule="exact"/>
        <w:ind w:left="0" w:right="0" w:firstLine="820"/>
        <w:jc w:val="both"/>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 因，公司股份总数由</w:t>
      </w:r>
      <w:r>
        <w:rPr>
          <w:rFonts w:ascii="Times New Roman" w:eastAsia="Times New Roman" w:hAnsi="Times New Roman" w:cs="Times New Roman"/>
          <w:color w:val="000000"/>
          <w:spacing w:val="0"/>
          <w:w w:val="100"/>
          <w:position w:val="0"/>
          <w:sz w:val="18"/>
          <w:szCs w:val="18"/>
        </w:rPr>
        <w:t>1,323,268,087</w:t>
      </w:r>
      <w:r>
        <w:rPr>
          <w:color w:val="000000"/>
          <w:spacing w:val="0"/>
          <w:w w:val="100"/>
          <w:position w:val="0"/>
        </w:rPr>
        <w:t>股变更为</w:t>
      </w:r>
      <w:r>
        <w:rPr>
          <w:rFonts w:ascii="Times New Roman" w:eastAsia="Times New Roman" w:hAnsi="Times New Roman" w:cs="Times New Roman"/>
          <w:color w:val="000000"/>
          <w:spacing w:val="0"/>
          <w:w w:val="100"/>
          <w:position w:val="0"/>
          <w:sz w:val="18"/>
          <w:szCs w:val="18"/>
        </w:rPr>
        <w:t>1,986,470,666</w:t>
      </w:r>
      <w:r>
        <w:rPr>
          <w:color w:val="000000"/>
          <w:spacing w:val="0"/>
          <w:w w:val="100"/>
          <w:position w:val="0"/>
        </w:rPr>
        <w:t>股，注册资本由人民币</w:t>
      </w:r>
      <w:r>
        <w:rPr>
          <w:rFonts w:ascii="Times New Roman" w:eastAsia="Times New Roman" w:hAnsi="Times New Roman" w:cs="Times New Roman"/>
          <w:color w:val="000000"/>
          <w:spacing w:val="0"/>
          <w:w w:val="100"/>
          <w:position w:val="0"/>
          <w:sz w:val="18"/>
          <w:szCs w:val="18"/>
        </w:rPr>
        <w:t>1,323,268,087.00</w:t>
      </w:r>
      <w:r>
        <w:rPr>
          <w:color w:val="000000"/>
          <w:spacing w:val="0"/>
          <w:w w:val="100"/>
          <w:position w:val="0"/>
        </w:rPr>
        <w:t xml:space="preserve">元变更为人民币 </w:t>
      </w:r>
      <w:r>
        <w:rPr>
          <w:rFonts w:ascii="Times New Roman" w:eastAsia="Times New Roman" w:hAnsi="Times New Roman" w:cs="Times New Roman"/>
          <w:color w:val="000000"/>
          <w:spacing w:val="0"/>
          <w:w w:val="100"/>
          <w:position w:val="0"/>
          <w:sz w:val="18"/>
          <w:szCs w:val="18"/>
        </w:rPr>
        <w:t>1,986,470,666.0</w:t>
      </w:r>
      <w:r>
        <w:rPr>
          <w:rFonts w:ascii="Times New Roman" w:eastAsia="Times New Roman" w:hAnsi="Times New Roman" w:cs="Times New Roman"/>
          <w:color w:val="000000"/>
          <w:spacing w:val="0"/>
          <w:w w:val="100"/>
          <w:position w:val="0"/>
          <w:sz w:val="18"/>
          <w:szCs w:val="18"/>
        </w:rPr>
        <w:t>0</w:t>
      </w:r>
      <w:r>
        <w:rPr>
          <w:color w:val="000000"/>
          <w:spacing w:val="0"/>
          <w:w w:val="100"/>
          <w:position w:val="0"/>
        </w:rPr>
        <w:t>元。</w:t>
      </w:r>
      <w:r>
        <w:rPr>
          <w:rFonts w:ascii="Times New Roman" w:eastAsia="Times New Roman" w:hAnsi="Times New Roman" w:cs="Times New Roman"/>
          <w:color w:val="000000"/>
          <w:spacing w:val="0"/>
          <w:w w:val="100"/>
          <w:position w:val="0"/>
          <w:sz w:val="18"/>
          <w:szCs w:val="18"/>
        </w:rPr>
        <w:t>2015</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9</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日，由北京市工商行政管理局换发企业法人营业执照，注册号</w:t>
      </w:r>
      <w:r>
        <w:rPr>
          <w:rFonts w:ascii="Times New Roman" w:eastAsia="Times New Roman" w:hAnsi="Times New Roman" w:cs="Times New Roman"/>
          <w:color w:val="000000"/>
          <w:spacing w:val="0"/>
          <w:w w:val="100"/>
          <w:position w:val="0"/>
          <w:sz w:val="18"/>
          <w:szCs w:val="18"/>
        </w:rPr>
        <w:t>110000002700930</w:t>
      </w:r>
      <w:r>
        <w:rPr>
          <w:color w:val="000000"/>
          <w:spacing w:val="0"/>
          <w:w w:val="100"/>
          <w:position w:val="0"/>
        </w:rPr>
        <w:t>。</w:t>
      </w:r>
    </w:p>
    <w:p>
      <w:pPr>
        <w:pStyle w:val="Style41"/>
        <w:keepNext w:val="0"/>
        <w:keepLines w:val="0"/>
        <w:widowControl w:val="0"/>
        <w:shd w:val="clear" w:color="auto" w:fill="auto"/>
        <w:bidi w:val="0"/>
        <w:spacing w:before="0" w:after="0" w:line="466" w:lineRule="exact"/>
        <w:ind w:left="0" w:right="0"/>
        <w:jc w:val="both"/>
      </w:pPr>
      <w:r>
        <w:rPr>
          <w:rFonts w:ascii="Times New Roman" w:eastAsia="Times New Roman" w:hAnsi="Times New Roman" w:cs="Times New Roman"/>
          <w:color w:val="000000"/>
          <w:spacing w:val="0"/>
          <w:w w:val="100"/>
          <w:position w:val="0"/>
          <w:sz w:val="18"/>
          <w:szCs w:val="18"/>
        </w:rPr>
        <w:t>2016</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6</w:t>
      </w:r>
      <w:r>
        <w:rPr>
          <w:color w:val="000000"/>
          <w:spacing w:val="0"/>
          <w:w w:val="100"/>
          <w:position w:val="0"/>
        </w:rPr>
        <w:t>日，公司</w:t>
      </w:r>
      <w:r>
        <w:rPr>
          <w:rFonts w:ascii="Times New Roman" w:eastAsia="Times New Roman" w:hAnsi="Times New Roman" w:cs="Times New Roman"/>
          <w:color w:val="000000"/>
          <w:spacing w:val="0"/>
          <w:w w:val="100"/>
          <w:position w:val="0"/>
          <w:sz w:val="18"/>
          <w:szCs w:val="18"/>
        </w:rPr>
        <w:t>2016</w:t>
      </w:r>
      <w:r>
        <w:rPr>
          <w:color w:val="000000"/>
          <w:spacing w:val="0"/>
          <w:w w:val="100"/>
          <w:position w:val="0"/>
        </w:rPr>
        <w:t>年第一次临时股东大会审议通过了《关于修改</w:t>
      </w:r>
      <w:r>
        <w:rPr>
          <w:color w:val="000000"/>
          <w:spacing w:val="0"/>
          <w:w w:val="100"/>
          <w:position w:val="0"/>
          <w:sz w:val="18"/>
          <w:szCs w:val="18"/>
        </w:rPr>
        <w:t>〈</w:t>
      </w:r>
      <w:r>
        <w:rPr>
          <w:color w:val="000000"/>
          <w:spacing w:val="0"/>
          <w:w w:val="100"/>
          <w:position w:val="0"/>
        </w:rPr>
        <w:t>公司章程</w:t>
      </w:r>
      <w:r>
        <w:rPr>
          <w:color w:val="000000"/>
          <w:spacing w:val="0"/>
          <w:w w:val="100"/>
          <w:position w:val="0"/>
          <w:sz w:val="18"/>
          <w:szCs w:val="18"/>
        </w:rPr>
        <w:t>〉</w:t>
      </w:r>
      <w:r>
        <w:rPr>
          <w:color w:val="000000"/>
          <w:spacing w:val="0"/>
          <w:w w:val="100"/>
          <w:position w:val="0"/>
        </w:rPr>
        <w:t>的议案》，因公司股权激励计划激 励对象自主行权、回购注销不符合激励条件的原激励对象已获授的限制性股票等原因，公司股份总数由</w:t>
      </w:r>
      <w:r>
        <w:rPr>
          <w:rFonts w:ascii="Times New Roman" w:eastAsia="Times New Roman" w:hAnsi="Times New Roman" w:cs="Times New Roman"/>
          <w:color w:val="000000"/>
          <w:spacing w:val="0"/>
          <w:w w:val="100"/>
          <w:position w:val="0"/>
          <w:sz w:val="18"/>
          <w:szCs w:val="18"/>
        </w:rPr>
        <w:t>1,986,470,666</w:t>
      </w:r>
      <w:r>
        <w:rPr>
          <w:color w:val="000000"/>
          <w:spacing w:val="0"/>
          <w:w w:val="100"/>
          <w:position w:val="0"/>
        </w:rPr>
        <w:t>股变更 为</w:t>
      </w:r>
      <w:r>
        <w:rPr>
          <w:rFonts w:ascii="Times New Roman" w:eastAsia="Times New Roman" w:hAnsi="Times New Roman" w:cs="Times New Roman"/>
          <w:color w:val="000000"/>
          <w:spacing w:val="0"/>
          <w:w w:val="100"/>
          <w:position w:val="0"/>
          <w:sz w:val="18"/>
          <w:szCs w:val="18"/>
        </w:rPr>
        <w:t>1,993,382,320</w:t>
      </w:r>
      <w:r>
        <w:rPr>
          <w:color w:val="000000"/>
          <w:spacing w:val="0"/>
          <w:w w:val="100"/>
          <w:position w:val="0"/>
        </w:rPr>
        <w:t>股，注册资本由人民币</w:t>
      </w:r>
      <w:r>
        <w:rPr>
          <w:rFonts w:ascii="Times New Roman" w:eastAsia="Times New Roman" w:hAnsi="Times New Roman" w:cs="Times New Roman"/>
          <w:color w:val="000000"/>
          <w:spacing w:val="0"/>
          <w:w w:val="100"/>
          <w:position w:val="0"/>
          <w:sz w:val="18"/>
          <w:szCs w:val="18"/>
        </w:rPr>
        <w:t>1,986,470,666.00</w:t>
      </w:r>
      <w:r>
        <w:rPr>
          <w:color w:val="000000"/>
          <w:spacing w:val="0"/>
          <w:w w:val="100"/>
          <w:position w:val="0"/>
        </w:rPr>
        <w:t>元变更为人民币</w:t>
      </w:r>
      <w:r>
        <w:rPr>
          <w:rFonts w:ascii="Times New Roman" w:eastAsia="Times New Roman" w:hAnsi="Times New Roman" w:cs="Times New Roman"/>
          <w:color w:val="000000"/>
          <w:spacing w:val="0"/>
          <w:w w:val="100"/>
          <w:position w:val="0"/>
          <w:sz w:val="18"/>
          <w:szCs w:val="18"/>
        </w:rPr>
        <w:t>1,993,382,320.00</w:t>
      </w:r>
      <w:r>
        <w:rPr>
          <w:color w:val="000000"/>
          <w:spacing w:val="0"/>
          <w:w w:val="100"/>
          <w:position w:val="0"/>
        </w:rPr>
        <w:t>元。</w:t>
      </w:r>
      <w:r>
        <w:rPr>
          <w:rFonts w:ascii="Times New Roman" w:eastAsia="Times New Roman" w:hAnsi="Times New Roman" w:cs="Times New Roman"/>
          <w:color w:val="000000"/>
          <w:spacing w:val="0"/>
          <w:w w:val="100"/>
          <w:position w:val="0"/>
          <w:sz w:val="18"/>
          <w:szCs w:val="18"/>
        </w:rPr>
        <w:t>2016</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日，由北京市工商行 政管理局换发企业法人营业执照，统一社会信用代码</w:t>
      </w:r>
      <w:r>
        <w:rPr>
          <w:rFonts w:ascii="Times New Roman" w:eastAsia="Times New Roman" w:hAnsi="Times New Roman" w:cs="Times New Roman"/>
          <w:color w:val="000000"/>
          <w:spacing w:val="0"/>
          <w:w w:val="100"/>
          <w:position w:val="0"/>
          <w:sz w:val="18"/>
          <w:szCs w:val="18"/>
        </w:rPr>
        <w:t>91110000802090167W</w:t>
      </w:r>
      <w:r>
        <w:rPr>
          <w:color w:val="000000"/>
          <w:spacing w:val="0"/>
          <w:w w:val="100"/>
          <w:position w:val="0"/>
        </w:rPr>
        <w:t>。</w:t>
      </w:r>
    </w:p>
    <w:p>
      <w:pPr>
        <w:pStyle w:val="Style41"/>
        <w:keepNext w:val="0"/>
        <w:keepLines w:val="0"/>
        <w:widowControl w:val="0"/>
        <w:shd w:val="clear" w:color="auto" w:fill="auto"/>
        <w:bidi w:val="0"/>
        <w:spacing w:before="0" w:after="0" w:line="466" w:lineRule="exact"/>
        <w:ind w:left="0" w:right="0"/>
        <w:jc w:val="both"/>
      </w:pPr>
      <w:r>
        <w:rPr>
          <w:rFonts w:ascii="Times New Roman" w:eastAsia="Times New Roman" w:hAnsi="Times New Roman" w:cs="Times New Roman"/>
          <w:color w:val="000000"/>
          <w:spacing w:val="0"/>
          <w:w w:val="100"/>
          <w:position w:val="0"/>
          <w:sz w:val="18"/>
          <w:szCs w:val="18"/>
        </w:rPr>
        <w:t>2016</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6</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22</w:t>
      </w:r>
      <w:r>
        <w:rPr>
          <w:color w:val="000000"/>
          <w:spacing w:val="0"/>
          <w:w w:val="100"/>
          <w:position w:val="0"/>
        </w:rPr>
        <w:t>日，公司</w:t>
      </w:r>
      <w:r>
        <w:rPr>
          <w:rFonts w:ascii="Times New Roman" w:eastAsia="Times New Roman" w:hAnsi="Times New Roman" w:cs="Times New Roman"/>
          <w:color w:val="000000"/>
          <w:spacing w:val="0"/>
          <w:w w:val="100"/>
          <w:position w:val="0"/>
          <w:sz w:val="18"/>
          <w:szCs w:val="18"/>
        </w:rPr>
        <w:t>2016</w:t>
      </w:r>
      <w:r>
        <w:rPr>
          <w:color w:val="000000"/>
          <w:spacing w:val="0"/>
          <w:w w:val="100"/>
          <w:position w:val="0"/>
        </w:rPr>
        <w:t>年第四次临时股东大会审议通过了《关于修改</w:t>
      </w:r>
      <w:r>
        <w:rPr>
          <w:color w:val="000000"/>
          <w:spacing w:val="0"/>
          <w:w w:val="100"/>
          <w:position w:val="0"/>
          <w:sz w:val="18"/>
          <w:szCs w:val="18"/>
        </w:rPr>
        <w:t>〈</w:t>
      </w:r>
      <w:r>
        <w:rPr>
          <w:color w:val="000000"/>
          <w:spacing w:val="0"/>
          <w:w w:val="100"/>
          <w:position w:val="0"/>
        </w:rPr>
        <w:t>公司章程</w:t>
      </w:r>
      <w:r>
        <w:rPr>
          <w:color w:val="000000"/>
          <w:spacing w:val="0"/>
          <w:w w:val="100"/>
          <w:position w:val="0"/>
          <w:sz w:val="18"/>
          <w:szCs w:val="18"/>
        </w:rPr>
        <w:t>〉</w:t>
      </w:r>
      <w:r>
        <w:rPr>
          <w:color w:val="000000"/>
          <w:spacing w:val="0"/>
          <w:w w:val="100"/>
          <w:position w:val="0"/>
        </w:rPr>
        <w:t>的议案》，因公司股权激励计划第 三期激励对象自主行权，公司总股本增加</w:t>
      </w:r>
      <w:r>
        <w:rPr>
          <w:rFonts w:ascii="Times New Roman" w:eastAsia="Times New Roman" w:hAnsi="Times New Roman" w:cs="Times New Roman"/>
          <w:color w:val="000000"/>
          <w:spacing w:val="0"/>
          <w:w w:val="100"/>
          <w:position w:val="0"/>
          <w:sz w:val="18"/>
          <w:szCs w:val="18"/>
        </w:rPr>
        <w:t>2,605,548</w:t>
      </w:r>
      <w:r>
        <w:rPr>
          <w:color w:val="000000"/>
          <w:spacing w:val="0"/>
          <w:w w:val="100"/>
          <w:position w:val="0"/>
        </w:rPr>
        <w:t>股；回购注销已不符合激励条件的原激励对象已获授的限制性股票，公司 总股本减少</w:t>
      </w:r>
      <w:r>
        <w:rPr>
          <w:rFonts w:ascii="Times New Roman" w:eastAsia="Times New Roman" w:hAnsi="Times New Roman" w:cs="Times New Roman"/>
          <w:color w:val="000000"/>
          <w:spacing w:val="0"/>
          <w:w w:val="100"/>
          <w:position w:val="0"/>
          <w:sz w:val="18"/>
          <w:szCs w:val="18"/>
        </w:rPr>
        <w:t>5,371,294</w:t>
      </w:r>
      <w:r>
        <w:rPr>
          <w:color w:val="000000"/>
          <w:spacing w:val="0"/>
          <w:w w:val="100"/>
          <w:position w:val="0"/>
        </w:rPr>
        <w:t>股；公司发行股份及支付现金购买资产业绩补偿股票回购注销，公司总股本减少</w:t>
      </w:r>
      <w:r>
        <w:rPr>
          <w:rFonts w:ascii="Times New Roman" w:eastAsia="Times New Roman" w:hAnsi="Times New Roman" w:cs="Times New Roman"/>
          <w:color w:val="000000"/>
          <w:spacing w:val="0"/>
          <w:w w:val="100"/>
          <w:position w:val="0"/>
          <w:sz w:val="18"/>
          <w:szCs w:val="18"/>
        </w:rPr>
        <w:t>29,524,590</w:t>
      </w:r>
      <w:r>
        <w:rPr>
          <w:color w:val="000000"/>
          <w:spacing w:val="0"/>
          <w:w w:val="100"/>
          <w:position w:val="0"/>
        </w:rPr>
        <w:t>股。公司股 份总数由</w:t>
      </w:r>
      <w:r>
        <w:rPr>
          <w:rFonts w:ascii="Times New Roman" w:eastAsia="Times New Roman" w:hAnsi="Times New Roman" w:cs="Times New Roman"/>
          <w:color w:val="000000"/>
          <w:spacing w:val="0"/>
          <w:w w:val="100"/>
          <w:position w:val="0"/>
          <w:sz w:val="18"/>
          <w:szCs w:val="18"/>
        </w:rPr>
        <w:t>1,993,382,320</w:t>
      </w:r>
      <w:r>
        <w:rPr>
          <w:color w:val="000000"/>
          <w:spacing w:val="0"/>
          <w:w w:val="100"/>
          <w:position w:val="0"/>
        </w:rPr>
        <w:t>股变更为</w:t>
      </w:r>
      <w:r>
        <w:rPr>
          <w:rFonts w:ascii="Times New Roman" w:eastAsia="Times New Roman" w:hAnsi="Times New Roman" w:cs="Times New Roman"/>
          <w:color w:val="000000"/>
          <w:spacing w:val="0"/>
          <w:w w:val="100"/>
          <w:position w:val="0"/>
          <w:sz w:val="18"/>
          <w:szCs w:val="18"/>
        </w:rPr>
        <w:t>1,961,091,984</w:t>
      </w:r>
      <w:r>
        <w:rPr>
          <w:color w:val="000000"/>
          <w:spacing w:val="0"/>
          <w:w w:val="100"/>
          <w:position w:val="0"/>
        </w:rPr>
        <w:t>股，注册资本由人民币</w:t>
      </w:r>
      <w:r>
        <w:rPr>
          <w:rFonts w:ascii="Times New Roman" w:eastAsia="Times New Roman" w:hAnsi="Times New Roman" w:cs="Times New Roman"/>
          <w:color w:val="000000"/>
          <w:spacing w:val="0"/>
          <w:w w:val="100"/>
          <w:position w:val="0"/>
          <w:sz w:val="18"/>
          <w:szCs w:val="18"/>
        </w:rPr>
        <w:t>1,993,382,320.00</w:t>
      </w:r>
      <w:r>
        <w:rPr>
          <w:color w:val="000000"/>
          <w:spacing w:val="0"/>
          <w:w w:val="100"/>
          <w:position w:val="0"/>
        </w:rPr>
        <w:t>元变更为人民币</w:t>
      </w:r>
      <w:r>
        <w:rPr>
          <w:rFonts w:ascii="Times New Roman" w:eastAsia="Times New Roman" w:hAnsi="Times New Roman" w:cs="Times New Roman"/>
          <w:color w:val="000000"/>
          <w:spacing w:val="0"/>
          <w:w w:val="100"/>
          <w:position w:val="0"/>
          <w:sz w:val="18"/>
          <w:szCs w:val="18"/>
        </w:rPr>
        <w:t>1,961,091,984.00</w:t>
      </w:r>
      <w:r>
        <w:rPr>
          <w:color w:val="000000"/>
          <w:spacing w:val="0"/>
          <w:w w:val="100"/>
          <w:position w:val="0"/>
        </w:rPr>
        <w:t>元。</w:t>
      </w:r>
      <w:r>
        <w:rPr>
          <w:rFonts w:ascii="Times New Roman" w:eastAsia="Times New Roman" w:hAnsi="Times New Roman" w:cs="Times New Roman"/>
          <w:color w:val="000000"/>
          <w:spacing w:val="0"/>
          <w:w w:val="100"/>
          <w:position w:val="0"/>
          <w:sz w:val="18"/>
          <w:szCs w:val="18"/>
        </w:rPr>
        <w:t xml:space="preserve">2016 </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6</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30</w:t>
      </w:r>
      <w:r>
        <w:rPr>
          <w:color w:val="000000"/>
          <w:spacing w:val="0"/>
          <w:w w:val="100"/>
          <w:position w:val="0"/>
        </w:rPr>
        <w:t>日，由北京市工商行政管理局换发企业法人营业执照，统一社会信用代码</w:t>
      </w:r>
      <w:r>
        <w:rPr>
          <w:rFonts w:ascii="Times New Roman" w:eastAsia="Times New Roman" w:hAnsi="Times New Roman" w:cs="Times New Roman"/>
          <w:color w:val="000000"/>
          <w:spacing w:val="0"/>
          <w:w w:val="100"/>
          <w:position w:val="0"/>
          <w:sz w:val="18"/>
          <w:szCs w:val="18"/>
        </w:rPr>
        <w:t>91110000802090167W</w:t>
      </w:r>
      <w:r>
        <w:rPr>
          <w:color w:val="000000"/>
          <w:spacing w:val="0"/>
          <w:w w:val="100"/>
          <w:position w:val="0"/>
        </w:rPr>
        <w:t>。</w:t>
      </w:r>
    </w:p>
    <w:p>
      <w:pPr>
        <w:pStyle w:val="Style222"/>
        <w:keepNext w:val="0"/>
        <w:keepLines w:val="0"/>
        <w:widowControl w:val="0"/>
        <w:shd w:val="clear" w:color="auto" w:fill="auto"/>
        <w:bidi w:val="0"/>
        <w:spacing w:before="0" w:after="0" w:line="466" w:lineRule="exact"/>
        <w:ind w:left="0" w:right="0"/>
        <w:jc w:val="left"/>
        <w:rPr>
          <w:sz w:val="17"/>
          <w:szCs w:val="17"/>
        </w:rPr>
      </w:pPr>
      <w:r>
        <w:rPr>
          <w:rFonts w:ascii="SimSun" w:eastAsia="SimSun" w:hAnsi="SimSun" w:cs="SimSun"/>
          <w:color w:val="000000"/>
          <w:spacing w:val="0"/>
          <w:w w:val="100"/>
          <w:position w:val="0"/>
          <w:sz w:val="17"/>
          <w:szCs w:val="17"/>
        </w:rPr>
        <w:t>截至</w:t>
      </w:r>
      <w:r>
        <w:rPr>
          <w:color w:val="000000"/>
          <w:spacing w:val="0"/>
          <w:w w:val="100"/>
          <w:position w:val="0"/>
          <w:sz w:val="18"/>
          <w:szCs w:val="18"/>
        </w:rPr>
        <w:t>2020</w:t>
      </w:r>
      <w:r>
        <w:rPr>
          <w:rFonts w:ascii="SimSun" w:eastAsia="SimSun" w:hAnsi="SimSun" w:cs="SimSun"/>
          <w:color w:val="000000"/>
          <w:spacing w:val="0"/>
          <w:w w:val="100"/>
          <w:position w:val="0"/>
          <w:sz w:val="17"/>
          <w:szCs w:val="17"/>
        </w:rPr>
        <w:t>年</w:t>
      </w:r>
      <w:r>
        <w:rPr>
          <w:color w:val="000000"/>
          <w:spacing w:val="0"/>
          <w:w w:val="100"/>
          <w:position w:val="0"/>
          <w:sz w:val="18"/>
          <w:szCs w:val="18"/>
        </w:rPr>
        <w:t>12</w:t>
      </w:r>
      <w:r>
        <w:rPr>
          <w:rFonts w:ascii="SimSun" w:eastAsia="SimSun" w:hAnsi="SimSun" w:cs="SimSun"/>
          <w:color w:val="000000"/>
          <w:spacing w:val="0"/>
          <w:w w:val="100"/>
          <w:position w:val="0"/>
          <w:sz w:val="17"/>
          <w:szCs w:val="17"/>
        </w:rPr>
        <w:t>月</w:t>
      </w:r>
      <w:r>
        <w:rPr>
          <w:color w:val="000000"/>
          <w:spacing w:val="0"/>
          <w:w w:val="100"/>
          <w:position w:val="0"/>
          <w:sz w:val="18"/>
          <w:szCs w:val="18"/>
        </w:rPr>
        <w:t>31</w:t>
      </w:r>
      <w:r>
        <w:rPr>
          <w:rFonts w:ascii="SimSun" w:eastAsia="SimSun" w:hAnsi="SimSun" w:cs="SimSun"/>
          <w:color w:val="000000"/>
          <w:spacing w:val="0"/>
          <w:w w:val="100"/>
          <w:position w:val="0"/>
          <w:sz w:val="17"/>
          <w:szCs w:val="17"/>
        </w:rPr>
        <w:t>日止，本公司累计发行股本总数</w:t>
      </w:r>
      <w:r>
        <w:rPr>
          <w:color w:val="000000"/>
          <w:spacing w:val="0"/>
          <w:w w:val="100"/>
          <w:position w:val="0"/>
          <w:sz w:val="18"/>
          <w:szCs w:val="18"/>
        </w:rPr>
        <w:t>1,961,091,984</w:t>
      </w:r>
      <w:r>
        <w:rPr>
          <w:rFonts w:ascii="SimSun" w:eastAsia="SimSun" w:hAnsi="SimSun" w:cs="SimSun"/>
          <w:color w:val="000000"/>
          <w:spacing w:val="0"/>
          <w:w w:val="100"/>
          <w:position w:val="0"/>
          <w:sz w:val="17"/>
          <w:szCs w:val="17"/>
        </w:rPr>
        <w:t>股，注册资本为</w:t>
      </w:r>
      <w:r>
        <w:rPr>
          <w:color w:val="000000"/>
          <w:spacing w:val="0"/>
          <w:w w:val="100"/>
          <w:position w:val="0"/>
          <w:sz w:val="18"/>
          <w:szCs w:val="18"/>
        </w:rPr>
        <w:t>1,961,091,984.00</w:t>
      </w:r>
      <w:r>
        <w:rPr>
          <w:rFonts w:ascii="SimSun" w:eastAsia="SimSun" w:hAnsi="SimSun" w:cs="SimSun"/>
          <w:color w:val="000000"/>
          <w:spacing w:val="0"/>
          <w:w w:val="100"/>
          <w:position w:val="0"/>
          <w:sz w:val="17"/>
          <w:szCs w:val="17"/>
        </w:rPr>
        <w:t>元。</w:t>
      </w:r>
    </w:p>
    <w:p>
      <w:pPr>
        <w:pStyle w:val="Style41"/>
        <w:keepNext w:val="0"/>
        <w:keepLines w:val="0"/>
        <w:widowControl w:val="0"/>
        <w:shd w:val="clear" w:color="auto" w:fill="auto"/>
        <w:bidi w:val="0"/>
        <w:spacing w:before="0" w:after="0" w:line="466" w:lineRule="exact"/>
        <w:ind w:left="0" w:right="0"/>
        <w:jc w:val="left"/>
      </w:pPr>
      <w:r>
        <w:rPr>
          <w:color w:val="000000"/>
          <w:spacing w:val="0"/>
          <w:w w:val="100"/>
          <w:position w:val="0"/>
        </w:rPr>
        <w:t>截至</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日止，公司本报告期累计回购股份数量为</w:t>
      </w:r>
      <w:r>
        <w:rPr>
          <w:rFonts w:ascii="Times New Roman" w:eastAsia="Times New Roman" w:hAnsi="Times New Roman" w:cs="Times New Roman"/>
          <w:color w:val="000000"/>
          <w:spacing w:val="0"/>
          <w:w w:val="100"/>
          <w:position w:val="0"/>
          <w:sz w:val="18"/>
          <w:szCs w:val="18"/>
        </w:rPr>
        <w:t>25,947,942</w:t>
      </w:r>
      <w:r>
        <w:rPr>
          <w:color w:val="000000"/>
          <w:spacing w:val="0"/>
          <w:w w:val="100"/>
          <w:position w:val="0"/>
        </w:rPr>
        <w:t>股，占公司总股本的</w:t>
      </w:r>
      <w:r>
        <w:rPr>
          <w:rFonts w:ascii="Times New Roman" w:eastAsia="Times New Roman" w:hAnsi="Times New Roman" w:cs="Times New Roman"/>
          <w:color w:val="000000"/>
          <w:spacing w:val="0"/>
          <w:w w:val="100"/>
          <w:position w:val="0"/>
          <w:sz w:val="18"/>
          <w:szCs w:val="18"/>
        </w:rPr>
        <w:t>1.32%</w:t>
      </w:r>
      <w:r>
        <w:rPr>
          <w:color w:val="000000"/>
          <w:spacing w:val="0"/>
          <w:w w:val="100"/>
          <w:position w:val="0"/>
        </w:rPr>
        <w:t>,最高成交价</w:t>
      </w:r>
      <w:r>
        <w:rPr>
          <w:rFonts w:ascii="Times New Roman" w:eastAsia="Times New Roman" w:hAnsi="Times New Roman" w:cs="Times New Roman"/>
          <w:color w:val="000000"/>
          <w:spacing w:val="0"/>
          <w:w w:val="100"/>
          <w:position w:val="0"/>
          <w:sz w:val="18"/>
          <w:szCs w:val="18"/>
        </w:rPr>
        <w:t>4.31</w:t>
      </w:r>
      <w:r>
        <w:rPr>
          <w:i/>
          <w:iCs/>
          <w:color w:val="000000"/>
          <w:spacing w:val="0"/>
          <w:w w:val="100"/>
          <w:position w:val="0"/>
          <w:sz w:val="18"/>
          <w:szCs w:val="18"/>
        </w:rPr>
        <w:t xml:space="preserve">元/ </w:t>
      </w:r>
      <w:r>
        <w:rPr>
          <w:color w:val="000000"/>
          <w:spacing w:val="0"/>
          <w:w w:val="100"/>
          <w:position w:val="0"/>
        </w:rPr>
        <w:t>股，最低成交价为</w:t>
      </w:r>
      <w:r>
        <w:rPr>
          <w:rFonts w:ascii="Times New Roman" w:eastAsia="Times New Roman" w:hAnsi="Times New Roman" w:cs="Times New Roman"/>
          <w:color w:val="000000"/>
          <w:spacing w:val="0"/>
          <w:w w:val="100"/>
          <w:position w:val="0"/>
          <w:sz w:val="18"/>
          <w:szCs w:val="18"/>
        </w:rPr>
        <w:t>3.45</w:t>
      </w:r>
      <w:r>
        <w:rPr>
          <w:color w:val="000000"/>
          <w:spacing w:val="0"/>
          <w:w w:val="100"/>
          <w:position w:val="0"/>
        </w:rPr>
        <w:t>元</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股，支付的总金额为</w:t>
      </w:r>
      <w:r>
        <w:rPr>
          <w:rFonts w:ascii="Times New Roman" w:eastAsia="Times New Roman" w:hAnsi="Times New Roman" w:cs="Times New Roman"/>
          <w:color w:val="000000"/>
          <w:spacing w:val="0"/>
          <w:w w:val="100"/>
          <w:position w:val="0"/>
          <w:sz w:val="18"/>
          <w:szCs w:val="18"/>
        </w:rPr>
        <w:t>100,973,450.64</w:t>
      </w:r>
      <w:r>
        <w:rPr>
          <w:color w:val="000000"/>
          <w:spacing w:val="0"/>
          <w:w w:val="100"/>
          <w:position w:val="0"/>
        </w:rPr>
        <w:t>元（不含交易费用）。</w:t>
      </w:r>
    </w:p>
    <w:p>
      <w:pPr>
        <w:pStyle w:val="Style41"/>
        <w:keepNext w:val="0"/>
        <w:keepLines w:val="0"/>
        <w:widowControl w:val="0"/>
        <w:shd w:val="clear" w:color="auto" w:fill="auto"/>
        <w:bidi w:val="0"/>
        <w:spacing w:before="0" w:after="0" w:line="466" w:lineRule="exact"/>
        <w:ind w:left="0" w:right="0"/>
        <w:jc w:val="left"/>
      </w:pPr>
      <w:r>
        <w:rPr>
          <w:color w:val="000000"/>
          <w:spacing w:val="0"/>
          <w:w w:val="100"/>
          <w:position w:val="0"/>
        </w:rPr>
        <w:t>本公司所处行业：计算机应用服务业。</w:t>
      </w:r>
    </w:p>
    <w:p>
      <w:pPr>
        <w:pStyle w:val="Style41"/>
        <w:keepNext w:val="0"/>
        <w:keepLines w:val="0"/>
        <w:widowControl w:val="0"/>
        <w:shd w:val="clear" w:color="auto" w:fill="auto"/>
        <w:bidi w:val="0"/>
        <w:spacing w:before="0" w:after="0" w:line="466" w:lineRule="exact"/>
        <w:ind w:left="0" w:right="0"/>
        <w:jc w:val="left"/>
      </w:pPr>
      <w:r>
        <w:rPr>
          <w:color w:val="000000"/>
          <w:spacing w:val="0"/>
          <w:w w:val="100"/>
          <w:position w:val="0"/>
        </w:rPr>
        <w:t>公司经营范围：计算机软硬件、网络综合管理及网络系统集成、通讯设备领域的技术开发、技术服务、技术转让、技术 培训、技术推广；软件开发；软件咨询；应用软件服务；电子信息技术咨询（中介除外）；委托生产通讯设备；数据处理（数 据处理中的银行卡中心、</w:t>
      </w:r>
      <w:r>
        <w:rPr>
          <w:rFonts w:ascii="Times New Roman" w:eastAsia="Times New Roman" w:hAnsi="Times New Roman" w:cs="Times New Roman"/>
          <w:color w:val="000000"/>
          <w:spacing w:val="0"/>
          <w:w w:val="100"/>
          <w:position w:val="0"/>
          <w:sz w:val="18"/>
          <w:szCs w:val="18"/>
        </w:rPr>
        <w:t>PUE</w:t>
      </w:r>
      <w:r>
        <w:rPr>
          <w:color w:val="000000"/>
          <w:spacing w:val="0"/>
          <w:w w:val="100"/>
          <w:position w:val="0"/>
        </w:rPr>
        <w:t>值在</w:t>
      </w:r>
      <w:r>
        <w:rPr>
          <w:rFonts w:ascii="Times New Roman" w:eastAsia="Times New Roman" w:hAnsi="Times New Roman" w:cs="Times New Roman"/>
          <w:color w:val="000000"/>
          <w:spacing w:val="0"/>
          <w:w w:val="100"/>
          <w:position w:val="0"/>
          <w:sz w:val="18"/>
          <w:szCs w:val="18"/>
        </w:rPr>
        <w:t>1.4</w:t>
      </w:r>
      <w:r>
        <w:rPr>
          <w:color w:val="000000"/>
          <w:spacing w:val="0"/>
          <w:w w:val="100"/>
          <w:position w:val="0"/>
        </w:rPr>
        <w:t>以上的云计算数据中心除外）；销售计算机、软件及辅助设备、通讯设备、家用电器、 电子产品、安全技术防范产品；电子信息技术系统工程设计；通讯设备售后服务；技术进出口、代理进出口、货物进出口； 出租办公用房；第一类增值电信业务中的互联网接入服务业务、互联网数据中心业务；互联网信息服务。（企业依法自主选 择经营项目，开展经营活动；互联网信息服务以及依法须经批准的项目，经相关部门批准后依批准的内容开展经营活动；不 得从事本市产业政策禁止和限制类项目的经营活动。）</w:t>
      </w:r>
    </w:p>
    <w:p>
      <w:pPr>
        <w:pStyle w:val="Style41"/>
        <w:keepNext w:val="0"/>
        <w:keepLines w:val="0"/>
        <w:widowControl w:val="0"/>
        <w:shd w:val="clear" w:color="auto" w:fill="auto"/>
        <w:bidi w:val="0"/>
        <w:spacing w:before="0" w:after="0" w:line="466" w:lineRule="exact"/>
        <w:ind w:left="0" w:right="0"/>
        <w:jc w:val="left"/>
      </w:pPr>
      <w:r>
        <w:rPr>
          <w:color w:val="000000"/>
          <w:spacing w:val="0"/>
          <w:w w:val="100"/>
          <w:position w:val="0"/>
        </w:rPr>
        <w:t>公司的主营业务包括四大核心业务板块，包括：（</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 xml:space="preserve">） </w:t>
      </w:r>
      <w:r>
        <w:rPr>
          <w:rFonts w:ascii="Times New Roman" w:eastAsia="Times New Roman" w:hAnsi="Times New Roman" w:cs="Times New Roman"/>
          <w:color w:val="000000"/>
          <w:spacing w:val="0"/>
          <w:w w:val="100"/>
          <w:position w:val="0"/>
          <w:sz w:val="18"/>
          <w:szCs w:val="18"/>
        </w:rPr>
        <w:t>AI/ICT</w:t>
      </w:r>
      <w:r>
        <w:rPr>
          <w:color w:val="000000"/>
          <w:spacing w:val="0"/>
          <w:w w:val="100"/>
          <w:position w:val="0"/>
        </w:rPr>
        <w:t>运营管理</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ICT</w:t>
      </w:r>
      <w:r>
        <w:rPr>
          <w:color w:val="000000"/>
          <w:spacing w:val="0"/>
          <w:w w:val="100"/>
          <w:position w:val="0"/>
        </w:rPr>
        <w:t>解决方案、系统集成、移动互联网运营、人 工智能与大数据、拨测）；（</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）手机游戏；（</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）物联网通信；（</w:t>
      </w:r>
      <w:r>
        <w:rPr>
          <w:rFonts w:ascii="Times New Roman" w:eastAsia="Times New Roman" w:hAnsi="Times New Roman" w:cs="Times New Roman"/>
          <w:color w:val="000000"/>
          <w:spacing w:val="0"/>
          <w:w w:val="100"/>
          <w:position w:val="0"/>
          <w:sz w:val="18"/>
          <w:szCs w:val="18"/>
        </w:rPr>
        <w:t>4</w:t>
      </w:r>
      <w:r>
        <w:rPr>
          <w:color w:val="000000"/>
          <w:spacing w:val="0"/>
          <w:w w:val="100"/>
          <w:position w:val="0"/>
        </w:rPr>
        <w:t>）创新业务，形成信息技术领域内相关多元化发展格局。</w:t>
      </w:r>
    </w:p>
    <w:p>
      <w:pPr>
        <w:pStyle w:val="Style41"/>
        <w:keepNext w:val="0"/>
        <w:keepLines w:val="0"/>
        <w:widowControl w:val="0"/>
        <w:shd w:val="clear" w:color="auto" w:fill="auto"/>
        <w:bidi w:val="0"/>
        <w:spacing w:before="0" w:after="0" w:line="466" w:lineRule="exact"/>
        <w:ind w:left="0" w:right="0"/>
        <w:jc w:val="left"/>
      </w:pPr>
      <w:r>
        <w:rPr>
          <w:color w:val="000000"/>
          <w:spacing w:val="0"/>
          <w:w w:val="100"/>
          <w:position w:val="0"/>
        </w:rPr>
        <w:t>公司法定代表人：冒大卫。</w:t>
      </w:r>
    </w:p>
    <w:p>
      <w:pPr>
        <w:pStyle w:val="Style41"/>
        <w:keepNext w:val="0"/>
        <w:keepLines w:val="0"/>
        <w:widowControl w:val="0"/>
        <w:shd w:val="clear" w:color="auto" w:fill="auto"/>
        <w:bidi w:val="0"/>
        <w:spacing w:before="0" w:after="0" w:line="466" w:lineRule="exact"/>
        <w:ind w:left="0" w:right="0"/>
        <w:jc w:val="left"/>
      </w:pPr>
      <w:r>
        <w:rPr>
          <w:color w:val="000000"/>
          <w:spacing w:val="0"/>
          <w:w w:val="100"/>
          <w:position w:val="0"/>
        </w:rPr>
        <w:t>公司注册地址：北京市海淀区海淀大街</w:t>
      </w:r>
      <w:r>
        <w:rPr>
          <w:rFonts w:ascii="Times New Roman" w:eastAsia="Times New Roman" w:hAnsi="Times New Roman" w:cs="Times New Roman"/>
          <w:color w:val="000000"/>
          <w:spacing w:val="0"/>
          <w:w w:val="100"/>
          <w:position w:val="0"/>
          <w:sz w:val="18"/>
          <w:szCs w:val="18"/>
        </w:rPr>
        <w:t>34</w:t>
      </w:r>
      <w:r>
        <w:rPr>
          <w:color w:val="000000"/>
          <w:spacing w:val="0"/>
          <w:w w:val="100"/>
          <w:position w:val="0"/>
        </w:rPr>
        <w:t>号</w:t>
      </w:r>
      <w:r>
        <w:rPr>
          <w:rFonts w:ascii="Times New Roman" w:eastAsia="Times New Roman" w:hAnsi="Times New Roman" w:cs="Times New Roman"/>
          <w:color w:val="000000"/>
          <w:spacing w:val="0"/>
          <w:w w:val="100"/>
          <w:position w:val="0"/>
          <w:sz w:val="18"/>
          <w:szCs w:val="18"/>
        </w:rPr>
        <w:t>8</w:t>
      </w:r>
      <w:r>
        <w:rPr>
          <w:color w:val="000000"/>
          <w:spacing w:val="0"/>
          <w:w w:val="100"/>
          <w:position w:val="0"/>
        </w:rPr>
        <w:t>层</w:t>
      </w:r>
      <w:r>
        <w:rPr>
          <w:rFonts w:ascii="Times New Roman" w:eastAsia="Times New Roman" w:hAnsi="Times New Roman" w:cs="Times New Roman"/>
          <w:color w:val="000000"/>
          <w:spacing w:val="0"/>
          <w:w w:val="100"/>
          <w:position w:val="0"/>
          <w:sz w:val="18"/>
          <w:szCs w:val="18"/>
        </w:rPr>
        <w:t>818</w:t>
      </w:r>
      <w:r>
        <w:rPr>
          <w:color w:val="000000"/>
          <w:spacing w:val="0"/>
          <w:w w:val="100"/>
          <w:position w:val="0"/>
        </w:rPr>
        <w:t>室。</w:t>
      </w:r>
    </w:p>
    <w:p>
      <w:pPr>
        <w:pStyle w:val="Style41"/>
        <w:keepNext w:val="0"/>
        <w:keepLines w:val="0"/>
        <w:widowControl w:val="0"/>
        <w:shd w:val="clear" w:color="auto" w:fill="auto"/>
        <w:bidi w:val="0"/>
        <w:spacing w:before="0" w:after="0" w:line="466" w:lineRule="exact"/>
        <w:ind w:left="0" w:right="0"/>
        <w:jc w:val="left"/>
      </w:pPr>
      <w:r>
        <w:rPr>
          <w:color w:val="000000"/>
          <w:spacing w:val="0"/>
          <w:w w:val="100"/>
          <w:position w:val="0"/>
        </w:rPr>
        <w:t>公司主要办公地址：北京市朝阳区北苑路甲</w:t>
      </w:r>
      <w:r>
        <w:rPr>
          <w:rFonts w:ascii="Times New Roman" w:eastAsia="Times New Roman" w:hAnsi="Times New Roman" w:cs="Times New Roman"/>
          <w:color w:val="000000"/>
          <w:spacing w:val="0"/>
          <w:w w:val="100"/>
          <w:position w:val="0"/>
          <w:sz w:val="18"/>
          <w:szCs w:val="18"/>
        </w:rPr>
        <w:t>13</w:t>
      </w:r>
      <w:r>
        <w:rPr>
          <w:color w:val="000000"/>
          <w:spacing w:val="0"/>
          <w:w w:val="100"/>
          <w:position w:val="0"/>
        </w:rPr>
        <w:t>号院</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号楼北辰泰岳大厦</w:t>
      </w:r>
      <w:r>
        <w:rPr>
          <w:rFonts w:ascii="Times New Roman" w:eastAsia="Times New Roman" w:hAnsi="Times New Roman" w:cs="Times New Roman"/>
          <w:color w:val="000000"/>
          <w:spacing w:val="0"/>
          <w:w w:val="100"/>
          <w:position w:val="0"/>
          <w:sz w:val="18"/>
          <w:szCs w:val="18"/>
        </w:rPr>
        <w:t>22</w:t>
      </w:r>
      <w:r>
        <w:rPr>
          <w:color w:val="000000"/>
          <w:spacing w:val="0"/>
          <w:w w:val="100"/>
          <w:position w:val="0"/>
        </w:rPr>
        <w:t>层。</w:t>
      </w:r>
    </w:p>
    <w:p>
      <w:pPr>
        <w:pStyle w:val="Style41"/>
        <w:keepNext w:val="0"/>
        <w:keepLines w:val="0"/>
        <w:widowControl w:val="0"/>
        <w:shd w:val="clear" w:color="auto" w:fill="auto"/>
        <w:bidi w:val="0"/>
        <w:spacing w:before="0" w:after="0" w:line="466" w:lineRule="exact"/>
        <w:ind w:left="0" w:right="0"/>
        <w:jc w:val="left"/>
      </w:pPr>
      <w:r>
        <w:rPr>
          <w:color w:val="000000"/>
          <w:spacing w:val="0"/>
          <w:w w:val="100"/>
          <w:position w:val="0"/>
        </w:rPr>
        <w:t>本公司的实际控制人为王宁、李力。</w:t>
      </w:r>
    </w:p>
    <w:p>
      <w:pPr>
        <w:pStyle w:val="Style41"/>
        <w:keepNext w:val="0"/>
        <w:keepLines w:val="0"/>
        <w:widowControl w:val="0"/>
        <w:shd w:val="clear" w:color="auto" w:fill="auto"/>
        <w:bidi w:val="0"/>
        <w:spacing w:before="0" w:after="0" w:line="466" w:lineRule="exact"/>
        <w:ind w:left="0" w:right="0"/>
        <w:jc w:val="left"/>
        <w:sectPr>
          <w:footnotePr>
            <w:pos w:val="pageBottom"/>
            <w:numFmt w:val="decimal"/>
            <w:numRestart w:val="continuous"/>
          </w:footnotePr>
          <w:pgSz w:w="11904" w:h="17375"/>
          <w:pgMar w:top="1070" w:right="1013" w:bottom="1425" w:left="1104" w:header="0" w:footer="3" w:gutter="0"/>
          <w:cols w:space="720"/>
          <w:noEndnote/>
          <w:rtlGutter w:val="0"/>
          <w:docGrid w:linePitch="360"/>
        </w:sectPr>
      </w:pPr>
      <w:r>
        <w:rPr>
          <w:color w:val="000000"/>
          <w:spacing w:val="0"/>
          <w:w w:val="100"/>
          <w:position w:val="0"/>
        </w:rPr>
        <w:t>本财务报表业经公司全体董事于</w:t>
      </w:r>
      <w:r>
        <w:rPr>
          <w:rFonts w:ascii="Times New Roman" w:eastAsia="Times New Roman" w:hAnsi="Times New Roman" w:cs="Times New Roman"/>
          <w:color w:val="000000"/>
          <w:spacing w:val="0"/>
          <w:w w:val="100"/>
          <w:position w:val="0"/>
          <w:sz w:val="18"/>
          <w:szCs w:val="18"/>
        </w:rPr>
        <w:t>2021</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4</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27</w:t>
      </w:r>
      <w:r>
        <w:rPr>
          <w:color w:val="000000"/>
          <w:spacing w:val="0"/>
          <w:w w:val="100"/>
          <w:position w:val="0"/>
        </w:rPr>
        <w:t>日批准报出。</w:t>
      </w:r>
    </w:p>
    <w:p>
      <w:pPr>
        <w:pStyle w:val="Style41"/>
        <w:keepNext w:val="0"/>
        <w:keepLines w:val="0"/>
        <w:widowControl w:val="0"/>
        <w:shd w:val="clear" w:color="auto" w:fill="auto"/>
        <w:bidi w:val="0"/>
        <w:spacing w:before="0" w:after="0" w:line="463" w:lineRule="exact"/>
        <w:ind w:left="0" w:right="0"/>
        <w:jc w:val="both"/>
      </w:pPr>
      <w:r>
        <w:rPr>
          <w:b/>
          <w:bCs/>
          <w:color w:val="000000"/>
          <w:spacing w:val="0"/>
          <w:w w:val="100"/>
          <w:position w:val="0"/>
        </w:rPr>
        <w:t>(二)合并财务报表范围</w:t>
      </w:r>
    </w:p>
    <w:p>
      <w:pPr>
        <w:pStyle w:val="Style41"/>
        <w:keepNext w:val="0"/>
        <w:keepLines w:val="0"/>
        <w:widowControl w:val="0"/>
        <w:shd w:val="clear" w:color="auto" w:fill="auto"/>
        <w:bidi w:val="0"/>
        <w:spacing w:before="0" w:after="0" w:line="463" w:lineRule="exact"/>
        <w:ind w:left="0" w:right="0"/>
        <w:jc w:val="both"/>
      </w:pPr>
      <w:r>
        <w:rPr>
          <w:color w:val="000000"/>
          <w:spacing w:val="0"/>
          <w:w w:val="100"/>
          <w:position w:val="0"/>
        </w:rPr>
        <w:t>本公司子公司的相关信息详见本附注</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九、在其他主体中的权益</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p>
      <w:pPr>
        <w:pStyle w:val="Style41"/>
        <w:keepNext w:val="0"/>
        <w:keepLines w:val="0"/>
        <w:widowControl w:val="0"/>
        <w:shd w:val="clear" w:color="auto" w:fill="auto"/>
        <w:bidi w:val="0"/>
        <w:spacing w:before="0" w:after="740" w:line="463" w:lineRule="exact"/>
        <w:ind w:left="0" w:right="0"/>
        <w:jc w:val="both"/>
      </w:pPr>
      <w:r>
        <w:rPr>
          <w:color w:val="000000"/>
          <w:spacing w:val="0"/>
          <w:w w:val="100"/>
          <w:position w:val="0"/>
        </w:rPr>
        <w:t>本报告期合并范围变化情况详见本附注</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八、合并范围的变更</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p>
      <w:pPr>
        <w:pStyle w:val="Style39"/>
        <w:keepNext/>
        <w:keepLines/>
        <w:widowControl w:val="0"/>
        <w:shd w:val="clear" w:color="auto" w:fill="auto"/>
        <w:tabs>
          <w:tab w:pos="498" w:val="left"/>
        </w:tabs>
        <w:bidi w:val="0"/>
        <w:spacing w:before="0" w:after="380" w:line="240" w:lineRule="auto"/>
        <w:ind w:left="0" w:right="0" w:firstLine="0"/>
        <w:jc w:val="both"/>
      </w:pPr>
      <w:bookmarkStart w:id="833" w:name="bookmark833"/>
      <w:bookmarkStart w:id="834" w:name="bookmark834"/>
      <w:bookmarkStart w:id="835" w:name="bookmark835"/>
      <w:bookmarkStart w:id="836" w:name="bookmark836"/>
      <w:r>
        <w:rPr>
          <w:color w:val="000000"/>
          <w:spacing w:val="0"/>
          <w:w w:val="100"/>
          <w:position w:val="0"/>
          <w:sz w:val="24"/>
          <w:szCs w:val="24"/>
        </w:rPr>
        <w:t>四</w:t>
      </w:r>
      <w:bookmarkEnd w:id="835"/>
      <w:r>
        <w:rPr>
          <w:color w:val="000000"/>
          <w:spacing w:val="0"/>
          <w:w w:val="100"/>
          <w:position w:val="0"/>
          <w:sz w:val="24"/>
          <w:szCs w:val="24"/>
        </w:rPr>
        <w:t>、</w:t>
        <w:tab/>
        <w:t>财务报表的编制基础</w:t>
      </w:r>
      <w:bookmarkEnd w:id="833"/>
      <w:bookmarkEnd w:id="834"/>
      <w:bookmarkEnd w:id="836"/>
    </w:p>
    <w:p>
      <w:pPr>
        <w:pStyle w:val="Style47"/>
        <w:keepNext/>
        <w:keepLines/>
        <w:widowControl w:val="0"/>
        <w:shd w:val="clear" w:color="auto" w:fill="auto"/>
        <w:tabs>
          <w:tab w:pos="368" w:val="left"/>
        </w:tabs>
        <w:bidi w:val="0"/>
        <w:spacing w:before="0" w:after="200" w:line="240" w:lineRule="auto"/>
        <w:ind w:left="0" w:right="0" w:firstLine="0"/>
        <w:jc w:val="both"/>
      </w:pPr>
      <w:bookmarkStart w:id="837" w:name="bookmark837"/>
      <w:bookmarkStart w:id="838" w:name="bookmark838"/>
      <w:bookmarkStart w:id="839" w:name="bookmark839"/>
      <w:bookmarkStart w:id="840" w:name="bookmark840"/>
      <w:r>
        <w:rPr>
          <w:color w:val="000000"/>
          <w:spacing w:val="0"/>
          <w:w w:val="100"/>
          <w:position w:val="0"/>
        </w:rPr>
        <w:t>1</w:t>
      </w:r>
      <w:bookmarkEnd w:id="839"/>
      <w:r>
        <w:rPr>
          <w:color w:val="000000"/>
          <w:spacing w:val="0"/>
          <w:w w:val="100"/>
          <w:position w:val="0"/>
        </w:rPr>
        <w:t>、</w:t>
        <w:tab/>
        <w:t>编制基础</w:t>
      </w:r>
      <w:bookmarkEnd w:id="837"/>
      <w:bookmarkEnd w:id="838"/>
      <w:bookmarkEnd w:id="840"/>
    </w:p>
    <w:p>
      <w:pPr>
        <w:pStyle w:val="Style41"/>
        <w:keepNext w:val="0"/>
        <w:keepLines w:val="0"/>
        <w:widowControl w:val="0"/>
        <w:shd w:val="clear" w:color="auto" w:fill="auto"/>
        <w:bidi w:val="0"/>
        <w:spacing w:before="0" w:after="460" w:line="463" w:lineRule="exact"/>
        <w:ind w:left="0" w:right="0"/>
        <w:jc w:val="both"/>
      </w:pPr>
      <w:r>
        <w:rPr>
          <w:color w:val="000000"/>
          <w:spacing w:val="0"/>
          <w:w w:val="100"/>
          <w:position w:val="0"/>
        </w:rPr>
        <w:t>本财务报表按照财政部颁布的《企业会计准则一基本准则》和各项具体会计准则、企业会计准则应用指南、企业会计 准则解释及其他相关规定(以下合称</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企业会计准则</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)，以及中国证券监督管理委员会《公开发行证券的公司信息披露编报 规则第</w:t>
      </w:r>
      <w:r>
        <w:rPr>
          <w:rFonts w:ascii="Times New Roman" w:eastAsia="Times New Roman" w:hAnsi="Times New Roman" w:cs="Times New Roman"/>
          <w:color w:val="000000"/>
          <w:spacing w:val="0"/>
          <w:w w:val="100"/>
          <w:position w:val="0"/>
          <w:sz w:val="18"/>
          <w:szCs w:val="18"/>
        </w:rPr>
        <w:t>15</w:t>
      </w:r>
      <w:r>
        <w:rPr>
          <w:color w:val="000000"/>
          <w:spacing w:val="0"/>
          <w:w w:val="100"/>
          <w:position w:val="0"/>
        </w:rPr>
        <w:t>号——财务报告的一般规定》的相关规定编制。</w:t>
      </w:r>
    </w:p>
    <w:p>
      <w:pPr>
        <w:pStyle w:val="Style47"/>
        <w:keepNext/>
        <w:keepLines/>
        <w:widowControl w:val="0"/>
        <w:shd w:val="clear" w:color="auto" w:fill="auto"/>
        <w:tabs>
          <w:tab w:pos="378" w:val="left"/>
        </w:tabs>
        <w:bidi w:val="0"/>
        <w:spacing w:before="0" w:after="200" w:line="240" w:lineRule="auto"/>
        <w:ind w:left="0" w:right="0" w:firstLine="0"/>
        <w:jc w:val="both"/>
      </w:pPr>
      <w:bookmarkStart w:id="841" w:name="bookmark841"/>
      <w:bookmarkStart w:id="842" w:name="bookmark842"/>
      <w:bookmarkStart w:id="843" w:name="bookmark843"/>
      <w:bookmarkStart w:id="844" w:name="bookmark844"/>
      <w:r>
        <w:rPr>
          <w:color w:val="000000"/>
          <w:spacing w:val="0"/>
          <w:w w:val="100"/>
          <w:position w:val="0"/>
        </w:rPr>
        <w:t>2</w:t>
      </w:r>
      <w:bookmarkEnd w:id="843"/>
      <w:r>
        <w:rPr>
          <w:color w:val="000000"/>
          <w:spacing w:val="0"/>
          <w:w w:val="100"/>
          <w:position w:val="0"/>
        </w:rPr>
        <w:t>、</w:t>
        <w:tab/>
        <w:t>持续经营</w:t>
      </w:r>
      <w:bookmarkEnd w:id="841"/>
      <w:bookmarkEnd w:id="842"/>
      <w:bookmarkEnd w:id="844"/>
    </w:p>
    <w:p>
      <w:pPr>
        <w:pStyle w:val="Style41"/>
        <w:keepNext w:val="0"/>
        <w:keepLines w:val="0"/>
        <w:widowControl w:val="0"/>
        <w:shd w:val="clear" w:color="auto" w:fill="auto"/>
        <w:bidi w:val="0"/>
        <w:spacing w:before="0" w:after="460" w:line="485" w:lineRule="exact"/>
        <w:ind w:left="0" w:right="0"/>
        <w:jc w:val="both"/>
      </w:pPr>
      <w:r>
        <w:rPr>
          <w:color w:val="000000"/>
          <w:spacing w:val="0"/>
          <w:w w:val="100"/>
          <w:position w:val="0"/>
        </w:rPr>
        <w:t>本财务报表以持续经营为基础编制。公司自本报告期末至少</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个月内具备持续经营能力，无影响持续经营能力的重大事 项。</w:t>
      </w:r>
    </w:p>
    <w:p>
      <w:pPr>
        <w:pStyle w:val="Style39"/>
        <w:keepNext/>
        <w:keepLines/>
        <w:widowControl w:val="0"/>
        <w:shd w:val="clear" w:color="auto" w:fill="auto"/>
        <w:tabs>
          <w:tab w:pos="517" w:val="left"/>
        </w:tabs>
        <w:bidi w:val="0"/>
        <w:spacing w:before="0" w:after="120" w:line="240" w:lineRule="auto"/>
        <w:ind w:left="0" w:right="0" w:firstLine="0"/>
        <w:jc w:val="left"/>
      </w:pPr>
      <w:bookmarkStart w:id="845" w:name="bookmark845"/>
      <w:bookmarkStart w:id="846" w:name="bookmark846"/>
      <w:bookmarkStart w:id="847" w:name="bookmark847"/>
      <w:bookmarkStart w:id="848" w:name="bookmark848"/>
      <w:r>
        <w:rPr>
          <w:color w:val="000000"/>
          <w:spacing w:val="0"/>
          <w:w w:val="100"/>
          <w:position w:val="0"/>
          <w:sz w:val="24"/>
          <w:szCs w:val="24"/>
        </w:rPr>
        <w:t>五</w:t>
      </w:r>
      <w:bookmarkEnd w:id="847"/>
      <w:r>
        <w:rPr>
          <w:color w:val="000000"/>
          <w:spacing w:val="0"/>
          <w:w w:val="100"/>
          <w:position w:val="0"/>
          <w:sz w:val="24"/>
          <w:szCs w:val="24"/>
        </w:rPr>
        <w:t>、</w:t>
        <w:tab/>
        <w:t>重要会计政策及会计估计</w:t>
      </w:r>
      <w:bookmarkEnd w:id="845"/>
      <w:bookmarkEnd w:id="846"/>
      <w:bookmarkEnd w:id="848"/>
    </w:p>
    <w:p>
      <w:pPr>
        <w:pStyle w:val="Style41"/>
        <w:keepNext w:val="0"/>
        <w:keepLines w:val="0"/>
        <w:widowControl w:val="0"/>
        <w:shd w:val="clear" w:color="auto" w:fill="auto"/>
        <w:bidi w:val="0"/>
        <w:spacing w:before="0" w:after="380" w:line="463" w:lineRule="exact"/>
        <w:ind w:left="0" w:right="0"/>
        <w:jc w:val="both"/>
      </w:pPr>
      <w:r>
        <w:rPr>
          <w:color w:val="000000"/>
          <w:spacing w:val="0"/>
          <w:w w:val="100"/>
          <w:position w:val="0"/>
        </w:rPr>
        <w:t>以下披露内容已涵盖了本公司根据实际生产经营特点制定的具体会计政策和会计估计。</w:t>
      </w:r>
    </w:p>
    <w:p>
      <w:pPr>
        <w:pStyle w:val="Style47"/>
        <w:keepNext/>
        <w:keepLines/>
        <w:widowControl w:val="0"/>
        <w:shd w:val="clear" w:color="auto" w:fill="auto"/>
        <w:tabs>
          <w:tab w:pos="368" w:val="left"/>
        </w:tabs>
        <w:bidi w:val="0"/>
        <w:spacing w:before="0" w:after="200" w:line="240" w:lineRule="auto"/>
        <w:ind w:left="0" w:right="0" w:firstLine="0"/>
        <w:jc w:val="both"/>
      </w:pPr>
      <w:bookmarkStart w:id="849" w:name="bookmark849"/>
      <w:bookmarkStart w:id="850" w:name="bookmark850"/>
      <w:bookmarkStart w:id="851" w:name="bookmark851"/>
      <w:bookmarkStart w:id="852" w:name="bookmark852"/>
      <w:r>
        <w:rPr>
          <w:color w:val="000000"/>
          <w:spacing w:val="0"/>
          <w:w w:val="100"/>
          <w:position w:val="0"/>
        </w:rPr>
        <w:t>1</w:t>
      </w:r>
      <w:bookmarkEnd w:id="851"/>
      <w:r>
        <w:rPr>
          <w:color w:val="000000"/>
          <w:spacing w:val="0"/>
          <w:w w:val="100"/>
          <w:position w:val="0"/>
        </w:rPr>
        <w:t>、</w:t>
        <w:tab/>
        <w:t>遵循企业会计准则的声明</w:t>
      </w:r>
      <w:bookmarkEnd w:id="849"/>
      <w:bookmarkEnd w:id="850"/>
      <w:bookmarkEnd w:id="852"/>
    </w:p>
    <w:p>
      <w:pPr>
        <w:pStyle w:val="Style41"/>
        <w:keepNext w:val="0"/>
        <w:keepLines w:val="0"/>
        <w:widowControl w:val="0"/>
        <w:shd w:val="clear" w:color="auto" w:fill="auto"/>
        <w:bidi w:val="0"/>
        <w:spacing w:before="0" w:after="460" w:line="461" w:lineRule="exact"/>
        <w:ind w:left="0" w:right="0"/>
        <w:jc w:val="both"/>
      </w:pPr>
      <w:r>
        <w:rPr>
          <w:color w:val="000000"/>
          <w:spacing w:val="0"/>
          <w:w w:val="100"/>
          <w:position w:val="0"/>
        </w:rPr>
        <w:t>本财务报表符合财政部颁布的企业会计准则的要求，真实、完整地反映了本公司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日的合并及母公司财务状 况以及</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年度的合并及母公司经营成果和现金流量。</w:t>
      </w:r>
    </w:p>
    <w:p>
      <w:pPr>
        <w:pStyle w:val="Style47"/>
        <w:keepNext/>
        <w:keepLines/>
        <w:widowControl w:val="0"/>
        <w:shd w:val="clear" w:color="auto" w:fill="auto"/>
        <w:tabs>
          <w:tab w:pos="378" w:val="left"/>
        </w:tabs>
        <w:bidi w:val="0"/>
        <w:spacing w:before="0" w:after="120" w:line="240" w:lineRule="auto"/>
        <w:ind w:left="0" w:right="0" w:firstLine="0"/>
        <w:jc w:val="both"/>
      </w:pPr>
      <w:bookmarkStart w:id="853" w:name="bookmark853"/>
      <w:bookmarkStart w:id="854" w:name="bookmark854"/>
      <w:bookmarkStart w:id="855" w:name="bookmark855"/>
      <w:bookmarkStart w:id="856" w:name="bookmark856"/>
      <w:r>
        <w:rPr>
          <w:color w:val="000000"/>
          <w:spacing w:val="0"/>
          <w:w w:val="100"/>
          <w:position w:val="0"/>
        </w:rPr>
        <w:t>2</w:t>
      </w:r>
      <w:bookmarkEnd w:id="855"/>
      <w:r>
        <w:rPr>
          <w:color w:val="000000"/>
          <w:spacing w:val="0"/>
          <w:w w:val="100"/>
          <w:position w:val="0"/>
        </w:rPr>
        <w:t>、</w:t>
        <w:tab/>
        <w:t>会计期间</w:t>
      </w:r>
      <w:bookmarkEnd w:id="853"/>
      <w:bookmarkEnd w:id="854"/>
      <w:bookmarkEnd w:id="856"/>
    </w:p>
    <w:p>
      <w:pPr>
        <w:pStyle w:val="Style41"/>
        <w:keepNext w:val="0"/>
        <w:keepLines w:val="0"/>
        <w:widowControl w:val="0"/>
        <w:shd w:val="clear" w:color="auto" w:fill="auto"/>
        <w:bidi w:val="0"/>
        <w:spacing w:before="0" w:after="380" w:line="463" w:lineRule="exact"/>
        <w:ind w:left="0" w:right="0"/>
        <w:jc w:val="both"/>
      </w:pPr>
      <w:r>
        <w:rPr>
          <w:color w:val="000000"/>
          <w:spacing w:val="0"/>
          <w:w w:val="100"/>
          <w:position w:val="0"/>
        </w:rPr>
        <w:t>自公历</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日起至</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日止为一个会计年度。</w:t>
      </w:r>
    </w:p>
    <w:p>
      <w:pPr>
        <w:pStyle w:val="Style47"/>
        <w:keepNext/>
        <w:keepLines/>
        <w:widowControl w:val="0"/>
        <w:shd w:val="clear" w:color="auto" w:fill="auto"/>
        <w:tabs>
          <w:tab w:pos="378" w:val="left"/>
        </w:tabs>
        <w:bidi w:val="0"/>
        <w:spacing w:before="0" w:after="120" w:line="240" w:lineRule="auto"/>
        <w:ind w:left="0" w:right="0" w:firstLine="0"/>
        <w:jc w:val="both"/>
      </w:pPr>
      <w:bookmarkStart w:id="857" w:name="bookmark857"/>
      <w:bookmarkStart w:id="858" w:name="bookmark858"/>
      <w:bookmarkStart w:id="859" w:name="bookmark859"/>
      <w:bookmarkStart w:id="860" w:name="bookmark860"/>
      <w:r>
        <w:rPr>
          <w:color w:val="000000"/>
          <w:spacing w:val="0"/>
          <w:w w:val="100"/>
          <w:position w:val="0"/>
        </w:rPr>
        <w:t>3</w:t>
      </w:r>
      <w:bookmarkEnd w:id="859"/>
      <w:r>
        <w:rPr>
          <w:color w:val="000000"/>
          <w:spacing w:val="0"/>
          <w:w w:val="100"/>
          <w:position w:val="0"/>
        </w:rPr>
        <w:t>、</w:t>
        <w:tab/>
        <w:t>营业周期</w:t>
      </w:r>
      <w:bookmarkEnd w:id="857"/>
      <w:bookmarkEnd w:id="858"/>
      <w:bookmarkEnd w:id="860"/>
    </w:p>
    <w:p>
      <w:pPr>
        <w:pStyle w:val="Style41"/>
        <w:keepNext w:val="0"/>
        <w:keepLines w:val="0"/>
        <w:widowControl w:val="0"/>
        <w:shd w:val="clear" w:color="auto" w:fill="auto"/>
        <w:bidi w:val="0"/>
        <w:spacing w:before="0" w:after="700" w:line="463" w:lineRule="exact"/>
        <w:ind w:left="0" w:right="0"/>
        <w:jc w:val="both"/>
      </w:pPr>
      <w:r>
        <w:rPr>
          <w:color w:val="000000"/>
          <w:spacing w:val="0"/>
          <w:w w:val="100"/>
          <w:position w:val="0"/>
        </w:rPr>
        <w:t>本公司营业周期为</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个月。</w:t>
      </w:r>
    </w:p>
    <w:p>
      <w:pPr>
        <w:pStyle w:val="Style47"/>
        <w:keepNext/>
        <w:keepLines/>
        <w:widowControl w:val="0"/>
        <w:shd w:val="clear" w:color="auto" w:fill="auto"/>
        <w:tabs>
          <w:tab w:pos="378" w:val="left"/>
        </w:tabs>
        <w:bidi w:val="0"/>
        <w:spacing w:before="0" w:after="380" w:line="240" w:lineRule="auto"/>
        <w:ind w:left="0" w:right="0" w:firstLine="0"/>
        <w:jc w:val="both"/>
      </w:pPr>
      <w:bookmarkStart w:id="861" w:name="bookmark861"/>
      <w:bookmarkStart w:id="862" w:name="bookmark862"/>
      <w:bookmarkStart w:id="863" w:name="bookmark863"/>
      <w:bookmarkStart w:id="864" w:name="bookmark864"/>
      <w:r>
        <w:rPr>
          <w:color w:val="000000"/>
          <w:spacing w:val="0"/>
          <w:w w:val="100"/>
          <w:position w:val="0"/>
        </w:rPr>
        <w:t>4</w:t>
      </w:r>
      <w:bookmarkEnd w:id="863"/>
      <w:r>
        <w:rPr>
          <w:color w:val="000000"/>
          <w:spacing w:val="0"/>
          <w:w w:val="100"/>
          <w:position w:val="0"/>
        </w:rPr>
        <w:t>、</w:t>
        <w:tab/>
        <w:t>记账本位币</w:t>
      </w:r>
      <w:bookmarkEnd w:id="861"/>
      <w:bookmarkEnd w:id="862"/>
      <w:bookmarkEnd w:id="864"/>
    </w:p>
    <w:p>
      <w:pPr>
        <w:pStyle w:val="Style41"/>
        <w:keepNext w:val="0"/>
        <w:keepLines w:val="0"/>
        <w:widowControl w:val="0"/>
        <w:numPr>
          <w:ilvl w:val="0"/>
          <w:numId w:val="17"/>
        </w:numPr>
        <w:shd w:val="clear" w:color="auto" w:fill="auto"/>
        <w:tabs>
          <w:tab w:pos="925" w:val="left"/>
        </w:tabs>
        <w:bidi w:val="0"/>
        <w:spacing w:before="0" w:after="120" w:line="240" w:lineRule="auto"/>
        <w:ind w:left="0" w:right="0" w:firstLine="480"/>
        <w:jc w:val="left"/>
      </w:pPr>
      <w:bookmarkStart w:id="865" w:name="bookmark865"/>
      <w:bookmarkEnd w:id="865"/>
      <w:r>
        <w:rPr>
          <w:color w:val="000000"/>
          <w:spacing w:val="0"/>
          <w:w w:val="100"/>
          <w:position w:val="0"/>
        </w:rPr>
        <w:t>母公司采用人民币为记账本位币。</w:t>
      </w:r>
    </w:p>
    <w:p>
      <w:pPr>
        <w:pStyle w:val="Style41"/>
        <w:keepNext w:val="0"/>
        <w:keepLines w:val="0"/>
        <w:widowControl w:val="0"/>
        <w:numPr>
          <w:ilvl w:val="0"/>
          <w:numId w:val="17"/>
        </w:numPr>
        <w:shd w:val="clear" w:color="auto" w:fill="auto"/>
        <w:tabs>
          <w:tab w:pos="925" w:val="left"/>
        </w:tabs>
        <w:bidi w:val="0"/>
        <w:spacing w:before="0" w:after="380" w:line="240" w:lineRule="auto"/>
        <w:ind w:left="0" w:right="0" w:firstLine="480"/>
        <w:jc w:val="left"/>
        <w:sectPr>
          <w:footnotePr>
            <w:pos w:val="pageBottom"/>
            <w:numFmt w:val="decimal"/>
            <w:numRestart w:val="continuous"/>
          </w:footnotePr>
          <w:pgSz w:w="11904" w:h="17375"/>
          <w:pgMar w:top="1657" w:right="1106" w:bottom="1802" w:left="1106" w:header="0" w:footer="3" w:gutter="0"/>
          <w:cols w:space="720"/>
          <w:noEndnote/>
          <w:rtlGutter w:val="0"/>
          <w:docGrid w:linePitch="360"/>
        </w:sectPr>
      </w:pPr>
      <w:bookmarkStart w:id="866" w:name="bookmark866"/>
      <w:bookmarkEnd w:id="866"/>
      <w:r>
        <w:rPr>
          <w:color w:val="000000"/>
          <w:spacing w:val="0"/>
          <w:w w:val="100"/>
          <w:position w:val="0"/>
        </w:rPr>
        <w:t>以下公司记账本位币如下：</w:t>
      </w:r>
    </w:p>
    <w:tbl>
      <w:tblPr>
        <w:tblOverlap w:val="never"/>
        <w:jc w:val="center"/>
        <w:tblLayout w:type="fixed"/>
      </w:tblPr>
      <w:tblGrid>
        <w:gridCol w:w="4421"/>
        <w:gridCol w:w="2246"/>
        <w:gridCol w:w="3010"/>
      </w:tblGrid>
      <w:tr>
        <w:trPr>
          <w:trHeight w:val="41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公司名称</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注册地</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记账本位币</w:t>
            </w:r>
          </w:p>
        </w:tc>
      </w:tr>
      <w:tr>
        <w:trPr>
          <w:trHeight w:val="36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Bridge Minds Consulting Pte Ltd</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新加坡</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新加坡币</w:t>
            </w:r>
          </w:p>
        </w:tc>
      </w:tr>
      <w:tr>
        <w:trPr>
          <w:trHeight w:val="3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CAMEL GAMES INC.</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美国</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美元</w:t>
            </w:r>
          </w:p>
        </w:tc>
      </w:tr>
      <w:tr>
        <w:trPr>
          <w:trHeight w:val="3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CAMEL GAMES LIMITED</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香港</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美元</w:t>
            </w:r>
          </w:p>
        </w:tc>
      </w:tr>
      <w:tr>
        <w:trPr>
          <w:trHeight w:val="3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神州泰岳（香港）有限公司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香港</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港币</w:t>
            </w:r>
          </w:p>
        </w:tc>
      </w:tr>
      <w:tr>
        <w:trPr>
          <w:trHeight w:val="35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宁波普天通信技术（香港）有限公司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香港</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港币</w:t>
            </w:r>
          </w:p>
        </w:tc>
      </w:tr>
      <w:tr>
        <w:trPr>
          <w:trHeight w:val="355"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泰岳小漫（香港）有限公司</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香港</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港币</w:t>
            </w:r>
          </w:p>
        </w:tc>
      </w:tr>
    </w:tbl>
    <w:p>
      <w:pPr>
        <w:pStyle w:val="Style20"/>
        <w:keepNext w:val="0"/>
        <w:keepLines w:val="0"/>
        <w:widowControl w:val="0"/>
        <w:shd w:val="clear" w:color="auto" w:fill="auto"/>
        <w:bidi w:val="0"/>
        <w:spacing w:before="0" w:after="0" w:line="240" w:lineRule="auto"/>
        <w:ind w:left="0" w:right="0" w:firstLine="0"/>
        <w:jc w:val="distribute"/>
        <w:rPr>
          <w:sz w:val="17"/>
          <w:szCs w:val="17"/>
        </w:rPr>
      </w:pPr>
      <w:r>
        <w:rPr>
          <w:rFonts w:ascii="SimSun" w:eastAsia="SimSun" w:hAnsi="SimSun" w:cs="SimSun"/>
          <w:color w:val="000000"/>
          <w:spacing w:val="0"/>
          <w:w w:val="100"/>
          <w:position w:val="0"/>
          <w:sz w:val="17"/>
          <w:szCs w:val="17"/>
        </w:rPr>
        <w:t>（</w:t>
      </w:r>
      <w:r>
        <w:rPr>
          <w:rFonts w:ascii="Times New Roman" w:eastAsia="Times New Roman" w:hAnsi="Times New Roman" w:cs="Times New Roman"/>
          <w:color w:val="000000"/>
          <w:spacing w:val="0"/>
          <w:w w:val="100"/>
          <w:position w:val="0"/>
          <w:sz w:val="18"/>
          <w:szCs w:val="18"/>
        </w:rPr>
        <w:t>3</w:t>
      </w:r>
      <w:r>
        <w:rPr>
          <w:rFonts w:ascii="SimSun" w:eastAsia="SimSun" w:hAnsi="SimSun" w:cs="SimSun"/>
          <w:color w:val="000000"/>
          <w:spacing w:val="0"/>
          <w:w w:val="100"/>
          <w:position w:val="0"/>
          <w:sz w:val="17"/>
          <w:szCs w:val="17"/>
        </w:rPr>
        <w:t>）除上述公司外，其余公司均采用人民币为记账本位币。</w:t>
      </w:r>
    </w:p>
    <w:p>
      <w:pPr>
        <w:widowControl w:val="0"/>
        <w:spacing w:after="399" w:line="1" w:lineRule="exact"/>
      </w:pPr>
    </w:p>
    <w:p>
      <w:pPr>
        <w:pStyle w:val="Style47"/>
        <w:keepNext/>
        <w:keepLines/>
        <w:widowControl w:val="0"/>
        <w:shd w:val="clear" w:color="auto" w:fill="auto"/>
        <w:bidi w:val="0"/>
        <w:spacing w:before="0" w:after="200" w:line="240" w:lineRule="auto"/>
        <w:ind w:left="0" w:right="0" w:firstLine="0"/>
        <w:jc w:val="left"/>
      </w:pPr>
      <w:bookmarkStart w:id="867" w:name="bookmark867"/>
      <w:bookmarkStart w:id="868" w:name="bookmark868"/>
      <w:bookmarkStart w:id="869" w:name="bookmark869"/>
      <w:bookmarkStart w:id="870" w:name="bookmark870"/>
      <w:r>
        <w:rPr>
          <w:color w:val="000000"/>
          <w:spacing w:val="0"/>
          <w:w w:val="100"/>
          <w:position w:val="0"/>
        </w:rPr>
        <w:t>5</w:t>
      </w:r>
      <w:bookmarkEnd w:id="869"/>
      <w:r>
        <w:rPr>
          <w:color w:val="000000"/>
          <w:spacing w:val="0"/>
          <w:w w:val="100"/>
          <w:position w:val="0"/>
        </w:rPr>
        <w:t>、同一控制下和非同一控制下企业合并的会计处理方法</w:t>
      </w:r>
      <w:bookmarkEnd w:id="867"/>
      <w:bookmarkEnd w:id="868"/>
      <w:bookmarkEnd w:id="870"/>
    </w:p>
    <w:p>
      <w:pPr>
        <w:pStyle w:val="Style41"/>
        <w:keepNext w:val="0"/>
        <w:keepLines w:val="0"/>
        <w:widowControl w:val="0"/>
        <w:shd w:val="clear" w:color="auto" w:fill="auto"/>
        <w:bidi w:val="0"/>
        <w:spacing w:before="0" w:after="0" w:line="470" w:lineRule="exact"/>
        <w:ind w:left="0" w:right="0"/>
        <w:jc w:val="both"/>
      </w:pPr>
      <w:r>
        <w:rPr>
          <w:color w:val="000000"/>
          <w:spacing w:val="0"/>
          <w:w w:val="100"/>
          <w:position w:val="0"/>
        </w:rPr>
        <w:t>同一控制下企业合并：合并方在企业合并中取得的资产和负债（包括最终控制方收购被合并方而形成的商誉），按照合 并日被合并方资产、负债在最终控制方合并财务报表中的账面价值为基础计量。在合并中取得的净资产账面价值与支付的合 并对价账面价值（或发行股份面值总额）的差额，调整资本公积中的股本溢价，资本公积中的股本溢价不足冲减的，调整留 存收益。</w:t>
      </w:r>
    </w:p>
    <w:p>
      <w:pPr>
        <w:pStyle w:val="Style41"/>
        <w:keepNext w:val="0"/>
        <w:keepLines w:val="0"/>
        <w:widowControl w:val="0"/>
        <w:shd w:val="clear" w:color="auto" w:fill="auto"/>
        <w:bidi w:val="0"/>
        <w:spacing w:before="0" w:after="0" w:line="470" w:lineRule="exact"/>
        <w:ind w:left="0" w:right="0"/>
        <w:jc w:val="both"/>
      </w:pPr>
      <w:r>
        <w:rPr>
          <w:color w:val="000000"/>
          <w:spacing w:val="0"/>
          <w:w w:val="100"/>
          <w:position w:val="0"/>
        </w:rPr>
        <w:t>非同一控制下企业合并：合并成本为购买方在购买日为取得被购买方的控制权而付出的资产、发生或承担的负债以及发 行的权益性证券的公允价值。合并成本大于合并中取得的被购买方可辨认净资产公允价值份额的差额，确认为商誉；合并成 本小于合并中取得的被购买方可辨认净资产公允价值份额的差额，计入当期损益。在合并中取得的被购买方符合确认条件的 各项可辨认资产、负债及或有负债在购买日按公允价值计量。</w:t>
      </w:r>
    </w:p>
    <w:p>
      <w:pPr>
        <w:pStyle w:val="Style41"/>
        <w:keepNext w:val="0"/>
        <w:keepLines w:val="0"/>
        <w:widowControl w:val="0"/>
        <w:shd w:val="clear" w:color="auto" w:fill="auto"/>
        <w:bidi w:val="0"/>
        <w:spacing w:before="0" w:after="480" w:line="470" w:lineRule="exact"/>
        <w:ind w:left="0" w:right="0"/>
        <w:jc w:val="both"/>
      </w:pPr>
      <w:r>
        <w:rPr>
          <w:color w:val="000000"/>
          <w:spacing w:val="0"/>
          <w:w w:val="100"/>
          <w:position w:val="0"/>
        </w:rPr>
        <w:t>为企业合并发生的直接相关费用于发生时计入当期损益；为企业合并而发行权益性证券或债务性证券的交易费用，计入 权益性证券或债务性证券的初始确认金额。</w:t>
      </w:r>
    </w:p>
    <w:p>
      <w:pPr>
        <w:pStyle w:val="Style47"/>
        <w:keepNext/>
        <w:keepLines/>
        <w:widowControl w:val="0"/>
        <w:shd w:val="clear" w:color="auto" w:fill="auto"/>
        <w:bidi w:val="0"/>
        <w:spacing w:before="0" w:after="400" w:line="240" w:lineRule="auto"/>
        <w:ind w:left="0" w:right="0" w:firstLine="0"/>
        <w:jc w:val="both"/>
      </w:pPr>
      <w:bookmarkStart w:id="871" w:name="bookmark871"/>
      <w:bookmarkStart w:id="872" w:name="bookmark872"/>
      <w:bookmarkStart w:id="873" w:name="bookmark873"/>
      <w:bookmarkStart w:id="874" w:name="bookmark874"/>
      <w:r>
        <w:rPr>
          <w:color w:val="000000"/>
          <w:spacing w:val="0"/>
          <w:w w:val="100"/>
          <w:position w:val="0"/>
        </w:rPr>
        <w:t>6</w:t>
      </w:r>
      <w:bookmarkEnd w:id="873"/>
      <w:r>
        <w:rPr>
          <w:color w:val="000000"/>
          <w:spacing w:val="0"/>
          <w:w w:val="100"/>
          <w:position w:val="0"/>
        </w:rPr>
        <w:t>、合并财务报表的编制方法</w:t>
      </w:r>
      <w:bookmarkEnd w:id="871"/>
      <w:bookmarkEnd w:id="872"/>
      <w:bookmarkEnd w:id="874"/>
    </w:p>
    <w:p>
      <w:pPr>
        <w:pStyle w:val="Style41"/>
        <w:keepNext w:val="0"/>
        <w:keepLines w:val="0"/>
        <w:widowControl w:val="0"/>
        <w:shd w:val="clear" w:color="auto" w:fill="auto"/>
        <w:tabs>
          <w:tab w:pos="406" w:val="left"/>
        </w:tabs>
        <w:bidi w:val="0"/>
        <w:spacing w:before="0" w:after="0" w:line="240" w:lineRule="auto"/>
        <w:ind w:left="0" w:right="0" w:firstLine="0"/>
        <w:jc w:val="both"/>
      </w:pPr>
      <w:bookmarkStart w:id="875" w:name="bookmark875"/>
      <w:r>
        <w:rPr>
          <w:b/>
          <w:bCs/>
          <w:color w:val="000000"/>
          <w:spacing w:val="0"/>
          <w:w w:val="100"/>
          <w:position w:val="0"/>
        </w:rPr>
        <w:t>（</w:t>
      </w:r>
      <w:bookmarkEnd w:id="875"/>
      <w:r>
        <w:rPr>
          <w:rFonts w:ascii="Times New Roman" w:eastAsia="Times New Roman" w:hAnsi="Times New Roman" w:cs="Times New Roman"/>
          <w:b/>
          <w:bCs/>
          <w:color w:val="000000"/>
          <w:spacing w:val="0"/>
          <w:w w:val="100"/>
          <w:position w:val="0"/>
          <w:sz w:val="18"/>
          <w:szCs w:val="18"/>
        </w:rPr>
        <w:t>1</w:t>
      </w:r>
      <w:r>
        <w:rPr>
          <w:b/>
          <w:bCs/>
          <w:color w:val="000000"/>
          <w:spacing w:val="0"/>
          <w:w w:val="100"/>
          <w:position w:val="0"/>
        </w:rPr>
        <w:t>）</w:t>
        <w:tab/>
        <w:t>合并范围</w:t>
      </w:r>
    </w:p>
    <w:p>
      <w:pPr>
        <w:pStyle w:val="Style41"/>
        <w:keepNext w:val="0"/>
        <w:keepLines w:val="0"/>
        <w:widowControl w:val="0"/>
        <w:shd w:val="clear" w:color="auto" w:fill="auto"/>
        <w:bidi w:val="0"/>
        <w:spacing w:before="0" w:after="480" w:line="461" w:lineRule="exact"/>
        <w:ind w:left="0" w:right="0"/>
        <w:jc w:val="both"/>
      </w:pPr>
      <w:r>
        <w:rPr>
          <w:color w:val="000000"/>
          <w:spacing w:val="0"/>
          <w:w w:val="100"/>
          <w:position w:val="0"/>
        </w:rPr>
        <w:t>合并财务报表的合并范围以控制为基础确定，合并范围包括本公司及全部子公司。控制，是指公司拥有对被投资方的权 力，通过参与被投资方的相关活动而享有可变回报，并且有能力运用对被投资方的权力影响其回报金额。</w:t>
      </w:r>
    </w:p>
    <w:p>
      <w:pPr>
        <w:pStyle w:val="Style41"/>
        <w:keepNext w:val="0"/>
        <w:keepLines w:val="0"/>
        <w:widowControl w:val="0"/>
        <w:shd w:val="clear" w:color="auto" w:fill="auto"/>
        <w:tabs>
          <w:tab w:pos="406" w:val="left"/>
        </w:tabs>
        <w:bidi w:val="0"/>
        <w:spacing w:before="0" w:after="0" w:line="240" w:lineRule="auto"/>
        <w:ind w:left="0" w:right="0" w:firstLine="0"/>
        <w:jc w:val="both"/>
      </w:pPr>
      <w:bookmarkStart w:id="876" w:name="bookmark876"/>
      <w:r>
        <w:rPr>
          <w:b/>
          <w:bCs/>
          <w:color w:val="000000"/>
          <w:spacing w:val="0"/>
          <w:w w:val="100"/>
          <w:position w:val="0"/>
        </w:rPr>
        <w:t>（</w:t>
      </w:r>
      <w:bookmarkEnd w:id="876"/>
      <w:r>
        <w:rPr>
          <w:rFonts w:ascii="Times New Roman" w:eastAsia="Times New Roman" w:hAnsi="Times New Roman" w:cs="Times New Roman"/>
          <w:b/>
          <w:bCs/>
          <w:color w:val="000000"/>
          <w:spacing w:val="0"/>
          <w:w w:val="100"/>
          <w:position w:val="0"/>
          <w:sz w:val="18"/>
          <w:szCs w:val="18"/>
        </w:rPr>
        <w:t>2</w:t>
      </w:r>
      <w:r>
        <w:rPr>
          <w:b/>
          <w:bCs/>
          <w:color w:val="000000"/>
          <w:spacing w:val="0"/>
          <w:w w:val="100"/>
          <w:position w:val="0"/>
        </w:rPr>
        <w:t>）</w:t>
        <w:tab/>
        <w:t>合并程序</w:t>
      </w:r>
    </w:p>
    <w:p>
      <w:pPr>
        <w:pStyle w:val="Style41"/>
        <w:keepNext w:val="0"/>
        <w:keepLines w:val="0"/>
        <w:widowControl w:val="0"/>
        <w:shd w:val="clear" w:color="auto" w:fill="auto"/>
        <w:bidi w:val="0"/>
        <w:spacing w:before="0" w:after="0" w:line="468" w:lineRule="exact"/>
        <w:ind w:left="0" w:right="0"/>
        <w:jc w:val="both"/>
      </w:pPr>
      <w:r>
        <w:rPr>
          <w:color w:val="000000"/>
          <w:spacing w:val="0"/>
          <w:w w:val="100"/>
          <w:position w:val="0"/>
        </w:rPr>
        <w:t>本公司将整个企业集团视为一个会计主体，按照统一的会计政策编制合并财务报表，反映本企业集团整体财务状况、经 营成果和现金流量。本公司与子公司、子公司相互之间发生的内部交易的影响予以抵销。内部交易表明相关资产发生减值损 失的，全额确认该部分损失。如子公司采用的会计政策、会计期间与本公司不一致的，在编制合并财务报表时，按本公司的 会计政策、会计期间进行必要的调整。</w:t>
      </w:r>
    </w:p>
    <w:p>
      <w:pPr>
        <w:pStyle w:val="Style41"/>
        <w:keepNext w:val="0"/>
        <w:keepLines w:val="0"/>
        <w:widowControl w:val="0"/>
        <w:shd w:val="clear" w:color="auto" w:fill="auto"/>
        <w:bidi w:val="0"/>
        <w:spacing w:before="0" w:after="440" w:line="468" w:lineRule="exact"/>
        <w:ind w:left="0" w:right="0"/>
        <w:jc w:val="both"/>
        <w:sectPr>
          <w:headerReference w:type="default" r:id="rId297"/>
          <w:footerReference w:type="default" r:id="rId298"/>
          <w:headerReference w:type="even" r:id="rId299"/>
          <w:footerReference w:type="even" r:id="rId300"/>
          <w:footnotePr>
            <w:pos w:val="pageBottom"/>
            <w:numFmt w:val="decimal"/>
            <w:numRestart w:val="continuous"/>
          </w:footnotePr>
          <w:type w:val="continuous"/>
          <w:pgSz w:w="11904" w:h="17375"/>
          <w:pgMar w:top="1657" w:right="1106" w:bottom="1802" w:left="1106" w:header="0" w:footer="3" w:gutter="0"/>
          <w:cols w:space="720"/>
          <w:noEndnote/>
          <w:rtlGutter w:val="0"/>
          <w:docGrid w:linePitch="360"/>
        </w:sectPr>
      </w:pPr>
      <w:r>
        <w:rPr>
          <w:color w:val="000000"/>
          <w:spacing w:val="0"/>
          <w:w w:val="100"/>
          <w:position w:val="0"/>
        </w:rPr>
        <w:t>子公司所有者权益、当期净损益和当期综合收益中属于少数股东的份额分别在合并资产负债表中所有者权益项目下、合 并利润表中净利润项目下和综合收益总额项目下单独列示。子公司少数股东分担的当期亏损超过了少数股东在该子公司期初</w:t>
      </w:r>
    </w:p>
    <w:p>
      <w:pPr>
        <w:pStyle w:val="Style212"/>
        <w:keepNext w:val="0"/>
        <w:keepLines w:val="0"/>
        <w:widowControl w:val="0"/>
        <w:shd w:val="clear" w:color="auto" w:fill="auto"/>
        <w:bidi w:val="0"/>
        <w:spacing w:before="0" w:after="0" w:line="240" w:lineRule="auto"/>
        <w:ind w:left="0" w:right="0" w:firstLine="0"/>
        <w:jc w:val="left"/>
      </w:pPr>
      <w:r>
        <w:rPr>
          <w:spacing w:val="0"/>
          <w:w w:val="100"/>
          <w:position w:val="0"/>
        </w:rPr>
        <w:t>Ultrapoiuer</w:t>
      </w:r>
    </w:p>
    <w:p>
      <w:pPr>
        <w:pStyle w:val="Style41"/>
        <w:keepNext w:val="0"/>
        <w:keepLines w:val="0"/>
        <w:widowControl w:val="0"/>
        <w:pBdr>
          <w:top w:val="single" w:sz="4" w:space="0" w:color="auto"/>
        </w:pBdr>
        <w:shd w:val="clear" w:color="auto" w:fill="auto"/>
        <w:bidi w:val="0"/>
        <w:spacing w:before="0" w:after="260" w:line="468" w:lineRule="exact"/>
        <w:ind w:left="0" w:right="0" w:firstLine="820"/>
        <w:jc w:val="both"/>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 所有者权益中所享有份额而形成的余额，冲减少数股东权益。</w:t>
      </w:r>
    </w:p>
    <w:p>
      <w:pPr>
        <w:pStyle w:val="Style41"/>
        <w:keepNext w:val="0"/>
        <w:keepLines w:val="0"/>
        <w:widowControl w:val="0"/>
        <w:shd w:val="clear" w:color="auto" w:fill="auto"/>
        <w:tabs>
          <w:tab w:pos="722" w:val="left"/>
        </w:tabs>
        <w:bidi w:val="0"/>
        <w:spacing w:before="0" w:after="0" w:line="542" w:lineRule="auto"/>
        <w:ind w:left="0" w:right="0"/>
        <w:jc w:val="both"/>
      </w:pPr>
      <w:bookmarkStart w:id="877" w:name="bookmark877"/>
      <w:r>
        <w:rPr>
          <w:rFonts w:ascii="Times New Roman" w:eastAsia="Times New Roman" w:hAnsi="Times New Roman" w:cs="Times New Roman"/>
          <w:color w:val="000000"/>
          <w:spacing w:val="0"/>
          <w:w w:val="100"/>
          <w:position w:val="0"/>
          <w:sz w:val="18"/>
          <w:szCs w:val="18"/>
        </w:rPr>
        <w:t>1</w:t>
      </w:r>
      <w:bookmarkEnd w:id="877"/>
      <w:r>
        <w:rPr>
          <w:color w:val="000000"/>
          <w:spacing w:val="0"/>
          <w:w w:val="100"/>
          <w:position w:val="0"/>
        </w:rPr>
        <w:t>）</w:t>
        <w:tab/>
        <w:t>增加子公司或业务</w:t>
      </w:r>
    </w:p>
    <w:p>
      <w:pPr>
        <w:pStyle w:val="Style41"/>
        <w:keepNext w:val="0"/>
        <w:keepLines w:val="0"/>
        <w:widowControl w:val="0"/>
        <w:shd w:val="clear" w:color="auto" w:fill="auto"/>
        <w:bidi w:val="0"/>
        <w:spacing w:before="0" w:after="0" w:line="468" w:lineRule="exact"/>
        <w:ind w:left="0" w:right="0"/>
        <w:jc w:val="both"/>
      </w:pPr>
      <w:r>
        <w:rPr>
          <w:color w:val="000000"/>
          <w:spacing w:val="0"/>
          <w:w w:val="100"/>
          <w:position w:val="0"/>
        </w:rPr>
        <w:t>在报告期内，因同一控制下企业合并增加子公司或业务的，将子公司或业务合并当期期初至报告期末的经营成果和现金 流量纳入合并财务报表，同时对合并财务报表的期初数和比较报表的相关项目进行调整，视同合并后的报告主体自最终控制 方开始控制时点起一直存在。</w:t>
      </w:r>
    </w:p>
    <w:p>
      <w:pPr>
        <w:pStyle w:val="Style41"/>
        <w:keepNext w:val="0"/>
        <w:keepLines w:val="0"/>
        <w:widowControl w:val="0"/>
        <w:shd w:val="clear" w:color="auto" w:fill="auto"/>
        <w:bidi w:val="0"/>
        <w:spacing w:before="0" w:after="0" w:line="468" w:lineRule="exact"/>
        <w:ind w:left="0" w:right="0"/>
        <w:jc w:val="both"/>
      </w:pPr>
      <w:r>
        <w:rPr>
          <w:color w:val="000000"/>
          <w:spacing w:val="0"/>
          <w:w w:val="100"/>
          <w:position w:val="0"/>
        </w:rPr>
        <w:t>因追加投资等原因能够对同一控制下的被投资方实施控制的，在取得被合并方控制权之前持有的股权投资，在取得原股 权之日与合并方和被合并方同处于同一控制之日孰晚日起至合并日之间已确认有关损益、其他综合收益以及其他净资产变 动，分别冲减比较报表期间的期初留存收益或当期损益。</w:t>
      </w:r>
    </w:p>
    <w:p>
      <w:pPr>
        <w:pStyle w:val="Style41"/>
        <w:keepNext w:val="0"/>
        <w:keepLines w:val="0"/>
        <w:widowControl w:val="0"/>
        <w:shd w:val="clear" w:color="auto" w:fill="auto"/>
        <w:bidi w:val="0"/>
        <w:spacing w:before="0" w:after="0" w:line="468" w:lineRule="exact"/>
        <w:ind w:left="0" w:right="0"/>
        <w:jc w:val="both"/>
      </w:pPr>
      <w:r>
        <w:rPr>
          <w:color w:val="000000"/>
          <w:spacing w:val="0"/>
          <w:w w:val="100"/>
          <w:position w:val="0"/>
        </w:rPr>
        <w:t>在报告期内，因非同一控制下企业合并增加子公司或业务的，以购买日确定的各项可辨认资产、负债及或有负债的公允 价值为基础自购买日起纳入合并财务报表。</w:t>
      </w:r>
    </w:p>
    <w:p>
      <w:pPr>
        <w:pStyle w:val="Style41"/>
        <w:keepNext w:val="0"/>
        <w:keepLines w:val="0"/>
        <w:widowControl w:val="0"/>
        <w:shd w:val="clear" w:color="auto" w:fill="auto"/>
        <w:bidi w:val="0"/>
        <w:spacing w:before="0" w:after="260" w:line="468" w:lineRule="exact"/>
        <w:ind w:left="0" w:right="0"/>
        <w:jc w:val="both"/>
      </w:pPr>
      <w:r>
        <w:rPr>
          <w:color w:val="000000"/>
          <w:spacing w:val="0"/>
          <w:w w:val="100"/>
          <w:position w:val="0"/>
        </w:rPr>
        <w:t>因追加投资等原因能够对非同一控制下的被投资方实施控制的，对于购买日之前持有的被购买方的股权，按照该股权在 购买日的公允价值进行重新计量，公允价值与其账面价值的差额计入当期投资收益。购买日之前持有的被购买方的股权涉及 的以后可重分类进损益的其他综合收益、权益法核算下的其他所有者权益变动转为购买日所属当期投资收益。</w:t>
      </w:r>
    </w:p>
    <w:p>
      <w:pPr>
        <w:pStyle w:val="Style41"/>
        <w:keepNext w:val="0"/>
        <w:keepLines w:val="0"/>
        <w:widowControl w:val="0"/>
        <w:shd w:val="clear" w:color="auto" w:fill="auto"/>
        <w:tabs>
          <w:tab w:pos="742" w:val="left"/>
        </w:tabs>
        <w:bidi w:val="0"/>
        <w:spacing w:before="0" w:after="0" w:line="542" w:lineRule="auto"/>
        <w:ind w:left="0" w:right="0"/>
        <w:jc w:val="both"/>
      </w:pPr>
      <w:bookmarkStart w:id="878" w:name="bookmark878"/>
      <w:r>
        <w:rPr>
          <w:rFonts w:ascii="Times New Roman" w:eastAsia="Times New Roman" w:hAnsi="Times New Roman" w:cs="Times New Roman"/>
          <w:color w:val="000000"/>
          <w:spacing w:val="0"/>
          <w:w w:val="100"/>
          <w:position w:val="0"/>
          <w:sz w:val="18"/>
          <w:szCs w:val="18"/>
        </w:rPr>
        <w:t>2</w:t>
      </w:r>
      <w:bookmarkEnd w:id="878"/>
      <w:r>
        <w:rPr>
          <w:color w:val="000000"/>
          <w:spacing w:val="0"/>
          <w:w w:val="100"/>
          <w:position w:val="0"/>
        </w:rPr>
        <w:t>）</w:t>
        <w:tab/>
        <w:t>处置子公司</w:t>
      </w:r>
    </w:p>
    <w:p>
      <w:pPr>
        <w:pStyle w:val="Style41"/>
        <w:keepNext w:val="0"/>
        <w:keepLines w:val="0"/>
        <w:widowControl w:val="0"/>
        <w:numPr>
          <w:ilvl w:val="0"/>
          <w:numId w:val="19"/>
        </w:numPr>
        <w:shd w:val="clear" w:color="auto" w:fill="auto"/>
        <w:tabs>
          <w:tab w:pos="746" w:val="left"/>
        </w:tabs>
        <w:bidi w:val="0"/>
        <w:spacing w:before="0" w:after="0" w:line="468" w:lineRule="exact"/>
        <w:ind w:left="0" w:right="0"/>
        <w:jc w:val="both"/>
      </w:pPr>
      <w:bookmarkStart w:id="879" w:name="bookmark879"/>
      <w:bookmarkEnd w:id="879"/>
      <w:r>
        <w:rPr>
          <w:color w:val="000000"/>
          <w:spacing w:val="0"/>
          <w:w w:val="100"/>
          <w:position w:val="0"/>
        </w:rPr>
        <w:t>一般处理方法</w:t>
      </w:r>
    </w:p>
    <w:p>
      <w:pPr>
        <w:pStyle w:val="Style41"/>
        <w:keepNext w:val="0"/>
        <w:keepLines w:val="0"/>
        <w:widowControl w:val="0"/>
        <w:shd w:val="clear" w:color="auto" w:fill="auto"/>
        <w:bidi w:val="0"/>
        <w:spacing w:before="0" w:after="0" w:line="468" w:lineRule="exact"/>
        <w:ind w:left="0" w:right="0"/>
        <w:jc w:val="both"/>
      </w:pPr>
      <w:r>
        <w:rPr>
          <w:color w:val="000000"/>
          <w:spacing w:val="0"/>
          <w:w w:val="100"/>
          <w:position w:val="0"/>
        </w:rPr>
        <w:t>因处置部分股权投资或其他原因丧失了对被投资方控制权时，对于处置后的剩余股权投资，按照其在丧失控制权日的公 允价值进行重新计量。处置股权取得的对价与剩余股权公允价值之和，减去按原持股比例计算应享有原有子公司自购买日或 合并日开始持续计算的净资产的份额与商誉之和的差额，计入丧失控制权当期的投资收益。与原有子公司股权投资相关的以 后可重分类进损益的其他综合收益、权益法核算下的其他所有者权益变动，在丧失控制权时转为当期投资收益。</w:t>
      </w:r>
    </w:p>
    <w:p>
      <w:pPr>
        <w:pStyle w:val="Style41"/>
        <w:keepNext w:val="0"/>
        <w:keepLines w:val="0"/>
        <w:widowControl w:val="0"/>
        <w:numPr>
          <w:ilvl w:val="0"/>
          <w:numId w:val="19"/>
        </w:numPr>
        <w:shd w:val="clear" w:color="auto" w:fill="auto"/>
        <w:tabs>
          <w:tab w:pos="746" w:val="left"/>
        </w:tabs>
        <w:bidi w:val="0"/>
        <w:spacing w:before="0" w:after="0" w:line="468" w:lineRule="exact"/>
        <w:ind w:left="0" w:right="0"/>
        <w:jc w:val="both"/>
      </w:pPr>
      <w:bookmarkStart w:id="880" w:name="bookmark880"/>
      <w:bookmarkEnd w:id="880"/>
      <w:r>
        <w:rPr>
          <w:color w:val="000000"/>
          <w:spacing w:val="0"/>
          <w:w w:val="100"/>
          <w:position w:val="0"/>
        </w:rPr>
        <w:t>分步处置子公司</w:t>
      </w:r>
    </w:p>
    <w:p>
      <w:pPr>
        <w:pStyle w:val="Style41"/>
        <w:keepNext w:val="0"/>
        <w:keepLines w:val="0"/>
        <w:widowControl w:val="0"/>
        <w:shd w:val="clear" w:color="auto" w:fill="auto"/>
        <w:bidi w:val="0"/>
        <w:spacing w:before="0" w:after="0" w:line="468" w:lineRule="exact"/>
        <w:ind w:left="0" w:right="0"/>
        <w:jc w:val="both"/>
      </w:pPr>
      <w:r>
        <w:rPr>
          <w:color w:val="000000"/>
          <w:spacing w:val="0"/>
          <w:w w:val="100"/>
          <w:position w:val="0"/>
        </w:rPr>
        <w:t>通过多次交易分步处置对子公司股权投资直至丧失控制权的，处置对子公司股权投资的各项交易的条款、条件以及经济 影响符合以下一种或多种情况，通常表明该多次交易事项为一揽子交易：</w:t>
      </w:r>
    </w:p>
    <w:p>
      <w:pPr>
        <w:pStyle w:val="Style41"/>
        <w:keepNext w:val="0"/>
        <w:keepLines w:val="0"/>
        <w:widowControl w:val="0"/>
        <w:numPr>
          <w:ilvl w:val="0"/>
          <w:numId w:val="21"/>
        </w:numPr>
        <w:shd w:val="clear" w:color="auto" w:fill="auto"/>
        <w:bidi w:val="0"/>
        <w:spacing w:before="0" w:after="0" w:line="468" w:lineRule="exact"/>
        <w:ind w:left="0" w:right="0"/>
        <w:jc w:val="both"/>
      </w:pPr>
      <w:bookmarkStart w:id="881" w:name="bookmark881"/>
      <w:bookmarkEnd w:id="881"/>
      <w:r>
        <w:rPr>
          <w:color w:val="000000"/>
          <w:spacing w:val="0"/>
          <w:w w:val="100"/>
          <w:position w:val="0"/>
        </w:rPr>
        <w:t>这些交易是同时或者在考虑了彼此影响的情况下订立的；</w:t>
      </w:r>
    </w:p>
    <w:p>
      <w:pPr>
        <w:pStyle w:val="Style41"/>
        <w:keepNext w:val="0"/>
        <w:keepLines w:val="0"/>
        <w:widowControl w:val="0"/>
        <w:numPr>
          <w:ilvl w:val="0"/>
          <w:numId w:val="21"/>
        </w:numPr>
        <w:shd w:val="clear" w:color="auto" w:fill="auto"/>
        <w:tabs>
          <w:tab w:pos="761" w:val="left"/>
        </w:tabs>
        <w:bidi w:val="0"/>
        <w:spacing w:before="0" w:after="0" w:line="468" w:lineRule="exact"/>
        <w:ind w:left="0" w:right="0"/>
        <w:jc w:val="both"/>
      </w:pPr>
      <w:bookmarkStart w:id="882" w:name="bookmark882"/>
      <w:bookmarkEnd w:id="882"/>
      <w:r>
        <w:rPr>
          <w:color w:val="000000"/>
          <w:spacing w:val="0"/>
          <w:w w:val="100"/>
          <w:position w:val="0"/>
        </w:rPr>
        <w:t>这些交易整体才能达成一项完整的商业结果；</w:t>
      </w:r>
    </w:p>
    <w:p>
      <w:pPr>
        <w:pStyle w:val="Style41"/>
        <w:keepNext w:val="0"/>
        <w:keepLines w:val="0"/>
        <w:widowControl w:val="0"/>
        <w:numPr>
          <w:ilvl w:val="0"/>
          <w:numId w:val="21"/>
        </w:numPr>
        <w:shd w:val="clear" w:color="auto" w:fill="auto"/>
        <w:tabs>
          <w:tab w:pos="780" w:val="left"/>
        </w:tabs>
        <w:bidi w:val="0"/>
        <w:spacing w:before="0" w:after="0" w:line="468" w:lineRule="exact"/>
        <w:ind w:left="0" w:right="0"/>
        <w:jc w:val="both"/>
      </w:pPr>
      <w:bookmarkStart w:id="883" w:name="bookmark883"/>
      <w:bookmarkEnd w:id="883"/>
      <w:r>
        <w:rPr>
          <w:color w:val="000000"/>
          <w:spacing w:val="0"/>
          <w:w w:val="100"/>
          <w:position w:val="0"/>
        </w:rPr>
        <w:t>一项交易的发生取决于其他至少一项交易的发生；</w:t>
      </w:r>
    </w:p>
    <w:p>
      <w:pPr>
        <w:pStyle w:val="Style41"/>
        <w:keepNext w:val="0"/>
        <w:keepLines w:val="0"/>
        <w:widowControl w:val="0"/>
        <w:numPr>
          <w:ilvl w:val="0"/>
          <w:numId w:val="21"/>
        </w:numPr>
        <w:shd w:val="clear" w:color="auto" w:fill="auto"/>
        <w:tabs>
          <w:tab w:pos="780" w:val="left"/>
        </w:tabs>
        <w:bidi w:val="0"/>
        <w:spacing w:before="0" w:after="0" w:line="468" w:lineRule="exact"/>
        <w:ind w:left="0" w:right="0"/>
        <w:jc w:val="both"/>
      </w:pPr>
      <w:bookmarkStart w:id="884" w:name="bookmark884"/>
      <w:bookmarkEnd w:id="884"/>
      <w:r>
        <w:rPr>
          <w:color w:val="000000"/>
          <w:spacing w:val="0"/>
          <w:w w:val="100"/>
          <w:position w:val="0"/>
        </w:rPr>
        <w:t>一项交易单独看是不经济的，但是和其他交易一并考虑时是经济的。</w:t>
      </w:r>
    </w:p>
    <w:p>
      <w:pPr>
        <w:pStyle w:val="Style41"/>
        <w:keepNext w:val="0"/>
        <w:keepLines w:val="0"/>
        <w:widowControl w:val="0"/>
        <w:shd w:val="clear" w:color="auto" w:fill="auto"/>
        <w:bidi w:val="0"/>
        <w:spacing w:before="0" w:after="0" w:line="468" w:lineRule="exact"/>
        <w:ind w:left="0" w:right="0"/>
        <w:jc w:val="both"/>
      </w:pPr>
      <w:r>
        <w:rPr>
          <w:color w:val="000000"/>
          <w:spacing w:val="0"/>
          <w:w w:val="100"/>
          <w:position w:val="0"/>
        </w:rPr>
        <w:t>各项交易属于一揽子交易的，将各项交易作为一项处置子公司并丧失控制权的交易进行会计处理；在丧失控制权之前每 一次处置价款与处置投资对应的享有该子公司净资产份额的差额，在合并财务报表中确认为其他综合收益，在丧失控制权时 一并转入丧失控制权当期的损益。</w:t>
      </w:r>
    </w:p>
    <w:p>
      <w:pPr>
        <w:pStyle w:val="Style41"/>
        <w:keepNext w:val="0"/>
        <w:keepLines w:val="0"/>
        <w:widowControl w:val="0"/>
        <w:shd w:val="clear" w:color="auto" w:fill="auto"/>
        <w:bidi w:val="0"/>
        <w:spacing w:before="0" w:after="120" w:line="468" w:lineRule="exact"/>
        <w:ind w:left="0" w:right="0"/>
        <w:jc w:val="both"/>
      </w:pPr>
      <w:r>
        <w:rPr>
          <w:color w:val="000000"/>
          <w:spacing w:val="0"/>
          <w:w w:val="100"/>
          <w:position w:val="0"/>
        </w:rPr>
        <w:t>各项交易不属于一揽子交易的，在丧失控制权之前，按不丧失控制权的情况下部分处置对子公司的股权投资进行会计处</w:t>
      </w:r>
    </w:p>
    <w:p>
      <w:pPr>
        <w:pStyle w:val="Style212"/>
        <w:keepNext w:val="0"/>
        <w:keepLines w:val="0"/>
        <w:widowControl w:val="0"/>
        <w:shd w:val="clear" w:color="auto" w:fill="auto"/>
        <w:bidi w:val="0"/>
        <w:spacing w:before="0" w:after="0" w:line="240" w:lineRule="auto"/>
        <w:ind w:left="0" w:right="0" w:firstLine="0"/>
        <w:jc w:val="left"/>
      </w:pPr>
      <w:r>
        <w:rPr>
          <w:spacing w:val="0"/>
          <w:w w:val="100"/>
          <w:position w:val="0"/>
        </w:rPr>
        <w:t>Ultrapoiuer</w:t>
      </w:r>
    </w:p>
    <w:p>
      <w:pPr>
        <w:pStyle w:val="Style41"/>
        <w:keepNext w:val="0"/>
        <w:keepLines w:val="0"/>
        <w:widowControl w:val="0"/>
        <w:pBdr>
          <w:top w:val="single" w:sz="4" w:space="0" w:color="auto"/>
        </w:pBdr>
        <w:shd w:val="clear" w:color="auto" w:fill="auto"/>
        <w:bidi w:val="0"/>
        <w:spacing w:before="0" w:after="0" w:line="451" w:lineRule="exact"/>
        <w:ind w:left="0" w:right="0" w:firstLine="820"/>
        <w:jc w:val="both"/>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 理；在丧失控制权时，按处置子公司一般处理方法进行会计处理。</w:t>
      </w:r>
    </w:p>
    <w:p>
      <w:pPr>
        <w:pStyle w:val="Style41"/>
        <w:keepNext w:val="0"/>
        <w:keepLines w:val="0"/>
        <w:widowControl w:val="0"/>
        <w:shd w:val="clear" w:color="auto" w:fill="auto"/>
        <w:tabs>
          <w:tab w:pos="738" w:val="left"/>
        </w:tabs>
        <w:bidi w:val="0"/>
        <w:spacing w:before="0" w:after="0" w:line="451" w:lineRule="exact"/>
        <w:ind w:left="0" w:right="0"/>
        <w:jc w:val="left"/>
      </w:pPr>
      <w:bookmarkStart w:id="885" w:name="bookmark885"/>
      <w:r>
        <w:rPr>
          <w:rFonts w:ascii="Times New Roman" w:eastAsia="Times New Roman" w:hAnsi="Times New Roman" w:cs="Times New Roman"/>
          <w:color w:val="000000"/>
          <w:spacing w:val="0"/>
          <w:w w:val="100"/>
          <w:position w:val="0"/>
          <w:sz w:val="18"/>
          <w:szCs w:val="18"/>
        </w:rPr>
        <w:t>3</w:t>
      </w:r>
      <w:bookmarkEnd w:id="885"/>
      <w:r>
        <w:rPr>
          <w:color w:val="000000"/>
          <w:spacing w:val="0"/>
          <w:w w:val="100"/>
          <w:position w:val="0"/>
        </w:rPr>
        <w:t>）</w:t>
        <w:tab/>
        <w:t>购买子公司少数股权</w:t>
      </w:r>
    </w:p>
    <w:p>
      <w:pPr>
        <w:pStyle w:val="Style41"/>
        <w:keepNext w:val="0"/>
        <w:keepLines w:val="0"/>
        <w:widowControl w:val="0"/>
        <w:shd w:val="clear" w:color="auto" w:fill="auto"/>
        <w:bidi w:val="0"/>
        <w:spacing w:before="0" w:after="0" w:line="463" w:lineRule="exact"/>
        <w:ind w:left="0" w:right="0"/>
        <w:jc w:val="left"/>
      </w:pPr>
      <w:r>
        <w:rPr>
          <w:color w:val="000000"/>
          <w:spacing w:val="0"/>
          <w:w w:val="100"/>
          <w:position w:val="0"/>
        </w:rPr>
        <w:t>因购买少数股权新取得的长期股权投资与按照新增持股比例计算应享有子公司自购买日或合并日开始持续计算的净资 产份额之间的差额，调整合并资产负债表中的资本公积中的股本溢价，资本公积中的股本溢价不足冲减的，调整留存收益。</w:t>
      </w:r>
    </w:p>
    <w:p>
      <w:pPr>
        <w:pStyle w:val="Style41"/>
        <w:keepNext w:val="0"/>
        <w:keepLines w:val="0"/>
        <w:widowControl w:val="0"/>
        <w:shd w:val="clear" w:color="auto" w:fill="auto"/>
        <w:tabs>
          <w:tab w:pos="748" w:val="left"/>
        </w:tabs>
        <w:bidi w:val="0"/>
        <w:spacing w:before="0" w:after="0" w:line="463" w:lineRule="exact"/>
        <w:ind w:left="0" w:right="0"/>
        <w:jc w:val="left"/>
      </w:pPr>
      <w:bookmarkStart w:id="886" w:name="bookmark886"/>
      <w:r>
        <w:rPr>
          <w:rFonts w:ascii="Times New Roman" w:eastAsia="Times New Roman" w:hAnsi="Times New Roman" w:cs="Times New Roman"/>
          <w:color w:val="000000"/>
          <w:spacing w:val="0"/>
          <w:w w:val="100"/>
          <w:position w:val="0"/>
          <w:sz w:val="18"/>
          <w:szCs w:val="18"/>
        </w:rPr>
        <w:t>4</w:t>
      </w:r>
      <w:bookmarkEnd w:id="886"/>
      <w:r>
        <w:rPr>
          <w:color w:val="000000"/>
          <w:spacing w:val="0"/>
          <w:w w:val="100"/>
          <w:position w:val="0"/>
        </w:rPr>
        <w:t>）</w:t>
        <w:tab/>
        <w:t>不丧失控制权的情况下部分处置对子公司的股权投资</w:t>
      </w:r>
    </w:p>
    <w:p>
      <w:pPr>
        <w:pStyle w:val="Style41"/>
        <w:keepNext w:val="0"/>
        <w:keepLines w:val="0"/>
        <w:widowControl w:val="0"/>
        <w:shd w:val="clear" w:color="auto" w:fill="auto"/>
        <w:bidi w:val="0"/>
        <w:spacing w:before="0" w:after="460" w:line="463" w:lineRule="exact"/>
        <w:ind w:left="0" w:right="0"/>
        <w:jc w:val="left"/>
      </w:pPr>
      <w:r>
        <w:rPr>
          <w:color w:val="000000"/>
          <w:spacing w:val="0"/>
          <w:w w:val="100"/>
          <w:position w:val="0"/>
        </w:rPr>
        <w:t>处置价款与处置长期股权投资相对应享有子公司自购买日或合并日开始持续计算的净资产份额之间的差额，调整合并资 产负债表中的资本公积中的股本溢价，资本公积中的股本溢价不足冲减的，调整留存收益。</w:t>
      </w:r>
    </w:p>
    <w:p>
      <w:pPr>
        <w:pStyle w:val="Style47"/>
        <w:keepNext/>
        <w:keepLines/>
        <w:widowControl w:val="0"/>
        <w:shd w:val="clear" w:color="auto" w:fill="auto"/>
        <w:tabs>
          <w:tab w:pos="373" w:val="left"/>
        </w:tabs>
        <w:bidi w:val="0"/>
        <w:spacing w:before="0" w:after="220" w:line="240" w:lineRule="auto"/>
        <w:ind w:left="0" w:right="0" w:firstLine="0"/>
        <w:jc w:val="left"/>
      </w:pPr>
      <w:bookmarkStart w:id="887" w:name="bookmark887"/>
      <w:bookmarkStart w:id="888" w:name="bookmark888"/>
      <w:bookmarkStart w:id="889" w:name="bookmark889"/>
      <w:bookmarkStart w:id="890" w:name="bookmark890"/>
      <w:r>
        <w:rPr>
          <w:color w:val="000000"/>
          <w:spacing w:val="0"/>
          <w:w w:val="100"/>
          <w:position w:val="0"/>
        </w:rPr>
        <w:t>7</w:t>
      </w:r>
      <w:bookmarkEnd w:id="889"/>
      <w:r>
        <w:rPr>
          <w:color w:val="000000"/>
          <w:spacing w:val="0"/>
          <w:w w:val="100"/>
          <w:position w:val="0"/>
        </w:rPr>
        <w:t>、</w:t>
        <w:tab/>
        <w:t>合营安排分类及共同经营会计处理方法</w:t>
      </w:r>
      <w:bookmarkEnd w:id="887"/>
      <w:bookmarkEnd w:id="888"/>
      <w:bookmarkEnd w:id="890"/>
    </w:p>
    <w:p>
      <w:pPr>
        <w:pStyle w:val="Style41"/>
        <w:keepNext w:val="0"/>
        <w:keepLines w:val="0"/>
        <w:widowControl w:val="0"/>
        <w:shd w:val="clear" w:color="auto" w:fill="auto"/>
        <w:bidi w:val="0"/>
        <w:spacing w:before="0" w:after="0" w:line="463" w:lineRule="exact"/>
        <w:ind w:left="0" w:right="0"/>
        <w:jc w:val="left"/>
      </w:pPr>
      <w:r>
        <w:rPr>
          <w:color w:val="000000"/>
          <w:spacing w:val="0"/>
          <w:w w:val="100"/>
          <w:position w:val="0"/>
        </w:rPr>
        <w:t>合营安排分为共同经营和合营企业。</w:t>
      </w:r>
    </w:p>
    <w:p>
      <w:pPr>
        <w:pStyle w:val="Style41"/>
        <w:keepNext w:val="0"/>
        <w:keepLines w:val="0"/>
        <w:widowControl w:val="0"/>
        <w:shd w:val="clear" w:color="auto" w:fill="auto"/>
        <w:bidi w:val="0"/>
        <w:spacing w:before="0" w:after="0" w:line="463" w:lineRule="exact"/>
        <w:ind w:left="0" w:right="0"/>
        <w:jc w:val="left"/>
      </w:pPr>
      <w:r>
        <w:rPr>
          <w:color w:val="000000"/>
          <w:spacing w:val="0"/>
          <w:w w:val="100"/>
          <w:position w:val="0"/>
        </w:rPr>
        <w:t>共同经营，是指合营方享有该安排相关资产且承担该安排相关负债的合营安排。</w:t>
      </w:r>
    </w:p>
    <w:p>
      <w:pPr>
        <w:pStyle w:val="Style41"/>
        <w:keepNext w:val="0"/>
        <w:keepLines w:val="0"/>
        <w:widowControl w:val="0"/>
        <w:shd w:val="clear" w:color="auto" w:fill="auto"/>
        <w:bidi w:val="0"/>
        <w:spacing w:before="0" w:after="0" w:line="463" w:lineRule="exact"/>
        <w:ind w:left="0" w:right="0"/>
        <w:jc w:val="left"/>
      </w:pPr>
      <w:r>
        <w:rPr>
          <w:color w:val="000000"/>
          <w:spacing w:val="0"/>
          <w:w w:val="100"/>
          <w:position w:val="0"/>
        </w:rPr>
        <w:t>本公司确认与共同经营中利益份额相关的下列项目：</w:t>
      </w:r>
    </w:p>
    <w:p>
      <w:pPr>
        <w:pStyle w:val="Style41"/>
        <w:keepNext w:val="0"/>
        <w:keepLines w:val="0"/>
        <w:widowControl w:val="0"/>
        <w:shd w:val="clear" w:color="auto" w:fill="auto"/>
        <w:tabs>
          <w:tab w:pos="825" w:val="left"/>
        </w:tabs>
        <w:bidi w:val="0"/>
        <w:spacing w:before="0" w:after="0" w:line="463" w:lineRule="exact"/>
        <w:ind w:left="0" w:right="0"/>
        <w:jc w:val="left"/>
      </w:pPr>
      <w:bookmarkStart w:id="891" w:name="bookmark891"/>
      <w:r>
        <w:rPr>
          <w:color w:val="000000"/>
          <w:spacing w:val="0"/>
          <w:w w:val="100"/>
          <w:position w:val="0"/>
        </w:rPr>
        <w:t>（</w:t>
      </w:r>
      <w:bookmarkEnd w:id="891"/>
      <w:r>
        <w:rPr>
          <w:rFonts w:ascii="Times New Roman" w:eastAsia="Times New Roman" w:hAnsi="Times New Roman" w:cs="Times New Roman"/>
          <w:color w:val="000000"/>
          <w:spacing w:val="0"/>
          <w:w w:val="100"/>
          <w:position w:val="0"/>
          <w:sz w:val="18"/>
          <w:szCs w:val="18"/>
        </w:rPr>
        <w:t>1</w:t>
      </w:r>
      <w:r>
        <w:rPr>
          <w:color w:val="000000"/>
          <w:spacing w:val="0"/>
          <w:w w:val="100"/>
          <w:position w:val="0"/>
        </w:rPr>
        <w:t>）</w:t>
        <w:tab/>
        <w:t>确认本公司单独所持有的资产，以及按本公司份额确认共同持有的资产；</w:t>
      </w:r>
    </w:p>
    <w:p>
      <w:pPr>
        <w:pStyle w:val="Style41"/>
        <w:keepNext w:val="0"/>
        <w:keepLines w:val="0"/>
        <w:widowControl w:val="0"/>
        <w:shd w:val="clear" w:color="auto" w:fill="auto"/>
        <w:tabs>
          <w:tab w:pos="825" w:val="left"/>
        </w:tabs>
        <w:bidi w:val="0"/>
        <w:spacing w:before="0" w:after="0" w:line="463" w:lineRule="exact"/>
        <w:ind w:left="0" w:right="0"/>
        <w:jc w:val="left"/>
      </w:pPr>
      <w:bookmarkStart w:id="892" w:name="bookmark892"/>
      <w:r>
        <w:rPr>
          <w:color w:val="000000"/>
          <w:spacing w:val="0"/>
          <w:w w:val="100"/>
          <w:position w:val="0"/>
        </w:rPr>
        <w:t>（</w:t>
      </w:r>
      <w:bookmarkEnd w:id="892"/>
      <w:r>
        <w:rPr>
          <w:rFonts w:ascii="Times New Roman" w:eastAsia="Times New Roman" w:hAnsi="Times New Roman" w:cs="Times New Roman"/>
          <w:color w:val="000000"/>
          <w:spacing w:val="0"/>
          <w:w w:val="100"/>
          <w:position w:val="0"/>
          <w:sz w:val="18"/>
          <w:szCs w:val="18"/>
        </w:rPr>
        <w:t>2</w:t>
      </w:r>
      <w:r>
        <w:rPr>
          <w:color w:val="000000"/>
          <w:spacing w:val="0"/>
          <w:w w:val="100"/>
          <w:position w:val="0"/>
        </w:rPr>
        <w:t>）</w:t>
        <w:tab/>
        <w:t>确认本公司单独所承担的负债，以及按本公司份额确认共同承担的负债；</w:t>
      </w:r>
    </w:p>
    <w:p>
      <w:pPr>
        <w:pStyle w:val="Style41"/>
        <w:keepNext w:val="0"/>
        <w:keepLines w:val="0"/>
        <w:widowControl w:val="0"/>
        <w:shd w:val="clear" w:color="auto" w:fill="auto"/>
        <w:tabs>
          <w:tab w:pos="825" w:val="left"/>
        </w:tabs>
        <w:bidi w:val="0"/>
        <w:spacing w:before="0" w:after="0" w:line="463" w:lineRule="exact"/>
        <w:ind w:left="0" w:right="0"/>
        <w:jc w:val="left"/>
      </w:pPr>
      <w:bookmarkStart w:id="893" w:name="bookmark893"/>
      <w:r>
        <w:rPr>
          <w:color w:val="000000"/>
          <w:spacing w:val="0"/>
          <w:w w:val="100"/>
          <w:position w:val="0"/>
        </w:rPr>
        <w:t>（</w:t>
      </w:r>
      <w:bookmarkEnd w:id="893"/>
      <w:r>
        <w:rPr>
          <w:rFonts w:ascii="Times New Roman" w:eastAsia="Times New Roman" w:hAnsi="Times New Roman" w:cs="Times New Roman"/>
          <w:color w:val="000000"/>
          <w:spacing w:val="0"/>
          <w:w w:val="100"/>
          <w:position w:val="0"/>
          <w:sz w:val="18"/>
          <w:szCs w:val="18"/>
        </w:rPr>
        <w:t>3</w:t>
      </w:r>
      <w:r>
        <w:rPr>
          <w:color w:val="000000"/>
          <w:spacing w:val="0"/>
          <w:w w:val="100"/>
          <w:position w:val="0"/>
        </w:rPr>
        <w:t>）</w:t>
        <w:tab/>
        <w:t>确认出售本公司享有的共同经营产出份额所产生的收入；</w:t>
      </w:r>
    </w:p>
    <w:p>
      <w:pPr>
        <w:pStyle w:val="Style41"/>
        <w:keepNext w:val="0"/>
        <w:keepLines w:val="0"/>
        <w:widowControl w:val="0"/>
        <w:shd w:val="clear" w:color="auto" w:fill="auto"/>
        <w:tabs>
          <w:tab w:pos="825" w:val="left"/>
        </w:tabs>
        <w:bidi w:val="0"/>
        <w:spacing w:before="0" w:after="0" w:line="463" w:lineRule="exact"/>
        <w:ind w:left="0" w:right="0"/>
        <w:jc w:val="left"/>
      </w:pPr>
      <w:bookmarkStart w:id="894" w:name="bookmark894"/>
      <w:r>
        <w:rPr>
          <w:color w:val="000000"/>
          <w:spacing w:val="0"/>
          <w:w w:val="100"/>
          <w:position w:val="0"/>
        </w:rPr>
        <w:t>（</w:t>
      </w:r>
      <w:bookmarkEnd w:id="894"/>
      <w:r>
        <w:rPr>
          <w:rFonts w:ascii="Times New Roman" w:eastAsia="Times New Roman" w:hAnsi="Times New Roman" w:cs="Times New Roman"/>
          <w:color w:val="000000"/>
          <w:spacing w:val="0"/>
          <w:w w:val="100"/>
          <w:position w:val="0"/>
          <w:sz w:val="18"/>
          <w:szCs w:val="18"/>
        </w:rPr>
        <w:t>4</w:t>
      </w:r>
      <w:r>
        <w:rPr>
          <w:color w:val="000000"/>
          <w:spacing w:val="0"/>
          <w:w w:val="100"/>
          <w:position w:val="0"/>
        </w:rPr>
        <w:t>）</w:t>
        <w:tab/>
        <w:t>按本公司份额确认共同经营因出售产出所产生的收入；</w:t>
      </w:r>
    </w:p>
    <w:p>
      <w:pPr>
        <w:pStyle w:val="Style41"/>
        <w:keepNext w:val="0"/>
        <w:keepLines w:val="0"/>
        <w:widowControl w:val="0"/>
        <w:shd w:val="clear" w:color="auto" w:fill="auto"/>
        <w:tabs>
          <w:tab w:pos="825" w:val="left"/>
        </w:tabs>
        <w:bidi w:val="0"/>
        <w:spacing w:before="0" w:after="0" w:line="463" w:lineRule="exact"/>
        <w:ind w:left="0" w:right="0"/>
        <w:jc w:val="left"/>
      </w:pPr>
      <w:bookmarkStart w:id="895" w:name="bookmark895"/>
      <w:r>
        <w:rPr>
          <w:color w:val="000000"/>
          <w:spacing w:val="0"/>
          <w:w w:val="100"/>
          <w:position w:val="0"/>
        </w:rPr>
        <w:t>（</w:t>
      </w:r>
      <w:bookmarkEnd w:id="895"/>
      <w:r>
        <w:rPr>
          <w:rFonts w:ascii="Times New Roman" w:eastAsia="Times New Roman" w:hAnsi="Times New Roman" w:cs="Times New Roman"/>
          <w:color w:val="000000"/>
          <w:spacing w:val="0"/>
          <w:w w:val="100"/>
          <w:position w:val="0"/>
          <w:sz w:val="18"/>
          <w:szCs w:val="18"/>
        </w:rPr>
        <w:t>5</w:t>
      </w:r>
      <w:r>
        <w:rPr>
          <w:color w:val="000000"/>
          <w:spacing w:val="0"/>
          <w:w w:val="100"/>
          <w:position w:val="0"/>
        </w:rPr>
        <w:t>）</w:t>
        <w:tab/>
        <w:t>确认单独所发生的费用，以及按本公司份额确认共同经营发生的费用。</w:t>
      </w:r>
    </w:p>
    <w:p>
      <w:pPr>
        <w:pStyle w:val="Style41"/>
        <w:keepNext w:val="0"/>
        <w:keepLines w:val="0"/>
        <w:widowControl w:val="0"/>
        <w:shd w:val="clear" w:color="auto" w:fill="auto"/>
        <w:bidi w:val="0"/>
        <w:spacing w:before="0" w:after="460" w:line="463" w:lineRule="exact"/>
        <w:ind w:left="0" w:right="0"/>
        <w:jc w:val="left"/>
      </w:pPr>
      <w:r>
        <w:rPr>
          <w:color w:val="000000"/>
          <w:spacing w:val="0"/>
          <w:w w:val="100"/>
          <w:position w:val="0"/>
        </w:rPr>
        <w:t>本公司对合营企业的投资采用权益法核算，详见本附注</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五、</w:t>
      </w:r>
      <w:r>
        <w:rPr>
          <w:rFonts w:ascii="Times New Roman" w:eastAsia="Times New Roman" w:hAnsi="Times New Roman" w:cs="Times New Roman"/>
          <w:color w:val="000000"/>
          <w:spacing w:val="0"/>
          <w:w w:val="100"/>
          <w:position w:val="0"/>
          <w:sz w:val="18"/>
          <w:szCs w:val="18"/>
        </w:rPr>
        <w:t>22</w:t>
      </w:r>
      <w:r>
        <w:rPr>
          <w:color w:val="000000"/>
          <w:spacing w:val="0"/>
          <w:w w:val="100"/>
          <w:position w:val="0"/>
        </w:rPr>
        <w:t>长期股权投资</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p>
      <w:pPr>
        <w:pStyle w:val="Style47"/>
        <w:keepNext/>
        <w:keepLines/>
        <w:widowControl w:val="0"/>
        <w:shd w:val="clear" w:color="auto" w:fill="auto"/>
        <w:tabs>
          <w:tab w:pos="378" w:val="left"/>
        </w:tabs>
        <w:bidi w:val="0"/>
        <w:spacing w:before="0" w:after="220" w:line="240" w:lineRule="auto"/>
        <w:ind w:left="0" w:right="0" w:firstLine="0"/>
        <w:jc w:val="left"/>
      </w:pPr>
      <w:bookmarkStart w:id="896" w:name="bookmark896"/>
      <w:bookmarkStart w:id="897" w:name="bookmark897"/>
      <w:bookmarkStart w:id="898" w:name="bookmark898"/>
      <w:bookmarkStart w:id="899" w:name="bookmark899"/>
      <w:r>
        <w:rPr>
          <w:color w:val="000000"/>
          <w:spacing w:val="0"/>
          <w:w w:val="100"/>
          <w:position w:val="0"/>
        </w:rPr>
        <w:t>8</w:t>
      </w:r>
      <w:bookmarkEnd w:id="898"/>
      <w:r>
        <w:rPr>
          <w:color w:val="000000"/>
          <w:spacing w:val="0"/>
          <w:w w:val="100"/>
          <w:position w:val="0"/>
        </w:rPr>
        <w:t>、</w:t>
        <w:tab/>
        <w:t>现金及现金等价物的确定标准</w:t>
      </w:r>
      <w:bookmarkEnd w:id="896"/>
      <w:bookmarkEnd w:id="897"/>
      <w:bookmarkEnd w:id="899"/>
    </w:p>
    <w:p>
      <w:pPr>
        <w:pStyle w:val="Style41"/>
        <w:keepNext w:val="0"/>
        <w:keepLines w:val="0"/>
        <w:widowControl w:val="0"/>
        <w:shd w:val="clear" w:color="auto" w:fill="auto"/>
        <w:bidi w:val="0"/>
        <w:spacing w:before="0" w:after="460" w:line="461" w:lineRule="exact"/>
        <w:ind w:left="0" w:right="0"/>
        <w:jc w:val="both"/>
      </w:pPr>
      <w:r>
        <w:rPr>
          <w:color w:val="000000"/>
          <w:spacing w:val="0"/>
          <w:w w:val="100"/>
          <w:position w:val="0"/>
        </w:rPr>
        <w:t>现金，是指本公司的库存现金以及可以随时用于支付的存款。现金等价物，是指本公司持有的期限短、流动性强、易于 转换为已知金额的现金、价值变动风险很小的投资。</w:t>
      </w:r>
    </w:p>
    <w:p>
      <w:pPr>
        <w:pStyle w:val="Style47"/>
        <w:keepNext/>
        <w:keepLines/>
        <w:widowControl w:val="0"/>
        <w:shd w:val="clear" w:color="auto" w:fill="auto"/>
        <w:tabs>
          <w:tab w:pos="378" w:val="left"/>
        </w:tabs>
        <w:bidi w:val="0"/>
        <w:spacing w:before="0" w:after="400" w:line="240" w:lineRule="auto"/>
        <w:ind w:left="0" w:right="0" w:firstLine="0"/>
        <w:jc w:val="left"/>
      </w:pPr>
      <w:bookmarkStart w:id="900" w:name="bookmark900"/>
      <w:bookmarkStart w:id="901" w:name="bookmark901"/>
      <w:bookmarkStart w:id="902" w:name="bookmark902"/>
      <w:bookmarkStart w:id="903" w:name="bookmark903"/>
      <w:r>
        <w:rPr>
          <w:color w:val="000000"/>
          <w:spacing w:val="0"/>
          <w:w w:val="100"/>
          <w:position w:val="0"/>
        </w:rPr>
        <w:t>9</w:t>
      </w:r>
      <w:bookmarkEnd w:id="902"/>
      <w:r>
        <w:rPr>
          <w:color w:val="000000"/>
          <w:spacing w:val="0"/>
          <w:w w:val="100"/>
          <w:position w:val="0"/>
        </w:rPr>
        <w:t>、</w:t>
        <w:tab/>
        <w:t>外币业务和外币报表折算</w:t>
      </w:r>
      <w:bookmarkEnd w:id="900"/>
      <w:bookmarkEnd w:id="901"/>
      <w:bookmarkEnd w:id="903"/>
    </w:p>
    <w:p>
      <w:pPr>
        <w:pStyle w:val="Style41"/>
        <w:keepNext w:val="0"/>
        <w:keepLines w:val="0"/>
        <w:widowControl w:val="0"/>
        <w:shd w:val="clear" w:color="auto" w:fill="auto"/>
        <w:tabs>
          <w:tab w:pos="450" w:val="left"/>
        </w:tabs>
        <w:bidi w:val="0"/>
        <w:spacing w:before="0" w:after="0" w:line="240" w:lineRule="auto"/>
        <w:ind w:left="0" w:right="0" w:firstLine="0"/>
        <w:jc w:val="left"/>
      </w:pPr>
      <w:bookmarkStart w:id="904" w:name="bookmark904"/>
      <w:r>
        <w:rPr>
          <w:b/>
          <w:bCs/>
          <w:color w:val="000000"/>
          <w:spacing w:val="0"/>
          <w:w w:val="100"/>
          <w:position w:val="0"/>
        </w:rPr>
        <w:t>（</w:t>
      </w:r>
      <w:bookmarkEnd w:id="904"/>
      <w:r>
        <w:rPr>
          <w:rFonts w:ascii="Times New Roman" w:eastAsia="Times New Roman" w:hAnsi="Times New Roman" w:cs="Times New Roman"/>
          <w:b/>
          <w:bCs/>
          <w:color w:val="000000"/>
          <w:spacing w:val="0"/>
          <w:w w:val="100"/>
          <w:position w:val="0"/>
          <w:sz w:val="18"/>
          <w:szCs w:val="18"/>
        </w:rPr>
        <w:t>1</w:t>
      </w:r>
      <w:r>
        <w:rPr>
          <w:b/>
          <w:bCs/>
          <w:color w:val="000000"/>
          <w:spacing w:val="0"/>
          <w:w w:val="100"/>
          <w:position w:val="0"/>
        </w:rPr>
        <w:t>）</w:t>
        <w:tab/>
        <w:t>外币业务</w:t>
      </w:r>
    </w:p>
    <w:p>
      <w:pPr>
        <w:pStyle w:val="Style41"/>
        <w:keepNext w:val="0"/>
        <w:keepLines w:val="0"/>
        <w:widowControl w:val="0"/>
        <w:shd w:val="clear" w:color="auto" w:fill="auto"/>
        <w:bidi w:val="0"/>
        <w:spacing w:before="0" w:after="0" w:line="470" w:lineRule="exact"/>
        <w:ind w:left="0" w:right="0"/>
        <w:jc w:val="both"/>
      </w:pPr>
      <w:r>
        <w:rPr>
          <w:color w:val="000000"/>
          <w:spacing w:val="0"/>
          <w:w w:val="100"/>
          <w:position w:val="0"/>
        </w:rPr>
        <w:t>外币业务采用交易发生日的即期汇率作为折算汇率将外币金额折合成人民币记账。</w:t>
      </w:r>
    </w:p>
    <w:p>
      <w:pPr>
        <w:pStyle w:val="Style41"/>
        <w:keepNext w:val="0"/>
        <w:keepLines w:val="0"/>
        <w:widowControl w:val="0"/>
        <w:shd w:val="clear" w:color="auto" w:fill="auto"/>
        <w:bidi w:val="0"/>
        <w:spacing w:before="0" w:after="460" w:line="470" w:lineRule="exact"/>
        <w:ind w:left="0" w:right="0"/>
        <w:jc w:val="both"/>
      </w:pPr>
      <w:r>
        <w:rPr>
          <w:color w:val="000000"/>
          <w:spacing w:val="0"/>
          <w:w w:val="100"/>
          <w:position w:val="0"/>
        </w:rPr>
        <w:t>资产负债表日外币货币性项目余额按资产负债表日即期汇率折算，由此产生的汇兑差额，除属于与购建符合资本化条件 的资产相关的外币专门借款产生的汇兑差额按照借款费用资本化的原则处理外，均计入当期损益。</w:t>
      </w:r>
    </w:p>
    <w:p>
      <w:pPr>
        <w:pStyle w:val="Style41"/>
        <w:keepNext w:val="0"/>
        <w:keepLines w:val="0"/>
        <w:widowControl w:val="0"/>
        <w:shd w:val="clear" w:color="auto" w:fill="auto"/>
        <w:tabs>
          <w:tab w:pos="450" w:val="left"/>
        </w:tabs>
        <w:bidi w:val="0"/>
        <w:spacing w:before="0" w:after="220" w:line="240" w:lineRule="auto"/>
        <w:ind w:left="0" w:right="0" w:firstLine="0"/>
        <w:jc w:val="left"/>
      </w:pPr>
      <w:bookmarkStart w:id="905" w:name="bookmark905"/>
      <w:r>
        <w:rPr>
          <w:b/>
          <w:bCs/>
          <w:color w:val="000000"/>
          <w:spacing w:val="0"/>
          <w:w w:val="100"/>
          <w:position w:val="0"/>
        </w:rPr>
        <w:t>（</w:t>
      </w:r>
      <w:bookmarkEnd w:id="905"/>
      <w:r>
        <w:rPr>
          <w:rFonts w:ascii="Times New Roman" w:eastAsia="Times New Roman" w:hAnsi="Times New Roman" w:cs="Times New Roman"/>
          <w:b/>
          <w:bCs/>
          <w:color w:val="000000"/>
          <w:spacing w:val="0"/>
          <w:w w:val="100"/>
          <w:position w:val="0"/>
          <w:sz w:val="18"/>
          <w:szCs w:val="18"/>
        </w:rPr>
        <w:t>2</w:t>
      </w:r>
      <w:r>
        <w:rPr>
          <w:b/>
          <w:bCs/>
          <w:color w:val="000000"/>
          <w:spacing w:val="0"/>
          <w:w w:val="100"/>
          <w:position w:val="0"/>
        </w:rPr>
        <w:t>）</w:t>
        <w:tab/>
        <w:t>外币财务报表的折算</w:t>
      </w:r>
    </w:p>
    <w:p>
      <w:pPr>
        <w:pStyle w:val="Style41"/>
        <w:keepNext w:val="0"/>
        <w:keepLines w:val="0"/>
        <w:widowControl w:val="0"/>
        <w:shd w:val="clear" w:color="auto" w:fill="auto"/>
        <w:bidi w:val="0"/>
        <w:spacing w:before="0" w:after="220" w:line="240" w:lineRule="auto"/>
        <w:ind w:left="0" w:right="0"/>
        <w:jc w:val="both"/>
      </w:pPr>
      <w:r>
        <w:rPr>
          <w:color w:val="000000"/>
          <w:spacing w:val="0"/>
          <w:w w:val="100"/>
          <w:position w:val="0"/>
        </w:rPr>
        <w:t>资产负债表中的资产和负债项目，采用资产负债表日的即期汇率折算；所有者权益项目除</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未分配利润</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项目外，其他项</w:t>
      </w:r>
    </w:p>
    <w:p>
      <w:pPr>
        <w:pStyle w:val="Style212"/>
        <w:keepNext w:val="0"/>
        <w:keepLines w:val="0"/>
        <w:widowControl w:val="0"/>
        <w:shd w:val="clear" w:color="auto" w:fill="auto"/>
        <w:bidi w:val="0"/>
        <w:spacing w:before="0" w:after="0" w:line="240" w:lineRule="auto"/>
        <w:ind w:left="0" w:right="0" w:firstLine="0"/>
        <w:jc w:val="left"/>
      </w:pPr>
      <w:r>
        <w:rPr>
          <w:spacing w:val="0"/>
          <w:w w:val="100"/>
          <w:position w:val="0"/>
        </w:rPr>
        <w:t>Ultrapoiuer</w:t>
      </w:r>
    </w:p>
    <w:p>
      <w:pPr>
        <w:pStyle w:val="Style41"/>
        <w:keepNext w:val="0"/>
        <w:keepLines w:val="0"/>
        <w:widowControl w:val="0"/>
        <w:shd w:val="clear" w:color="auto" w:fill="auto"/>
        <w:bidi w:val="0"/>
        <w:spacing w:before="0" w:after="0" w:line="461" w:lineRule="exact"/>
        <w:ind w:left="0" w:right="0" w:firstLine="82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 目采用发生时的即期汇率折算。利润表中的收入和费用项目，采用交易发生日即期汇率近似的汇率（一般采用报告期平均汇 率）折算。</w:t>
      </w:r>
    </w:p>
    <w:p>
      <w:pPr>
        <w:pStyle w:val="Style41"/>
        <w:keepNext w:val="0"/>
        <w:keepLines w:val="0"/>
        <w:widowControl w:val="0"/>
        <w:shd w:val="clear" w:color="auto" w:fill="auto"/>
        <w:bidi w:val="0"/>
        <w:spacing w:before="0" w:after="480" w:line="461" w:lineRule="exact"/>
        <w:ind w:left="0" w:right="0"/>
        <w:jc w:val="left"/>
      </w:pPr>
      <w:r>
        <w:rPr>
          <w:color w:val="000000"/>
          <w:spacing w:val="0"/>
          <w:w w:val="100"/>
          <w:position w:val="0"/>
        </w:rPr>
        <w:t>处置境外经营时，将与该境外经营相关的外币财务报表折算差额，自所有者权益项目转入处置当期损益。</w:t>
      </w:r>
    </w:p>
    <w:p>
      <w:pPr>
        <w:pStyle w:val="Style47"/>
        <w:keepNext/>
        <w:keepLines/>
        <w:widowControl w:val="0"/>
        <w:shd w:val="clear" w:color="auto" w:fill="auto"/>
        <w:bidi w:val="0"/>
        <w:spacing w:before="0" w:after="480" w:line="240" w:lineRule="auto"/>
        <w:ind w:left="0" w:right="0" w:firstLine="0"/>
        <w:jc w:val="left"/>
      </w:pPr>
      <w:bookmarkStart w:id="906" w:name="bookmark906"/>
      <w:bookmarkStart w:id="907" w:name="bookmark907"/>
      <w:bookmarkStart w:id="908" w:name="bookmark908"/>
      <w:bookmarkStart w:id="909" w:name="bookmark909"/>
      <w:r>
        <w:rPr>
          <w:color w:val="000000"/>
          <w:spacing w:val="0"/>
          <w:w w:val="100"/>
          <w:position w:val="0"/>
        </w:rPr>
        <w:t>1</w:t>
      </w:r>
      <w:bookmarkEnd w:id="908"/>
      <w:r>
        <w:rPr>
          <w:color w:val="000000"/>
          <w:spacing w:val="0"/>
          <w:w w:val="100"/>
          <w:position w:val="0"/>
        </w:rPr>
        <w:t>0、金融工具</w:t>
      </w:r>
      <w:bookmarkEnd w:id="906"/>
      <w:bookmarkEnd w:id="907"/>
      <w:bookmarkEnd w:id="909"/>
    </w:p>
    <w:p>
      <w:pPr>
        <w:pStyle w:val="Style41"/>
        <w:keepNext w:val="0"/>
        <w:keepLines w:val="0"/>
        <w:widowControl w:val="0"/>
        <w:shd w:val="clear" w:color="auto" w:fill="auto"/>
        <w:bidi w:val="0"/>
        <w:spacing w:before="0" w:after="180" w:line="240" w:lineRule="auto"/>
        <w:ind w:left="0" w:right="0"/>
        <w:jc w:val="left"/>
      </w:pPr>
      <w:r>
        <w:rPr>
          <w:color w:val="000000"/>
          <w:spacing w:val="0"/>
          <w:w w:val="100"/>
          <w:position w:val="0"/>
        </w:rPr>
        <w:t>本公司在成为金融工具合同的一方时，确认一项金融资产、金融负债或权益工具。</w:t>
      </w:r>
    </w:p>
    <w:p>
      <w:pPr>
        <w:pStyle w:val="Style41"/>
        <w:keepNext w:val="0"/>
        <w:keepLines w:val="0"/>
        <w:widowControl w:val="0"/>
        <w:shd w:val="clear" w:color="auto" w:fill="auto"/>
        <w:bidi w:val="0"/>
        <w:spacing w:before="0" w:after="0" w:line="240" w:lineRule="auto"/>
        <w:ind w:left="0" w:right="0" w:firstLine="0"/>
        <w:jc w:val="left"/>
      </w:pPr>
      <w:bookmarkStart w:id="910" w:name="bookmark910"/>
      <w:r>
        <w:rPr>
          <w:b/>
          <w:bCs/>
          <w:color w:val="000000"/>
          <w:spacing w:val="0"/>
          <w:w w:val="100"/>
          <w:position w:val="0"/>
        </w:rPr>
        <w:t>（</w:t>
      </w:r>
      <w:bookmarkEnd w:id="910"/>
      <w:r>
        <w:rPr>
          <w:rFonts w:ascii="Times New Roman" w:eastAsia="Times New Roman" w:hAnsi="Times New Roman" w:cs="Times New Roman"/>
          <w:b/>
          <w:bCs/>
          <w:color w:val="000000"/>
          <w:spacing w:val="0"/>
          <w:w w:val="100"/>
          <w:position w:val="0"/>
          <w:sz w:val="18"/>
          <w:szCs w:val="18"/>
        </w:rPr>
        <w:t>1</w:t>
      </w:r>
      <w:r>
        <w:rPr>
          <w:b/>
          <w:bCs/>
          <w:color w:val="000000"/>
          <w:spacing w:val="0"/>
          <w:w w:val="100"/>
          <w:position w:val="0"/>
        </w:rPr>
        <w:t>）金融工具的分类</w:t>
      </w:r>
    </w:p>
    <w:p>
      <w:pPr>
        <w:pStyle w:val="Style41"/>
        <w:keepNext w:val="0"/>
        <w:keepLines w:val="0"/>
        <w:widowControl w:val="0"/>
        <w:shd w:val="clear" w:color="auto" w:fill="auto"/>
        <w:bidi w:val="0"/>
        <w:spacing w:before="0" w:after="0" w:line="470" w:lineRule="exact"/>
        <w:ind w:left="0" w:right="0"/>
        <w:jc w:val="both"/>
      </w:pPr>
      <w:r>
        <w:rPr>
          <w:color w:val="000000"/>
          <w:spacing w:val="0"/>
          <w:w w:val="100"/>
          <w:position w:val="0"/>
        </w:rPr>
        <w:t>根据本公司管理金融资产的业务模式和金融资产的合同现金流量特征，金融资产于初始确认时分类为：以摊余成本计量 的金融资产、以公允价值计量且其变动计入其他综合收益的金融资产和以公允价值计量且其变动计入当期损益的金融资产。</w:t>
      </w:r>
    </w:p>
    <w:p>
      <w:pPr>
        <w:pStyle w:val="Style41"/>
        <w:keepNext w:val="0"/>
        <w:keepLines w:val="0"/>
        <w:widowControl w:val="0"/>
        <w:shd w:val="clear" w:color="auto" w:fill="auto"/>
        <w:bidi w:val="0"/>
        <w:spacing w:before="0" w:after="0" w:line="470" w:lineRule="exact"/>
        <w:ind w:left="0" w:right="0"/>
        <w:jc w:val="both"/>
      </w:pPr>
      <w:r>
        <w:rPr>
          <w:color w:val="000000"/>
          <w:spacing w:val="0"/>
          <w:w w:val="100"/>
          <w:position w:val="0"/>
        </w:rPr>
        <w:t>本公司将同时符合下列条件且未被指定为以公允价值计量且其变动计入当期损益的金融资产，分类为以摊余成本计量的 金融资产：</w:t>
      </w:r>
    </w:p>
    <w:p>
      <w:pPr>
        <w:pStyle w:val="Style41"/>
        <w:keepNext w:val="0"/>
        <w:keepLines w:val="0"/>
        <w:widowControl w:val="0"/>
        <w:shd w:val="clear" w:color="auto" w:fill="auto"/>
        <w:bidi w:val="0"/>
        <w:spacing w:before="0" w:after="0" w:line="470" w:lineRule="exact"/>
        <w:ind w:left="0" w:right="0"/>
        <w:jc w:val="both"/>
      </w:pPr>
      <w:r>
        <w:rPr>
          <w:color w:val="000000"/>
          <w:spacing w:val="0"/>
          <w:w w:val="100"/>
          <w:position w:val="0"/>
        </w:rPr>
        <w:t>一业务模式是以收取合同现金流量为目标；</w:t>
      </w:r>
    </w:p>
    <w:p>
      <w:pPr>
        <w:pStyle w:val="Style41"/>
        <w:keepNext w:val="0"/>
        <w:keepLines w:val="0"/>
        <w:widowControl w:val="0"/>
        <w:shd w:val="clear" w:color="auto" w:fill="auto"/>
        <w:bidi w:val="0"/>
        <w:spacing w:before="0" w:after="0" w:line="470" w:lineRule="exact"/>
        <w:ind w:left="0" w:right="0"/>
        <w:jc w:val="both"/>
      </w:pPr>
      <w:r>
        <w:rPr>
          <w:color w:val="000000"/>
          <w:spacing w:val="0"/>
          <w:w w:val="100"/>
          <w:position w:val="0"/>
        </w:rPr>
        <w:t>一合同现金流量仅为对本金和以未偿付本金金额为基础的利息的支付。</w:t>
      </w:r>
    </w:p>
    <w:p>
      <w:pPr>
        <w:pStyle w:val="Style41"/>
        <w:keepNext w:val="0"/>
        <w:keepLines w:val="0"/>
        <w:widowControl w:val="0"/>
        <w:shd w:val="clear" w:color="auto" w:fill="auto"/>
        <w:bidi w:val="0"/>
        <w:spacing w:before="0" w:after="0" w:line="470" w:lineRule="exact"/>
        <w:ind w:left="0" w:right="0"/>
        <w:jc w:val="both"/>
      </w:pPr>
      <w:r>
        <w:rPr>
          <w:color w:val="000000"/>
          <w:spacing w:val="0"/>
          <w:w w:val="100"/>
          <w:position w:val="0"/>
        </w:rPr>
        <w:t>本公司将同时符合下列条件且未被指定为以公允价值计量且其变动计入当期损益的金融资产，分类为以公允价值计量且 其变动计入其他综合收益的金融资产（债务工具）：</w:t>
      </w:r>
    </w:p>
    <w:p>
      <w:pPr>
        <w:pStyle w:val="Style41"/>
        <w:keepNext w:val="0"/>
        <w:keepLines w:val="0"/>
        <w:widowControl w:val="0"/>
        <w:shd w:val="clear" w:color="auto" w:fill="auto"/>
        <w:bidi w:val="0"/>
        <w:spacing w:before="0" w:after="0" w:line="470" w:lineRule="exact"/>
        <w:ind w:left="0" w:right="0"/>
        <w:jc w:val="left"/>
      </w:pPr>
      <w:r>
        <w:rPr>
          <w:color w:val="000000"/>
          <w:spacing w:val="0"/>
          <w:w w:val="100"/>
          <w:position w:val="0"/>
        </w:rPr>
        <w:t>一业务模式既以收取合同现金流量又以出售该金融资产为目标；</w:t>
      </w:r>
    </w:p>
    <w:p>
      <w:pPr>
        <w:pStyle w:val="Style41"/>
        <w:keepNext w:val="0"/>
        <w:keepLines w:val="0"/>
        <w:widowControl w:val="0"/>
        <w:shd w:val="clear" w:color="auto" w:fill="auto"/>
        <w:bidi w:val="0"/>
        <w:spacing w:before="0" w:after="0" w:line="470" w:lineRule="exact"/>
        <w:ind w:left="0" w:right="0"/>
        <w:jc w:val="left"/>
      </w:pPr>
      <w:r>
        <w:rPr>
          <w:color w:val="000000"/>
          <w:spacing w:val="0"/>
          <w:w w:val="100"/>
          <w:position w:val="0"/>
        </w:rPr>
        <w:t>一合同现金流量仅为对本金和以未偿付本金金额为基础的利息的支付。</w:t>
      </w:r>
    </w:p>
    <w:p>
      <w:pPr>
        <w:pStyle w:val="Style41"/>
        <w:keepNext w:val="0"/>
        <w:keepLines w:val="0"/>
        <w:widowControl w:val="0"/>
        <w:shd w:val="clear" w:color="auto" w:fill="auto"/>
        <w:bidi w:val="0"/>
        <w:spacing w:before="0" w:after="0" w:line="470" w:lineRule="exact"/>
        <w:ind w:left="0" w:right="0"/>
        <w:jc w:val="left"/>
      </w:pPr>
      <w:r>
        <w:rPr>
          <w:color w:val="000000"/>
          <w:spacing w:val="0"/>
          <w:w w:val="100"/>
          <w:position w:val="0"/>
        </w:rPr>
        <w:t>对于非交易性权益工具投资，本公司可以在初始确认时将其不可撤销地指定为以公允价值计量且其变动计入其他综合收 益的金融资产（权益工具）。该指定在单项投资的基础上作出，且相关投资从发行者的角度符合权益工具的定义。</w:t>
      </w:r>
    </w:p>
    <w:p>
      <w:pPr>
        <w:pStyle w:val="Style41"/>
        <w:keepNext w:val="0"/>
        <w:keepLines w:val="0"/>
        <w:widowControl w:val="0"/>
        <w:shd w:val="clear" w:color="auto" w:fill="auto"/>
        <w:bidi w:val="0"/>
        <w:spacing w:before="0" w:after="0" w:line="470" w:lineRule="exact"/>
        <w:ind w:left="0" w:right="0"/>
        <w:jc w:val="left"/>
      </w:pPr>
      <w:r>
        <w:rPr>
          <w:color w:val="000000"/>
          <w:spacing w:val="0"/>
          <w:w w:val="100"/>
          <w:position w:val="0"/>
        </w:rPr>
        <w:t>除上述以摊余成本计量和以公允价值计量且其变动计入其他综合收益的金融资产外，本公司将其余所有的金融资产分类 为以公允价值计量且其变动计入当期损益的金融资产。在初始确认时，如果能够消除或显著减少会计错配，本公司可以将本 应分类为摊余成本计量或以公允价值计量且其变动计入其他综合收益的金融资产不可撤销地指定为以公允价值计量且其变 动计入当期损益的金融资产。</w:t>
      </w:r>
    </w:p>
    <w:p>
      <w:pPr>
        <w:pStyle w:val="Style41"/>
        <w:keepNext w:val="0"/>
        <w:keepLines w:val="0"/>
        <w:widowControl w:val="0"/>
        <w:shd w:val="clear" w:color="auto" w:fill="auto"/>
        <w:bidi w:val="0"/>
        <w:spacing w:before="0" w:after="0" w:line="470" w:lineRule="exact"/>
        <w:ind w:left="0" w:right="0"/>
        <w:jc w:val="left"/>
      </w:pPr>
      <w:r>
        <w:rPr>
          <w:color w:val="000000"/>
          <w:spacing w:val="0"/>
          <w:w w:val="100"/>
          <w:position w:val="0"/>
        </w:rPr>
        <w:t>金融负债于初始确认时分类为：以公允价值计量且其变动计入当期损益的金融负债和以摊余成本计量的金融负债。</w:t>
      </w:r>
    </w:p>
    <w:p>
      <w:pPr>
        <w:pStyle w:val="Style41"/>
        <w:keepNext w:val="0"/>
        <w:keepLines w:val="0"/>
        <w:widowControl w:val="0"/>
        <w:shd w:val="clear" w:color="auto" w:fill="auto"/>
        <w:bidi w:val="0"/>
        <w:spacing w:before="0" w:after="0" w:line="470" w:lineRule="exact"/>
        <w:ind w:left="0" w:right="0"/>
        <w:jc w:val="left"/>
      </w:pPr>
      <w:r>
        <w:rPr>
          <w:color w:val="000000"/>
          <w:spacing w:val="0"/>
          <w:w w:val="100"/>
          <w:position w:val="0"/>
        </w:rPr>
        <w:t>符合以下条件之一的金融负债可在初始计量时指定为以公允价值计量且其变动计入当期损益的金融负债：</w:t>
      </w:r>
    </w:p>
    <w:p>
      <w:pPr>
        <w:pStyle w:val="Style41"/>
        <w:keepNext w:val="0"/>
        <w:keepLines w:val="0"/>
        <w:widowControl w:val="0"/>
        <w:shd w:val="clear" w:color="auto" w:fill="auto"/>
        <w:tabs>
          <w:tab w:pos="729" w:val="left"/>
        </w:tabs>
        <w:bidi w:val="0"/>
        <w:spacing w:before="0" w:after="0" w:line="470" w:lineRule="exact"/>
        <w:ind w:left="0" w:right="0"/>
        <w:jc w:val="left"/>
      </w:pPr>
      <w:bookmarkStart w:id="911" w:name="bookmark911"/>
      <w:r>
        <w:rPr>
          <w:rFonts w:ascii="Times New Roman" w:eastAsia="Times New Roman" w:hAnsi="Times New Roman" w:cs="Times New Roman"/>
          <w:color w:val="000000"/>
          <w:spacing w:val="0"/>
          <w:w w:val="100"/>
          <w:position w:val="0"/>
          <w:sz w:val="18"/>
          <w:szCs w:val="18"/>
        </w:rPr>
        <w:t>1</w:t>
      </w:r>
      <w:bookmarkEnd w:id="911"/>
      <w:r>
        <w:rPr>
          <w:color w:val="000000"/>
          <w:spacing w:val="0"/>
          <w:w w:val="100"/>
          <w:position w:val="0"/>
        </w:rPr>
        <w:t>）</w:t>
        <w:tab/>
        <w:t>该项指定能够消除或显著减少会计错配。</w:t>
      </w:r>
    </w:p>
    <w:p>
      <w:pPr>
        <w:pStyle w:val="Style41"/>
        <w:keepNext w:val="0"/>
        <w:keepLines w:val="0"/>
        <w:widowControl w:val="0"/>
        <w:shd w:val="clear" w:color="auto" w:fill="auto"/>
        <w:tabs>
          <w:tab w:pos="718" w:val="left"/>
        </w:tabs>
        <w:bidi w:val="0"/>
        <w:spacing w:before="0" w:after="0" w:line="470" w:lineRule="exact"/>
        <w:ind w:left="0" w:right="0"/>
        <w:jc w:val="left"/>
      </w:pPr>
      <w:bookmarkStart w:id="912" w:name="bookmark912"/>
      <w:r>
        <w:rPr>
          <w:rFonts w:ascii="Times New Roman" w:eastAsia="Times New Roman" w:hAnsi="Times New Roman" w:cs="Times New Roman"/>
          <w:color w:val="000000"/>
          <w:spacing w:val="0"/>
          <w:w w:val="100"/>
          <w:position w:val="0"/>
          <w:sz w:val="18"/>
          <w:szCs w:val="18"/>
        </w:rPr>
        <w:t>2</w:t>
      </w:r>
      <w:bookmarkEnd w:id="912"/>
      <w:r>
        <w:rPr>
          <w:color w:val="000000"/>
          <w:spacing w:val="0"/>
          <w:w w:val="100"/>
          <w:position w:val="0"/>
        </w:rPr>
        <w:t>）</w:t>
        <w:tab/>
        <w:t>根据正式书面文件载明的企业风险管理或投资策略，以公允价值为基础对金融负债组合或金融资产和金融负债组合 进行管理和业绩评价，并在企业内部以此为基础向关键管理人员报告。</w:t>
      </w:r>
    </w:p>
    <w:p>
      <w:pPr>
        <w:pStyle w:val="Style41"/>
        <w:keepNext w:val="0"/>
        <w:keepLines w:val="0"/>
        <w:widowControl w:val="0"/>
        <w:shd w:val="clear" w:color="auto" w:fill="auto"/>
        <w:tabs>
          <w:tab w:pos="748" w:val="left"/>
        </w:tabs>
        <w:bidi w:val="0"/>
        <w:spacing w:before="0" w:after="100" w:line="470" w:lineRule="exact"/>
        <w:ind w:left="0" w:right="0"/>
        <w:jc w:val="left"/>
        <w:sectPr>
          <w:headerReference w:type="default" r:id="rId301"/>
          <w:footerReference w:type="default" r:id="rId302"/>
          <w:headerReference w:type="even" r:id="rId303"/>
          <w:footerReference w:type="even" r:id="rId304"/>
          <w:footnotePr>
            <w:pos w:val="pageBottom"/>
            <w:numFmt w:val="decimal"/>
            <w:numRestart w:val="continuous"/>
          </w:footnotePr>
          <w:pgSz w:w="11904" w:h="17375"/>
          <w:pgMar w:top="1070" w:right="1045" w:bottom="1542" w:left="1091" w:header="642" w:footer="3" w:gutter="0"/>
          <w:cols w:space="720"/>
          <w:noEndnote/>
          <w:rtlGutter w:val="0"/>
          <w:docGrid w:linePitch="360"/>
        </w:sectPr>
      </w:pPr>
      <w:bookmarkStart w:id="913" w:name="bookmark913"/>
      <w:r>
        <w:rPr>
          <w:rFonts w:ascii="Times New Roman" w:eastAsia="Times New Roman" w:hAnsi="Times New Roman" w:cs="Times New Roman"/>
          <w:color w:val="000000"/>
          <w:spacing w:val="0"/>
          <w:w w:val="100"/>
          <w:position w:val="0"/>
          <w:sz w:val="18"/>
          <w:szCs w:val="18"/>
        </w:rPr>
        <w:t>3</w:t>
      </w:r>
      <w:bookmarkEnd w:id="913"/>
      <w:r>
        <w:rPr>
          <w:color w:val="000000"/>
          <w:spacing w:val="0"/>
          <w:w w:val="100"/>
          <w:position w:val="0"/>
        </w:rPr>
        <w:t>）</w:t>
        <w:tab/>
        <w:t>该金融负债包含需单独分拆的嵌入衍生工具。</w:t>
      </w:r>
    </w:p>
    <w:p>
      <w:pPr>
        <w:pStyle w:val="Style41"/>
        <w:keepNext w:val="0"/>
        <w:keepLines w:val="0"/>
        <w:widowControl w:val="0"/>
        <w:shd w:val="clear" w:color="auto" w:fill="auto"/>
        <w:bidi w:val="0"/>
        <w:spacing w:before="0" w:after="0" w:line="240" w:lineRule="auto"/>
        <w:ind w:left="0" w:right="0" w:firstLine="0"/>
        <w:jc w:val="left"/>
      </w:pPr>
      <w:bookmarkStart w:id="914" w:name="bookmark914"/>
      <w:r>
        <w:rPr>
          <w:b/>
          <w:bCs/>
          <w:color w:val="000000"/>
          <w:spacing w:val="0"/>
          <w:w w:val="100"/>
          <w:position w:val="0"/>
        </w:rPr>
        <w:t>（</w:t>
      </w:r>
      <w:bookmarkEnd w:id="914"/>
      <w:r>
        <w:rPr>
          <w:rFonts w:ascii="Times New Roman" w:eastAsia="Times New Roman" w:hAnsi="Times New Roman" w:cs="Times New Roman"/>
          <w:b/>
          <w:bCs/>
          <w:color w:val="000000"/>
          <w:spacing w:val="0"/>
          <w:w w:val="100"/>
          <w:position w:val="0"/>
          <w:sz w:val="18"/>
          <w:szCs w:val="18"/>
        </w:rPr>
        <w:t>2</w:t>
      </w:r>
      <w:r>
        <w:rPr>
          <w:b/>
          <w:bCs/>
          <w:color w:val="000000"/>
          <w:spacing w:val="0"/>
          <w:w w:val="100"/>
          <w:position w:val="0"/>
        </w:rPr>
        <w:t>）金融工具的确认依据和计量方法</w:t>
      </w:r>
    </w:p>
    <w:p>
      <w:pPr>
        <w:pStyle w:val="Style41"/>
        <w:keepNext w:val="0"/>
        <w:keepLines w:val="0"/>
        <w:widowControl w:val="0"/>
        <w:shd w:val="clear" w:color="auto" w:fill="auto"/>
        <w:tabs>
          <w:tab w:pos="729" w:val="left"/>
        </w:tabs>
        <w:bidi w:val="0"/>
        <w:spacing w:before="0" w:after="0" w:line="468" w:lineRule="exact"/>
        <w:ind w:left="0" w:right="0"/>
        <w:jc w:val="both"/>
      </w:pPr>
      <w:bookmarkStart w:id="915" w:name="bookmark915"/>
      <w:r>
        <w:rPr>
          <w:rFonts w:ascii="Times New Roman" w:eastAsia="Times New Roman" w:hAnsi="Times New Roman" w:cs="Times New Roman"/>
          <w:color w:val="000000"/>
          <w:spacing w:val="0"/>
          <w:w w:val="100"/>
          <w:position w:val="0"/>
          <w:sz w:val="18"/>
          <w:szCs w:val="18"/>
        </w:rPr>
        <w:t>1</w:t>
      </w:r>
      <w:bookmarkEnd w:id="915"/>
      <w:r>
        <w:rPr>
          <w:color w:val="000000"/>
          <w:spacing w:val="0"/>
          <w:w w:val="100"/>
          <w:position w:val="0"/>
        </w:rPr>
        <w:t>）</w:t>
        <w:tab/>
        <w:t>以摊余成本计量的金融资产</w:t>
      </w:r>
    </w:p>
    <w:p>
      <w:pPr>
        <w:pStyle w:val="Style41"/>
        <w:keepNext w:val="0"/>
        <w:keepLines w:val="0"/>
        <w:widowControl w:val="0"/>
        <w:shd w:val="clear" w:color="auto" w:fill="auto"/>
        <w:bidi w:val="0"/>
        <w:spacing w:before="0" w:after="0" w:line="468" w:lineRule="exact"/>
        <w:ind w:left="0" w:right="0"/>
        <w:jc w:val="both"/>
      </w:pPr>
      <w:r>
        <w:rPr>
          <w:color w:val="000000"/>
          <w:spacing w:val="0"/>
          <w:w w:val="100"/>
          <w:position w:val="0"/>
        </w:rPr>
        <w:t>以摊余成本计量的金融资产包括应收票据、应收账款、其他应收款、长期应收款、债权投资等，按公允价值进行初始计 量，相关交易费用计入初始确认金额；不包含重大融资成分的应收账款以及本公司决定不考虑不超过一年的融资成分的应收 账款，以合同交易价格进行初始计量。</w:t>
      </w:r>
    </w:p>
    <w:p>
      <w:pPr>
        <w:pStyle w:val="Style41"/>
        <w:keepNext w:val="0"/>
        <w:keepLines w:val="0"/>
        <w:widowControl w:val="0"/>
        <w:shd w:val="clear" w:color="auto" w:fill="auto"/>
        <w:bidi w:val="0"/>
        <w:spacing w:before="0" w:after="0" w:line="468" w:lineRule="exact"/>
        <w:ind w:left="0" w:right="0"/>
        <w:jc w:val="both"/>
      </w:pPr>
      <w:r>
        <w:rPr>
          <w:color w:val="000000"/>
          <w:spacing w:val="0"/>
          <w:w w:val="100"/>
          <w:position w:val="0"/>
        </w:rPr>
        <w:t>持有期间采用实际利率法计算的利息计入当期损益。</w:t>
      </w:r>
    </w:p>
    <w:p>
      <w:pPr>
        <w:pStyle w:val="Style41"/>
        <w:keepNext w:val="0"/>
        <w:keepLines w:val="0"/>
        <w:widowControl w:val="0"/>
        <w:shd w:val="clear" w:color="auto" w:fill="auto"/>
        <w:bidi w:val="0"/>
        <w:spacing w:before="0" w:after="0" w:line="468" w:lineRule="exact"/>
        <w:ind w:left="0" w:right="0"/>
        <w:jc w:val="both"/>
      </w:pPr>
      <w:r>
        <w:rPr>
          <w:color w:val="000000"/>
          <w:spacing w:val="0"/>
          <w:w w:val="100"/>
          <w:position w:val="0"/>
        </w:rPr>
        <w:t>收回或处置时，将取得的价款与该金融资产账面价值之间的差额计入当期损益。</w:t>
      </w:r>
    </w:p>
    <w:p>
      <w:pPr>
        <w:pStyle w:val="Style41"/>
        <w:keepNext w:val="0"/>
        <w:keepLines w:val="0"/>
        <w:widowControl w:val="0"/>
        <w:shd w:val="clear" w:color="auto" w:fill="auto"/>
        <w:tabs>
          <w:tab w:pos="748" w:val="left"/>
        </w:tabs>
        <w:bidi w:val="0"/>
        <w:spacing w:before="0" w:after="0" w:line="468" w:lineRule="exact"/>
        <w:ind w:left="0" w:right="0"/>
        <w:jc w:val="both"/>
      </w:pPr>
      <w:bookmarkStart w:id="916" w:name="bookmark916"/>
      <w:r>
        <w:rPr>
          <w:rFonts w:ascii="Times New Roman" w:eastAsia="Times New Roman" w:hAnsi="Times New Roman" w:cs="Times New Roman"/>
          <w:color w:val="000000"/>
          <w:spacing w:val="0"/>
          <w:w w:val="100"/>
          <w:position w:val="0"/>
          <w:sz w:val="18"/>
          <w:szCs w:val="18"/>
        </w:rPr>
        <w:t>2</w:t>
      </w:r>
      <w:bookmarkEnd w:id="916"/>
      <w:r>
        <w:rPr>
          <w:color w:val="000000"/>
          <w:spacing w:val="0"/>
          <w:w w:val="100"/>
          <w:position w:val="0"/>
        </w:rPr>
        <w:t>）</w:t>
        <w:tab/>
        <w:t>以公允价值计量且其变动计入其他综合收益的金融资产（债务工具）</w:t>
      </w:r>
    </w:p>
    <w:p>
      <w:pPr>
        <w:pStyle w:val="Style41"/>
        <w:keepNext w:val="0"/>
        <w:keepLines w:val="0"/>
        <w:widowControl w:val="0"/>
        <w:shd w:val="clear" w:color="auto" w:fill="auto"/>
        <w:bidi w:val="0"/>
        <w:spacing w:before="0" w:after="0" w:line="468" w:lineRule="exact"/>
        <w:ind w:left="0" w:right="0"/>
        <w:jc w:val="both"/>
      </w:pPr>
      <w:r>
        <w:rPr>
          <w:color w:val="000000"/>
          <w:spacing w:val="0"/>
          <w:w w:val="100"/>
          <w:position w:val="0"/>
        </w:rPr>
        <w:t>以公允价值计量且其变动计入其他综合收益的金融资产（债务工具）包括应收款项融资、其他债权投资等，按公允价值 进行初始计量，相关交易费用计入初始确认金额。该金融资产按公允价值进行后续计量，公允价值变动除采用实际利率法计 算的利息、减值损失或利得和汇兑损益之外，均计入其他综合收益。</w:t>
      </w:r>
    </w:p>
    <w:p>
      <w:pPr>
        <w:pStyle w:val="Style41"/>
        <w:keepNext w:val="0"/>
        <w:keepLines w:val="0"/>
        <w:widowControl w:val="0"/>
        <w:shd w:val="clear" w:color="auto" w:fill="auto"/>
        <w:bidi w:val="0"/>
        <w:spacing w:before="0" w:after="0" w:line="468" w:lineRule="exact"/>
        <w:ind w:left="0" w:right="0"/>
        <w:jc w:val="left"/>
      </w:pPr>
      <w:r>
        <w:rPr>
          <w:color w:val="000000"/>
          <w:spacing w:val="0"/>
          <w:w w:val="100"/>
          <w:position w:val="0"/>
        </w:rPr>
        <w:t>终止确认时，之前计入其他综合收益的累计利得或损失从其他综合收益中转出，计入当期损益。</w:t>
      </w:r>
    </w:p>
    <w:p>
      <w:pPr>
        <w:pStyle w:val="Style41"/>
        <w:keepNext w:val="0"/>
        <w:keepLines w:val="0"/>
        <w:widowControl w:val="0"/>
        <w:shd w:val="clear" w:color="auto" w:fill="auto"/>
        <w:tabs>
          <w:tab w:pos="748" w:val="left"/>
        </w:tabs>
        <w:bidi w:val="0"/>
        <w:spacing w:before="0" w:after="0" w:line="468" w:lineRule="exact"/>
        <w:ind w:left="0" w:right="0"/>
        <w:jc w:val="left"/>
      </w:pPr>
      <w:bookmarkStart w:id="917" w:name="bookmark917"/>
      <w:r>
        <w:rPr>
          <w:rFonts w:ascii="Times New Roman" w:eastAsia="Times New Roman" w:hAnsi="Times New Roman" w:cs="Times New Roman"/>
          <w:color w:val="000000"/>
          <w:spacing w:val="0"/>
          <w:w w:val="100"/>
          <w:position w:val="0"/>
          <w:sz w:val="18"/>
          <w:szCs w:val="18"/>
        </w:rPr>
        <w:t>3</w:t>
      </w:r>
      <w:bookmarkEnd w:id="917"/>
      <w:r>
        <w:rPr>
          <w:color w:val="000000"/>
          <w:spacing w:val="0"/>
          <w:w w:val="100"/>
          <w:position w:val="0"/>
        </w:rPr>
        <w:t>）</w:t>
        <w:tab/>
        <w:t>以公允价值计量且其变动计入其他综合收益的金融资产（权益工具）</w:t>
      </w:r>
    </w:p>
    <w:p>
      <w:pPr>
        <w:pStyle w:val="Style41"/>
        <w:keepNext w:val="0"/>
        <w:keepLines w:val="0"/>
        <w:widowControl w:val="0"/>
        <w:shd w:val="clear" w:color="auto" w:fill="auto"/>
        <w:bidi w:val="0"/>
        <w:spacing w:before="0" w:after="0" w:line="468" w:lineRule="exact"/>
        <w:ind w:left="0" w:right="0"/>
        <w:jc w:val="both"/>
      </w:pPr>
      <w:r>
        <w:rPr>
          <w:color w:val="000000"/>
          <w:spacing w:val="0"/>
          <w:w w:val="100"/>
          <w:position w:val="0"/>
        </w:rPr>
        <w:t>以公允价值计量且其变动计入其他综合收益的金融资产（权益工具）包括其他权益工具投资等，按公允价值进行初始计 量，相关交易费用计入初始确认金额。该金融资产按公允价值进行后续计量，公允价值变动计入其他综合收益。取得的股利 计入当期损益。</w:t>
      </w:r>
    </w:p>
    <w:p>
      <w:pPr>
        <w:pStyle w:val="Style41"/>
        <w:keepNext w:val="0"/>
        <w:keepLines w:val="0"/>
        <w:widowControl w:val="0"/>
        <w:shd w:val="clear" w:color="auto" w:fill="auto"/>
        <w:bidi w:val="0"/>
        <w:spacing w:before="0" w:after="0" w:line="468" w:lineRule="exact"/>
        <w:ind w:left="0" w:right="0"/>
        <w:jc w:val="left"/>
      </w:pPr>
      <w:r>
        <w:rPr>
          <w:color w:val="000000"/>
          <w:spacing w:val="0"/>
          <w:w w:val="100"/>
          <w:position w:val="0"/>
        </w:rPr>
        <w:t>终止确认时，之前计入其他综合收益的累计利得或损失从其他综合收益中转出，计入留存收益。</w:t>
      </w:r>
    </w:p>
    <w:p>
      <w:pPr>
        <w:pStyle w:val="Style41"/>
        <w:keepNext w:val="0"/>
        <w:keepLines w:val="0"/>
        <w:widowControl w:val="0"/>
        <w:shd w:val="clear" w:color="auto" w:fill="auto"/>
        <w:tabs>
          <w:tab w:pos="748" w:val="left"/>
        </w:tabs>
        <w:bidi w:val="0"/>
        <w:spacing w:before="0" w:after="0" w:line="468" w:lineRule="exact"/>
        <w:ind w:left="0" w:right="0"/>
        <w:jc w:val="left"/>
      </w:pPr>
      <w:bookmarkStart w:id="918" w:name="bookmark918"/>
      <w:r>
        <w:rPr>
          <w:rFonts w:ascii="Times New Roman" w:eastAsia="Times New Roman" w:hAnsi="Times New Roman" w:cs="Times New Roman"/>
          <w:color w:val="000000"/>
          <w:spacing w:val="0"/>
          <w:w w:val="100"/>
          <w:position w:val="0"/>
          <w:sz w:val="18"/>
          <w:szCs w:val="18"/>
        </w:rPr>
        <w:t>4</w:t>
      </w:r>
      <w:bookmarkEnd w:id="918"/>
      <w:r>
        <w:rPr>
          <w:color w:val="000000"/>
          <w:spacing w:val="0"/>
          <w:w w:val="100"/>
          <w:position w:val="0"/>
        </w:rPr>
        <w:t>）</w:t>
        <w:tab/>
        <w:t>以公允价值计量且其变动计入当期损益的金融资产</w:t>
      </w:r>
    </w:p>
    <w:p>
      <w:pPr>
        <w:pStyle w:val="Style41"/>
        <w:keepNext w:val="0"/>
        <w:keepLines w:val="0"/>
        <w:widowControl w:val="0"/>
        <w:shd w:val="clear" w:color="auto" w:fill="auto"/>
        <w:bidi w:val="0"/>
        <w:spacing w:before="0" w:after="0" w:line="468" w:lineRule="exact"/>
        <w:ind w:left="0" w:right="0"/>
        <w:jc w:val="left"/>
      </w:pPr>
      <w:r>
        <w:rPr>
          <w:color w:val="000000"/>
          <w:spacing w:val="0"/>
          <w:w w:val="100"/>
          <w:position w:val="0"/>
        </w:rPr>
        <w:t>以公允价值计量且其变动计入当期损益的金融资产包括交易性金融资产、衍生金融资产、其他非流动金融资产等，按公 允价值进行初始计量，相关交易费用计入当期损益。该金融资产按公允价值进行后续计量，公允价值变动计入当期损益。</w:t>
      </w:r>
    </w:p>
    <w:p>
      <w:pPr>
        <w:pStyle w:val="Style41"/>
        <w:keepNext w:val="0"/>
        <w:keepLines w:val="0"/>
        <w:widowControl w:val="0"/>
        <w:shd w:val="clear" w:color="auto" w:fill="auto"/>
        <w:tabs>
          <w:tab w:pos="748" w:val="left"/>
        </w:tabs>
        <w:bidi w:val="0"/>
        <w:spacing w:before="0" w:after="0" w:line="468" w:lineRule="exact"/>
        <w:ind w:left="0" w:right="0"/>
        <w:jc w:val="left"/>
      </w:pPr>
      <w:bookmarkStart w:id="919" w:name="bookmark919"/>
      <w:r>
        <w:rPr>
          <w:rFonts w:ascii="Times New Roman" w:eastAsia="Times New Roman" w:hAnsi="Times New Roman" w:cs="Times New Roman"/>
          <w:color w:val="000000"/>
          <w:spacing w:val="0"/>
          <w:w w:val="100"/>
          <w:position w:val="0"/>
          <w:sz w:val="18"/>
          <w:szCs w:val="18"/>
        </w:rPr>
        <w:t>5</w:t>
      </w:r>
      <w:bookmarkEnd w:id="919"/>
      <w:r>
        <w:rPr>
          <w:color w:val="000000"/>
          <w:spacing w:val="0"/>
          <w:w w:val="100"/>
          <w:position w:val="0"/>
        </w:rPr>
        <w:t>）</w:t>
        <w:tab/>
        <w:t>以公允价值计量且其变动计入当期损益的金融负债</w:t>
      </w:r>
    </w:p>
    <w:p>
      <w:pPr>
        <w:pStyle w:val="Style41"/>
        <w:keepNext w:val="0"/>
        <w:keepLines w:val="0"/>
        <w:widowControl w:val="0"/>
        <w:shd w:val="clear" w:color="auto" w:fill="auto"/>
        <w:bidi w:val="0"/>
        <w:spacing w:before="0" w:after="0" w:line="468" w:lineRule="exact"/>
        <w:ind w:left="0" w:right="0"/>
        <w:jc w:val="left"/>
      </w:pPr>
      <w:r>
        <w:rPr>
          <w:color w:val="000000"/>
          <w:spacing w:val="0"/>
          <w:w w:val="100"/>
          <w:position w:val="0"/>
        </w:rPr>
        <w:t>以公允价值计量且其变动计入当期损益的金融负债包括交易性金融负债、衍生金融负债等，按公允价值进行初始计量， 相关交易费用计入当期损益。该金融负债按公允价值进行后续计量，公允价值变动计入当期损益。</w:t>
      </w:r>
    </w:p>
    <w:p>
      <w:pPr>
        <w:pStyle w:val="Style41"/>
        <w:keepNext w:val="0"/>
        <w:keepLines w:val="0"/>
        <w:widowControl w:val="0"/>
        <w:shd w:val="clear" w:color="auto" w:fill="auto"/>
        <w:bidi w:val="0"/>
        <w:spacing w:before="0" w:after="0" w:line="468" w:lineRule="exact"/>
        <w:ind w:left="0" w:right="0"/>
        <w:jc w:val="left"/>
      </w:pPr>
      <w:r>
        <w:rPr>
          <w:color w:val="000000"/>
          <w:spacing w:val="0"/>
          <w:w w:val="100"/>
          <w:position w:val="0"/>
        </w:rPr>
        <w:t>终止确认时，其账面价值与支付的对价之间的差额计入当期损益。</w:t>
      </w:r>
    </w:p>
    <w:p>
      <w:pPr>
        <w:pStyle w:val="Style41"/>
        <w:keepNext w:val="0"/>
        <w:keepLines w:val="0"/>
        <w:widowControl w:val="0"/>
        <w:shd w:val="clear" w:color="auto" w:fill="auto"/>
        <w:tabs>
          <w:tab w:pos="748" w:val="left"/>
        </w:tabs>
        <w:bidi w:val="0"/>
        <w:spacing w:before="0" w:after="0" w:line="468" w:lineRule="exact"/>
        <w:ind w:left="0" w:right="0"/>
        <w:jc w:val="both"/>
      </w:pPr>
      <w:bookmarkStart w:id="920" w:name="bookmark920"/>
      <w:r>
        <w:rPr>
          <w:rFonts w:ascii="Times New Roman" w:eastAsia="Times New Roman" w:hAnsi="Times New Roman" w:cs="Times New Roman"/>
          <w:color w:val="000000"/>
          <w:spacing w:val="0"/>
          <w:w w:val="100"/>
          <w:position w:val="0"/>
          <w:sz w:val="18"/>
          <w:szCs w:val="18"/>
        </w:rPr>
        <w:t>6</w:t>
      </w:r>
      <w:bookmarkEnd w:id="920"/>
      <w:r>
        <w:rPr>
          <w:color w:val="000000"/>
          <w:spacing w:val="0"/>
          <w:w w:val="100"/>
          <w:position w:val="0"/>
        </w:rPr>
        <w:t>）</w:t>
        <w:tab/>
        <w:t>以摊余成本计量的金融负债</w:t>
      </w:r>
    </w:p>
    <w:p>
      <w:pPr>
        <w:pStyle w:val="Style41"/>
        <w:keepNext w:val="0"/>
        <w:keepLines w:val="0"/>
        <w:widowControl w:val="0"/>
        <w:shd w:val="clear" w:color="auto" w:fill="auto"/>
        <w:bidi w:val="0"/>
        <w:spacing w:before="0" w:after="0" w:line="468" w:lineRule="exact"/>
        <w:ind w:left="0" w:right="0"/>
        <w:jc w:val="both"/>
      </w:pPr>
      <w:r>
        <w:rPr>
          <w:color w:val="000000"/>
          <w:spacing w:val="0"/>
          <w:w w:val="100"/>
          <w:position w:val="0"/>
        </w:rPr>
        <w:t>以摊余成本计量的金融负债包括短期借款、应付票据、应付账款、其他应付款、长期借款、应付债券、长期应付款，按 公允价值进行初始计量，相关交易费用计入初始确认金额。</w:t>
      </w:r>
    </w:p>
    <w:p>
      <w:pPr>
        <w:pStyle w:val="Style41"/>
        <w:keepNext w:val="0"/>
        <w:keepLines w:val="0"/>
        <w:widowControl w:val="0"/>
        <w:shd w:val="clear" w:color="auto" w:fill="auto"/>
        <w:bidi w:val="0"/>
        <w:spacing w:before="0" w:after="0" w:line="468" w:lineRule="exact"/>
        <w:ind w:left="0" w:right="0"/>
        <w:jc w:val="both"/>
      </w:pPr>
      <w:r>
        <w:rPr>
          <w:color w:val="000000"/>
          <w:spacing w:val="0"/>
          <w:w w:val="100"/>
          <w:position w:val="0"/>
        </w:rPr>
        <w:t>持有期间采用实际利率法计算的利息计入当期损益。</w:t>
      </w:r>
    </w:p>
    <w:p>
      <w:pPr>
        <w:pStyle w:val="Style41"/>
        <w:keepNext w:val="0"/>
        <w:keepLines w:val="0"/>
        <w:widowControl w:val="0"/>
        <w:shd w:val="clear" w:color="auto" w:fill="auto"/>
        <w:bidi w:val="0"/>
        <w:spacing w:before="0" w:after="0" w:line="468" w:lineRule="exact"/>
        <w:ind w:left="0" w:right="0"/>
        <w:jc w:val="both"/>
      </w:pPr>
      <w:r>
        <w:rPr>
          <w:color w:val="000000"/>
          <w:spacing w:val="0"/>
          <w:w w:val="100"/>
          <w:position w:val="0"/>
        </w:rPr>
        <w:t>终止确认时，将支付的对价与该金融负债账面价值之间的差额计入当期损益。</w:t>
      </w:r>
    </w:p>
    <w:p>
      <w:pPr>
        <w:pStyle w:val="Style41"/>
        <w:keepNext w:val="0"/>
        <w:keepLines w:val="0"/>
        <w:widowControl w:val="0"/>
        <w:shd w:val="clear" w:color="auto" w:fill="auto"/>
        <w:tabs>
          <w:tab w:pos="450" w:val="left"/>
        </w:tabs>
        <w:bidi w:val="0"/>
        <w:spacing w:before="0" w:after="0" w:line="240" w:lineRule="auto"/>
        <w:ind w:left="0" w:right="0" w:firstLine="0"/>
        <w:jc w:val="both"/>
      </w:pPr>
      <w:bookmarkStart w:id="921" w:name="bookmark921"/>
      <w:r>
        <w:rPr>
          <w:b/>
          <w:bCs/>
          <w:color w:val="000000"/>
          <w:spacing w:val="0"/>
          <w:w w:val="100"/>
          <w:position w:val="0"/>
        </w:rPr>
        <w:t>（</w:t>
      </w:r>
      <w:bookmarkEnd w:id="921"/>
      <w:r>
        <w:rPr>
          <w:rFonts w:ascii="Times New Roman" w:eastAsia="Times New Roman" w:hAnsi="Times New Roman" w:cs="Times New Roman"/>
          <w:b/>
          <w:bCs/>
          <w:color w:val="000000"/>
          <w:spacing w:val="0"/>
          <w:w w:val="100"/>
          <w:position w:val="0"/>
          <w:sz w:val="18"/>
          <w:szCs w:val="18"/>
        </w:rPr>
        <w:t>3</w:t>
      </w:r>
      <w:r>
        <w:rPr>
          <w:b/>
          <w:bCs/>
          <w:color w:val="000000"/>
          <w:spacing w:val="0"/>
          <w:w w:val="100"/>
          <w:position w:val="0"/>
        </w:rPr>
        <w:t>）</w:t>
        <w:tab/>
        <w:t>金融资产终止确认和金融资产转移</w:t>
      </w:r>
    </w:p>
    <w:p>
      <w:pPr>
        <w:pStyle w:val="Style41"/>
        <w:keepNext w:val="0"/>
        <w:keepLines w:val="0"/>
        <w:widowControl w:val="0"/>
        <w:shd w:val="clear" w:color="auto" w:fill="auto"/>
        <w:bidi w:val="0"/>
        <w:spacing w:before="0" w:after="0" w:line="474" w:lineRule="exact"/>
        <w:ind w:left="0" w:right="0"/>
        <w:jc w:val="both"/>
      </w:pPr>
      <w:r>
        <w:rPr>
          <w:color w:val="000000"/>
          <w:spacing w:val="0"/>
          <w:w w:val="100"/>
          <w:position w:val="0"/>
        </w:rPr>
        <w:t>满足下列条件之一时，本公司终止确认金融资产：</w:t>
      </w:r>
    </w:p>
    <w:p>
      <w:pPr>
        <w:pStyle w:val="Style41"/>
        <w:keepNext w:val="0"/>
        <w:keepLines w:val="0"/>
        <w:widowControl w:val="0"/>
        <w:shd w:val="clear" w:color="auto" w:fill="auto"/>
        <w:bidi w:val="0"/>
        <w:spacing w:before="0" w:after="0" w:line="474" w:lineRule="exact"/>
        <w:ind w:left="0" w:right="0"/>
        <w:jc w:val="both"/>
      </w:pPr>
      <w:r>
        <w:rPr>
          <w:color w:val="000000"/>
          <w:spacing w:val="0"/>
          <w:w w:val="100"/>
          <w:position w:val="0"/>
        </w:rPr>
        <w:t>一收取金融资产现金流量的合同权利终止；</w:t>
      </w:r>
    </w:p>
    <w:p>
      <w:pPr>
        <w:pStyle w:val="Style41"/>
        <w:keepNext w:val="0"/>
        <w:keepLines w:val="0"/>
        <w:widowControl w:val="0"/>
        <w:shd w:val="clear" w:color="auto" w:fill="auto"/>
        <w:bidi w:val="0"/>
        <w:spacing w:before="0" w:after="0" w:line="474" w:lineRule="exact"/>
        <w:ind w:left="0" w:right="0"/>
        <w:jc w:val="both"/>
      </w:pPr>
      <w:r>
        <w:rPr>
          <w:color w:val="000000"/>
          <w:spacing w:val="0"/>
          <w:w w:val="100"/>
          <w:position w:val="0"/>
        </w:rPr>
        <w:t>一金融资产已转移，且已将金融资产所有权上几乎所有的风险和报酬转移给转入方；</w:t>
      </w:r>
    </w:p>
    <w:p>
      <w:pPr>
        <w:pStyle w:val="Style41"/>
        <w:keepNext w:val="0"/>
        <w:keepLines w:val="0"/>
        <w:widowControl w:val="0"/>
        <w:shd w:val="clear" w:color="auto" w:fill="auto"/>
        <w:bidi w:val="0"/>
        <w:spacing w:before="0" w:after="0" w:line="474" w:lineRule="exact"/>
        <w:ind w:left="0" w:right="0"/>
        <w:jc w:val="both"/>
      </w:pPr>
      <w:r>
        <w:rPr>
          <w:color w:val="000000"/>
          <w:spacing w:val="0"/>
          <w:w w:val="100"/>
          <w:position w:val="0"/>
        </w:rPr>
        <w:t>一金融资产已转移，虽然本公司既没有转移也没有保留金融资产所有权上几乎所有的风险和报酬，但是未保留对金融 资产的控制。</w:t>
      </w:r>
    </w:p>
    <w:p>
      <w:pPr>
        <w:pStyle w:val="Style41"/>
        <w:keepNext w:val="0"/>
        <w:keepLines w:val="0"/>
        <w:widowControl w:val="0"/>
        <w:shd w:val="clear" w:color="auto" w:fill="auto"/>
        <w:bidi w:val="0"/>
        <w:spacing w:before="0" w:after="0" w:line="474" w:lineRule="exact"/>
        <w:ind w:left="0" w:right="0"/>
        <w:jc w:val="both"/>
      </w:pPr>
      <w:r>
        <w:rPr>
          <w:color w:val="000000"/>
          <w:spacing w:val="0"/>
          <w:w w:val="100"/>
          <w:position w:val="0"/>
        </w:rPr>
        <w:t>发生金融资产转移时，如保留了金融资产所有权上几乎所有的风险和报酬的，则不终止确认该金融资产。</w:t>
      </w:r>
    </w:p>
    <w:p>
      <w:pPr>
        <w:pStyle w:val="Style41"/>
        <w:keepNext w:val="0"/>
        <w:keepLines w:val="0"/>
        <w:widowControl w:val="0"/>
        <w:shd w:val="clear" w:color="auto" w:fill="auto"/>
        <w:bidi w:val="0"/>
        <w:spacing w:before="0" w:after="0" w:line="474" w:lineRule="exact"/>
        <w:ind w:left="0" w:right="0"/>
        <w:jc w:val="both"/>
      </w:pPr>
      <w:r>
        <w:rPr>
          <w:color w:val="000000"/>
          <w:spacing w:val="0"/>
          <w:w w:val="100"/>
          <w:position w:val="0"/>
        </w:rPr>
        <w:t>在判断金融资产转移是否满足上述金融资产终止确认条件时，采用实质重于形式的原则。</w:t>
      </w:r>
    </w:p>
    <w:p>
      <w:pPr>
        <w:pStyle w:val="Style41"/>
        <w:keepNext w:val="0"/>
        <w:keepLines w:val="0"/>
        <w:widowControl w:val="0"/>
        <w:shd w:val="clear" w:color="auto" w:fill="auto"/>
        <w:bidi w:val="0"/>
        <w:spacing w:before="0" w:after="0" w:line="474" w:lineRule="exact"/>
        <w:ind w:left="0" w:right="0"/>
        <w:jc w:val="both"/>
      </w:pPr>
      <w:r>
        <w:rPr>
          <w:color w:val="000000"/>
          <w:spacing w:val="0"/>
          <w:w w:val="100"/>
          <w:position w:val="0"/>
        </w:rPr>
        <w:t>公司将金融资产转移区分为金融资产整体转移和部分转移。金融资产整体转移满足终止确认条件的，将下列两项金额的 差额计入当期损益：</w:t>
      </w:r>
    </w:p>
    <w:p>
      <w:pPr>
        <w:pStyle w:val="Style41"/>
        <w:keepNext w:val="0"/>
        <w:keepLines w:val="0"/>
        <w:widowControl w:val="0"/>
        <w:shd w:val="clear" w:color="auto" w:fill="auto"/>
        <w:tabs>
          <w:tab w:pos="729" w:val="left"/>
        </w:tabs>
        <w:bidi w:val="0"/>
        <w:spacing w:before="0" w:after="0" w:line="474" w:lineRule="exact"/>
        <w:ind w:left="0" w:right="0"/>
        <w:jc w:val="both"/>
      </w:pPr>
      <w:bookmarkStart w:id="922" w:name="bookmark922"/>
      <w:r>
        <w:rPr>
          <w:rFonts w:ascii="Times New Roman" w:eastAsia="Times New Roman" w:hAnsi="Times New Roman" w:cs="Times New Roman"/>
          <w:color w:val="000000"/>
          <w:spacing w:val="0"/>
          <w:w w:val="100"/>
          <w:position w:val="0"/>
          <w:sz w:val="18"/>
          <w:szCs w:val="18"/>
        </w:rPr>
        <w:t>1</w:t>
      </w:r>
      <w:bookmarkEnd w:id="922"/>
      <w:r>
        <w:rPr>
          <w:color w:val="000000"/>
          <w:spacing w:val="0"/>
          <w:w w:val="100"/>
          <w:position w:val="0"/>
        </w:rPr>
        <w:t>）</w:t>
        <w:tab/>
        <w:t>所转移金融资产的账面价值；</w:t>
      </w:r>
    </w:p>
    <w:p>
      <w:pPr>
        <w:pStyle w:val="Style41"/>
        <w:keepNext w:val="0"/>
        <w:keepLines w:val="0"/>
        <w:widowControl w:val="0"/>
        <w:shd w:val="clear" w:color="auto" w:fill="auto"/>
        <w:tabs>
          <w:tab w:pos="718" w:val="left"/>
        </w:tabs>
        <w:bidi w:val="0"/>
        <w:spacing w:before="0" w:after="0" w:line="474" w:lineRule="exact"/>
        <w:ind w:left="0" w:right="0"/>
        <w:jc w:val="both"/>
      </w:pPr>
      <w:bookmarkStart w:id="923" w:name="bookmark923"/>
      <w:r>
        <w:rPr>
          <w:rFonts w:ascii="Times New Roman" w:eastAsia="Times New Roman" w:hAnsi="Times New Roman" w:cs="Times New Roman"/>
          <w:color w:val="000000"/>
          <w:spacing w:val="0"/>
          <w:w w:val="100"/>
          <w:position w:val="0"/>
          <w:sz w:val="18"/>
          <w:szCs w:val="18"/>
        </w:rPr>
        <w:t>2</w:t>
      </w:r>
      <w:bookmarkEnd w:id="923"/>
      <w:r>
        <w:rPr>
          <w:color w:val="000000"/>
          <w:spacing w:val="0"/>
          <w:w w:val="100"/>
          <w:position w:val="0"/>
        </w:rPr>
        <w:t>）</w:t>
        <w:tab/>
        <w:t>因转移而收到的对价，与原直接计入所有者权益的公允价值变动累计额（涉及转移的金融资产为以公允价值计量且 其变动计入其他综合收益的金融资产（债务工具）的情形）之和。</w:t>
      </w:r>
    </w:p>
    <w:p>
      <w:pPr>
        <w:pStyle w:val="Style41"/>
        <w:keepNext w:val="0"/>
        <w:keepLines w:val="0"/>
        <w:widowControl w:val="0"/>
        <w:shd w:val="clear" w:color="auto" w:fill="auto"/>
        <w:bidi w:val="0"/>
        <w:spacing w:before="0" w:after="0" w:line="474" w:lineRule="exact"/>
        <w:ind w:left="0" w:right="0"/>
        <w:jc w:val="both"/>
      </w:pPr>
      <w:r>
        <w:rPr>
          <w:color w:val="000000"/>
          <w:spacing w:val="0"/>
          <w:w w:val="100"/>
          <w:position w:val="0"/>
        </w:rPr>
        <w:t>金融资产部分转移满足终止确认条件的，将所转移金融资产整体的账面价值，在终止确认部分和未终止确认部分之间， 按照各自的相对公允价值进行分摊，并将下列两项金额的差额计入当期损益：</w:t>
      </w:r>
    </w:p>
    <w:p>
      <w:pPr>
        <w:pStyle w:val="Style41"/>
        <w:keepNext w:val="0"/>
        <w:keepLines w:val="0"/>
        <w:widowControl w:val="0"/>
        <w:shd w:val="clear" w:color="auto" w:fill="auto"/>
        <w:tabs>
          <w:tab w:pos="729" w:val="left"/>
        </w:tabs>
        <w:bidi w:val="0"/>
        <w:spacing w:before="0" w:after="0" w:line="474" w:lineRule="exact"/>
        <w:ind w:left="0" w:right="0"/>
        <w:jc w:val="both"/>
      </w:pPr>
      <w:bookmarkStart w:id="924" w:name="bookmark924"/>
      <w:r>
        <w:rPr>
          <w:rFonts w:ascii="Times New Roman" w:eastAsia="Times New Roman" w:hAnsi="Times New Roman" w:cs="Times New Roman"/>
          <w:color w:val="000000"/>
          <w:spacing w:val="0"/>
          <w:w w:val="100"/>
          <w:position w:val="0"/>
          <w:sz w:val="18"/>
          <w:szCs w:val="18"/>
        </w:rPr>
        <w:t>1</w:t>
      </w:r>
      <w:bookmarkEnd w:id="924"/>
      <w:r>
        <w:rPr>
          <w:color w:val="000000"/>
          <w:spacing w:val="0"/>
          <w:w w:val="100"/>
          <w:position w:val="0"/>
        </w:rPr>
        <w:t>）</w:t>
        <w:tab/>
        <w:t>终止确认部分的账面价值；</w:t>
      </w:r>
    </w:p>
    <w:p>
      <w:pPr>
        <w:pStyle w:val="Style41"/>
        <w:keepNext w:val="0"/>
        <w:keepLines w:val="0"/>
        <w:widowControl w:val="0"/>
        <w:shd w:val="clear" w:color="auto" w:fill="auto"/>
        <w:tabs>
          <w:tab w:pos="714" w:val="left"/>
        </w:tabs>
        <w:bidi w:val="0"/>
        <w:spacing w:before="0" w:after="0" w:line="474" w:lineRule="exact"/>
        <w:ind w:left="0" w:right="0"/>
        <w:jc w:val="both"/>
      </w:pPr>
      <w:bookmarkStart w:id="925" w:name="bookmark925"/>
      <w:r>
        <w:rPr>
          <w:rFonts w:ascii="Times New Roman" w:eastAsia="Times New Roman" w:hAnsi="Times New Roman" w:cs="Times New Roman"/>
          <w:color w:val="000000"/>
          <w:spacing w:val="0"/>
          <w:w w:val="100"/>
          <w:position w:val="0"/>
          <w:sz w:val="18"/>
          <w:szCs w:val="18"/>
        </w:rPr>
        <w:t>2</w:t>
      </w:r>
      <w:bookmarkEnd w:id="925"/>
      <w:r>
        <w:rPr>
          <w:color w:val="000000"/>
          <w:spacing w:val="0"/>
          <w:w w:val="100"/>
          <w:position w:val="0"/>
        </w:rPr>
        <w:t>）</w:t>
        <w:tab/>
        <w:t>终止确认部分的对价，与原直接计入所有者权益的公允价值变动累计额中对应终止确认部分的金额（涉及转移的金 融资产为以公允价值计量且其变动计入其他综合收益的金融资产（债务工具）的情形）之和。</w:t>
      </w:r>
    </w:p>
    <w:p>
      <w:pPr>
        <w:pStyle w:val="Style41"/>
        <w:keepNext w:val="0"/>
        <w:keepLines w:val="0"/>
        <w:widowControl w:val="0"/>
        <w:shd w:val="clear" w:color="auto" w:fill="auto"/>
        <w:bidi w:val="0"/>
        <w:spacing w:before="0" w:after="480" w:line="474" w:lineRule="exact"/>
        <w:ind w:left="0" w:right="0"/>
        <w:jc w:val="both"/>
      </w:pPr>
      <w:r>
        <w:rPr>
          <w:color w:val="000000"/>
          <w:spacing w:val="0"/>
          <w:w w:val="100"/>
          <w:position w:val="0"/>
        </w:rPr>
        <w:t>金融资产转移不满足终止确认条件的，继续确认该金融资产，所收到的对价确认为一项金融负债。</w:t>
      </w:r>
    </w:p>
    <w:p>
      <w:pPr>
        <w:pStyle w:val="Style41"/>
        <w:keepNext w:val="0"/>
        <w:keepLines w:val="0"/>
        <w:widowControl w:val="0"/>
        <w:shd w:val="clear" w:color="auto" w:fill="auto"/>
        <w:tabs>
          <w:tab w:pos="450" w:val="left"/>
        </w:tabs>
        <w:bidi w:val="0"/>
        <w:spacing w:before="0" w:after="0" w:line="240" w:lineRule="auto"/>
        <w:ind w:left="0" w:right="0" w:firstLine="0"/>
        <w:jc w:val="both"/>
      </w:pPr>
      <w:bookmarkStart w:id="926" w:name="bookmark926"/>
      <w:r>
        <w:rPr>
          <w:b/>
          <w:bCs/>
          <w:color w:val="000000"/>
          <w:spacing w:val="0"/>
          <w:w w:val="100"/>
          <w:position w:val="0"/>
        </w:rPr>
        <w:t>（</w:t>
      </w:r>
      <w:bookmarkEnd w:id="926"/>
      <w:r>
        <w:rPr>
          <w:rFonts w:ascii="Times New Roman" w:eastAsia="Times New Roman" w:hAnsi="Times New Roman" w:cs="Times New Roman"/>
          <w:b/>
          <w:bCs/>
          <w:color w:val="000000"/>
          <w:spacing w:val="0"/>
          <w:w w:val="100"/>
          <w:position w:val="0"/>
          <w:sz w:val="18"/>
          <w:szCs w:val="18"/>
        </w:rPr>
        <w:t>4</w:t>
      </w:r>
      <w:r>
        <w:rPr>
          <w:b/>
          <w:bCs/>
          <w:color w:val="000000"/>
          <w:spacing w:val="0"/>
          <w:w w:val="100"/>
          <w:position w:val="0"/>
        </w:rPr>
        <w:t>）</w:t>
        <w:tab/>
        <w:t>金融负债终止确认</w:t>
      </w:r>
    </w:p>
    <w:p>
      <w:pPr>
        <w:pStyle w:val="Style41"/>
        <w:keepNext w:val="0"/>
        <w:keepLines w:val="0"/>
        <w:widowControl w:val="0"/>
        <w:shd w:val="clear" w:color="auto" w:fill="auto"/>
        <w:bidi w:val="0"/>
        <w:spacing w:before="0" w:after="0" w:line="468" w:lineRule="exact"/>
        <w:ind w:left="0" w:right="0"/>
        <w:jc w:val="both"/>
      </w:pPr>
      <w:r>
        <w:rPr>
          <w:color w:val="000000"/>
          <w:spacing w:val="0"/>
          <w:w w:val="100"/>
          <w:position w:val="0"/>
        </w:rPr>
        <w:t>金融负债的现时义务全部或部分已经解除的，则终止确认该金融负债或其一部分；本公司若与债权人签定协议，以承担 新金融负债方式替换现存金融负债，且新金融负债与现存金融负债的合同条款实质上不同的，则终止确认现存金融负债，并 同时确认新金融负债。</w:t>
      </w:r>
    </w:p>
    <w:p>
      <w:pPr>
        <w:pStyle w:val="Style41"/>
        <w:keepNext w:val="0"/>
        <w:keepLines w:val="0"/>
        <w:widowControl w:val="0"/>
        <w:shd w:val="clear" w:color="auto" w:fill="auto"/>
        <w:bidi w:val="0"/>
        <w:spacing w:before="0" w:after="0" w:line="468" w:lineRule="exact"/>
        <w:ind w:left="0" w:right="0"/>
        <w:jc w:val="both"/>
      </w:pPr>
      <w:r>
        <w:rPr>
          <w:color w:val="000000"/>
          <w:spacing w:val="0"/>
          <w:w w:val="100"/>
          <w:position w:val="0"/>
        </w:rPr>
        <w:t>对现存金融负债全部或部分合同条款作出实质性修改的，则终止确认现存金融负债或其一部分，同时将修改条款后的金 融负债确认为一项新金融负债。</w:t>
      </w:r>
    </w:p>
    <w:p>
      <w:pPr>
        <w:pStyle w:val="Style41"/>
        <w:keepNext w:val="0"/>
        <w:keepLines w:val="0"/>
        <w:widowControl w:val="0"/>
        <w:shd w:val="clear" w:color="auto" w:fill="auto"/>
        <w:bidi w:val="0"/>
        <w:spacing w:before="0" w:after="0" w:line="468" w:lineRule="exact"/>
        <w:ind w:left="0" w:right="0"/>
        <w:jc w:val="both"/>
      </w:pPr>
      <w:r>
        <w:rPr>
          <w:color w:val="000000"/>
          <w:spacing w:val="0"/>
          <w:w w:val="100"/>
          <w:position w:val="0"/>
        </w:rPr>
        <w:t>金融负债全部或部分终止确认时，终止确认的金融负债账面价值与支付对价（包括转出的非现金资产或承担的新金融负 债）之间的差额，计入当期损益。</w:t>
      </w:r>
    </w:p>
    <w:p>
      <w:pPr>
        <w:pStyle w:val="Style41"/>
        <w:keepNext w:val="0"/>
        <w:keepLines w:val="0"/>
        <w:widowControl w:val="0"/>
        <w:shd w:val="clear" w:color="auto" w:fill="auto"/>
        <w:bidi w:val="0"/>
        <w:spacing w:before="0" w:after="240" w:line="468" w:lineRule="exact"/>
        <w:ind w:left="0" w:right="0"/>
        <w:jc w:val="both"/>
      </w:pPr>
      <w:r>
        <w:rPr>
          <w:color w:val="000000"/>
          <w:spacing w:val="0"/>
          <w:w w:val="100"/>
          <w:position w:val="0"/>
        </w:rPr>
        <w:t>本公司若回购部分金融负债的，在回购日按照继续确认部分与终止确认部分的相对公允价值，将该金融负债整体的账面 价值进行分配。分配给终止确认部分的账面价值与支付的对价（包括转出的非现金资产或承担的新金融负债）之间的差额， 计入当期损益。</w:t>
      </w:r>
    </w:p>
    <w:p>
      <w:pPr>
        <w:pStyle w:val="Style41"/>
        <w:keepNext w:val="0"/>
        <w:keepLines w:val="0"/>
        <w:widowControl w:val="0"/>
        <w:numPr>
          <w:ilvl w:val="0"/>
          <w:numId w:val="23"/>
        </w:numPr>
        <w:shd w:val="clear" w:color="auto" w:fill="auto"/>
        <w:tabs>
          <w:tab w:pos="450" w:val="left"/>
        </w:tabs>
        <w:bidi w:val="0"/>
        <w:spacing w:before="0" w:after="0" w:line="240" w:lineRule="auto"/>
        <w:ind w:left="0" w:right="0" w:firstLine="0"/>
        <w:jc w:val="left"/>
      </w:pPr>
      <w:bookmarkStart w:id="927" w:name="bookmark927"/>
      <w:bookmarkEnd w:id="927"/>
      <w:r>
        <w:rPr>
          <w:b/>
          <w:bCs/>
          <w:color w:val="000000"/>
          <w:spacing w:val="0"/>
          <w:w w:val="100"/>
          <w:position w:val="0"/>
        </w:rPr>
        <w:t>金融资产和金融负债的公允价值的确定方法</w:t>
      </w:r>
    </w:p>
    <w:p>
      <w:pPr>
        <w:pStyle w:val="Style41"/>
        <w:keepNext w:val="0"/>
        <w:keepLines w:val="0"/>
        <w:widowControl w:val="0"/>
        <w:shd w:val="clear" w:color="auto" w:fill="auto"/>
        <w:bidi w:val="0"/>
        <w:spacing w:before="0" w:after="480" w:line="470" w:lineRule="exact"/>
        <w:ind w:left="0" w:right="0"/>
        <w:jc w:val="both"/>
      </w:pPr>
      <w:r>
        <w:rPr>
          <w:color w:val="000000"/>
          <w:spacing w:val="0"/>
          <w:w w:val="100"/>
          <w:position w:val="0"/>
        </w:rPr>
        <w:t>存在活跃市场的金融工具，以活跃市场中的报价确定其公允价值。不存在活跃市场的金融工具，采用估值技术确定其公 允价值。在估值时，本公司采用在当前情况下适用并且有足够可利用数据和其他信息支持的估值技术，选择与市场参与者在 相关资产或负债的交易中所考虑的资产或负债特征相一致的输入值，并优先使用相关可观察输入值。只有在相关可观察输入 值无法取得或取得不切实可行的情况下，才使用不可观察输入值。</w:t>
      </w:r>
    </w:p>
    <w:p>
      <w:pPr>
        <w:pStyle w:val="Style41"/>
        <w:keepNext w:val="0"/>
        <w:keepLines w:val="0"/>
        <w:widowControl w:val="0"/>
        <w:numPr>
          <w:ilvl w:val="0"/>
          <w:numId w:val="23"/>
        </w:numPr>
        <w:shd w:val="clear" w:color="auto" w:fill="auto"/>
        <w:tabs>
          <w:tab w:pos="450" w:val="left"/>
        </w:tabs>
        <w:bidi w:val="0"/>
        <w:spacing w:before="0" w:after="0" w:line="240" w:lineRule="auto"/>
        <w:ind w:left="0" w:right="0" w:firstLine="0"/>
        <w:jc w:val="left"/>
      </w:pPr>
      <w:bookmarkStart w:id="928" w:name="bookmark928"/>
      <w:bookmarkEnd w:id="928"/>
      <w:r>
        <w:rPr>
          <w:b/>
          <w:bCs/>
          <w:color w:val="000000"/>
          <w:spacing w:val="0"/>
          <w:w w:val="100"/>
          <w:position w:val="0"/>
        </w:rPr>
        <w:t>金融资产减值的测试方法及会计处理方法</w:t>
      </w:r>
    </w:p>
    <w:p>
      <w:pPr>
        <w:pStyle w:val="Style41"/>
        <w:keepNext w:val="0"/>
        <w:keepLines w:val="0"/>
        <w:widowControl w:val="0"/>
        <w:shd w:val="clear" w:color="auto" w:fill="auto"/>
        <w:bidi w:val="0"/>
        <w:spacing w:before="0" w:after="0" w:line="473" w:lineRule="exact"/>
        <w:ind w:left="0" w:right="0"/>
        <w:jc w:val="both"/>
      </w:pPr>
      <w:r>
        <w:rPr>
          <w:color w:val="000000"/>
          <w:spacing w:val="0"/>
          <w:w w:val="100"/>
          <w:position w:val="0"/>
        </w:rPr>
        <w:t>本公司以单项或组合的方式对以摊余成本计量的金融资产、以公允价值计量且其变动计入其他综合收益的金融资产(债 务工具)和财务担保合同等的预期信用损失进行估计。</w:t>
      </w:r>
    </w:p>
    <w:p>
      <w:pPr>
        <w:pStyle w:val="Style41"/>
        <w:keepNext w:val="0"/>
        <w:keepLines w:val="0"/>
        <w:widowControl w:val="0"/>
        <w:shd w:val="clear" w:color="auto" w:fill="auto"/>
        <w:bidi w:val="0"/>
        <w:spacing w:before="0" w:after="0" w:line="473" w:lineRule="exact"/>
        <w:ind w:left="0" w:right="0"/>
        <w:jc w:val="both"/>
      </w:pPr>
      <w:r>
        <w:rPr>
          <w:color w:val="000000"/>
          <w:spacing w:val="0"/>
          <w:w w:val="100"/>
          <w:position w:val="0"/>
        </w:rPr>
        <w:t>本公司考虑有关过去事项、当前状况以及对未来经济状况的预测等合理且有依据的信息，以发生违约的风险为权重，计 算合同应收的现金流量与预期能收到的现金流量之间差额的现值的概率加权金额，确认预期信用损失。</w:t>
      </w:r>
    </w:p>
    <w:p>
      <w:pPr>
        <w:pStyle w:val="Style41"/>
        <w:keepNext w:val="0"/>
        <w:keepLines w:val="0"/>
        <w:widowControl w:val="0"/>
        <w:shd w:val="clear" w:color="auto" w:fill="auto"/>
        <w:bidi w:val="0"/>
        <w:spacing w:before="0" w:after="0" w:line="473" w:lineRule="exact"/>
        <w:ind w:left="0" w:right="0"/>
        <w:jc w:val="both"/>
      </w:pPr>
      <w:r>
        <w:rPr>
          <w:color w:val="000000"/>
          <w:spacing w:val="0"/>
          <w:w w:val="100"/>
          <w:position w:val="0"/>
        </w:rPr>
        <w:t>如果该金融工具的信用风险自初始确认后已显著增加，本公司按照相当于该金融工具整个存续期内预期信用损失的金额 计量其损失准备；如果该金融工具的信用风险自初始确认后并未显著增加，本公司按照相当于该金融工具未来</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个月内预期 信用损失的金额计量其损失准备。由此形成的损失准备的增加或转回金额，作为减值损失或利得计入当期损益。</w:t>
      </w:r>
    </w:p>
    <w:p>
      <w:pPr>
        <w:pStyle w:val="Style41"/>
        <w:keepNext w:val="0"/>
        <w:keepLines w:val="0"/>
        <w:widowControl w:val="0"/>
        <w:shd w:val="clear" w:color="auto" w:fill="auto"/>
        <w:bidi w:val="0"/>
        <w:spacing w:before="0" w:after="0" w:line="473" w:lineRule="exact"/>
        <w:ind w:left="0" w:right="0"/>
        <w:jc w:val="both"/>
      </w:pPr>
      <w:r>
        <w:rPr>
          <w:color w:val="000000"/>
          <w:spacing w:val="0"/>
          <w:w w:val="100"/>
          <w:position w:val="0"/>
        </w:rPr>
        <w:t>本公司通过比较金融工具在资产负债表日发生违约的风险与在初始确认日发生违约的风险，以确定金融工具预计存续期 内发生违约风险的相对变化，以评估金融工具的信用风险自初始确认后是否已显著增加。通常逾期超过</w:t>
      </w:r>
      <w:r>
        <w:rPr>
          <w:rFonts w:ascii="Times New Roman" w:eastAsia="Times New Roman" w:hAnsi="Times New Roman" w:cs="Times New Roman"/>
          <w:color w:val="000000"/>
          <w:spacing w:val="0"/>
          <w:w w:val="100"/>
          <w:position w:val="0"/>
          <w:sz w:val="18"/>
          <w:szCs w:val="18"/>
        </w:rPr>
        <w:t>30</w:t>
      </w:r>
      <w:r>
        <w:rPr>
          <w:color w:val="000000"/>
          <w:spacing w:val="0"/>
          <w:w w:val="100"/>
          <w:position w:val="0"/>
        </w:rPr>
        <w:t>日，本公司即认为 该金融工具的信用风险已显著增加，除非有确凿证据证明该金融工具的信用风险自初始确认后并未显著增加。</w:t>
      </w:r>
    </w:p>
    <w:p>
      <w:pPr>
        <w:pStyle w:val="Style41"/>
        <w:keepNext w:val="0"/>
        <w:keepLines w:val="0"/>
        <w:widowControl w:val="0"/>
        <w:shd w:val="clear" w:color="auto" w:fill="auto"/>
        <w:bidi w:val="0"/>
        <w:spacing w:before="0" w:after="0" w:line="473" w:lineRule="exact"/>
        <w:ind w:left="0" w:right="0"/>
        <w:jc w:val="both"/>
      </w:pPr>
      <w:r>
        <w:rPr>
          <w:color w:val="000000"/>
          <w:spacing w:val="0"/>
          <w:w w:val="100"/>
          <w:position w:val="0"/>
        </w:rPr>
        <w:t>如果金融工具于资产负债表日的信用风险较低，本公司即认为该金融工具的信用风险自初始确认后并未显著增加。</w:t>
      </w:r>
    </w:p>
    <w:p>
      <w:pPr>
        <w:pStyle w:val="Style41"/>
        <w:keepNext w:val="0"/>
        <w:keepLines w:val="0"/>
        <w:widowControl w:val="0"/>
        <w:shd w:val="clear" w:color="auto" w:fill="auto"/>
        <w:bidi w:val="0"/>
        <w:spacing w:before="0" w:after="0" w:line="473" w:lineRule="exact"/>
        <w:ind w:left="0" w:right="0"/>
        <w:jc w:val="both"/>
      </w:pPr>
      <w:r>
        <w:rPr>
          <w:color w:val="000000"/>
          <w:spacing w:val="0"/>
          <w:w w:val="100"/>
          <w:position w:val="0"/>
        </w:rPr>
        <w:t>如果有客观证据表明某项金融资产已经发生信用减值，则本公司在单项基础上对该金融资产计提减值准备。</w:t>
      </w:r>
    </w:p>
    <w:p>
      <w:pPr>
        <w:pStyle w:val="Style41"/>
        <w:keepNext w:val="0"/>
        <w:keepLines w:val="0"/>
        <w:widowControl w:val="0"/>
        <w:shd w:val="clear" w:color="auto" w:fill="auto"/>
        <w:bidi w:val="0"/>
        <w:spacing w:before="0" w:after="0" w:line="473" w:lineRule="exact"/>
        <w:ind w:left="0" w:right="0"/>
        <w:jc w:val="both"/>
      </w:pPr>
      <w:r>
        <w:rPr>
          <w:color w:val="000000"/>
          <w:spacing w:val="0"/>
          <w:w w:val="100"/>
          <w:position w:val="0"/>
        </w:rPr>
        <w:t>对于由《企业会计准则第</w:t>
      </w:r>
      <w:r>
        <w:rPr>
          <w:rFonts w:ascii="Times New Roman" w:eastAsia="Times New Roman" w:hAnsi="Times New Roman" w:cs="Times New Roman"/>
          <w:color w:val="000000"/>
          <w:spacing w:val="0"/>
          <w:w w:val="100"/>
          <w:position w:val="0"/>
          <w:sz w:val="18"/>
          <w:szCs w:val="18"/>
        </w:rPr>
        <w:t>14</w:t>
      </w:r>
      <w:r>
        <w:rPr>
          <w:color w:val="000000"/>
          <w:spacing w:val="0"/>
          <w:w w:val="100"/>
          <w:position w:val="0"/>
        </w:rPr>
        <w:t>号——收入》</w:t>
      </w:r>
      <w:r>
        <w:rPr>
          <w:rFonts w:ascii="Times New Roman" w:eastAsia="Times New Roman" w:hAnsi="Times New Roman" w:cs="Times New Roman"/>
          <w:color w:val="000000"/>
          <w:spacing w:val="0"/>
          <w:w w:val="100"/>
          <w:position w:val="0"/>
          <w:sz w:val="18"/>
          <w:szCs w:val="18"/>
        </w:rPr>
        <w:t>(2017)</w:t>
      </w:r>
      <w:r>
        <w:rPr>
          <w:color w:val="000000"/>
          <w:spacing w:val="0"/>
          <w:w w:val="100"/>
          <w:position w:val="0"/>
        </w:rPr>
        <w:t>规范的交易形成的应收款项和合同资产，无论是否包含重大融资成分， 本公司始终按照相当于整个存续期内预期信用损失的金额计量其损失准备。</w:t>
      </w:r>
    </w:p>
    <w:p>
      <w:pPr>
        <w:pStyle w:val="Style41"/>
        <w:keepNext w:val="0"/>
        <w:keepLines w:val="0"/>
        <w:widowControl w:val="0"/>
        <w:shd w:val="clear" w:color="auto" w:fill="auto"/>
        <w:bidi w:val="0"/>
        <w:spacing w:before="0" w:after="0" w:line="473" w:lineRule="exact"/>
        <w:ind w:left="0" w:right="0"/>
        <w:jc w:val="both"/>
      </w:pPr>
      <w:r>
        <w:rPr>
          <w:color w:val="000000"/>
          <w:spacing w:val="0"/>
          <w:w w:val="100"/>
          <w:position w:val="0"/>
        </w:rPr>
        <w:t>对于租赁应收款，本公司选择始终按照相当于整个存续期内预期信用损失的金额计量其损失准备。</w:t>
      </w:r>
    </w:p>
    <w:p>
      <w:pPr>
        <w:pStyle w:val="Style41"/>
        <w:keepNext w:val="0"/>
        <w:keepLines w:val="0"/>
        <w:widowControl w:val="0"/>
        <w:shd w:val="clear" w:color="auto" w:fill="auto"/>
        <w:bidi w:val="0"/>
        <w:spacing w:before="0" w:after="780" w:line="473" w:lineRule="exact"/>
        <w:ind w:left="0" w:right="0"/>
        <w:jc w:val="both"/>
      </w:pPr>
      <w:r>
        <w:rPr>
          <w:color w:val="000000"/>
          <w:spacing w:val="0"/>
          <w:w w:val="100"/>
          <w:position w:val="0"/>
        </w:rPr>
        <w:t>本公司不再合理预期金融资产合同现金流量能够全部或部分收回的，直接减记该金融资产的账面余额。</w:t>
      </w:r>
    </w:p>
    <w:p>
      <w:pPr>
        <w:pStyle w:val="Style47"/>
        <w:keepNext/>
        <w:keepLines/>
        <w:widowControl w:val="0"/>
        <w:shd w:val="clear" w:color="auto" w:fill="auto"/>
        <w:tabs>
          <w:tab w:pos="474" w:val="left"/>
        </w:tabs>
        <w:bidi w:val="0"/>
        <w:spacing w:before="0" w:after="220" w:line="240" w:lineRule="auto"/>
        <w:ind w:left="0" w:right="0" w:firstLine="0"/>
        <w:jc w:val="left"/>
      </w:pPr>
      <w:bookmarkStart w:id="929" w:name="bookmark929"/>
      <w:bookmarkStart w:id="930" w:name="bookmark930"/>
      <w:bookmarkStart w:id="931" w:name="bookmark931"/>
      <w:bookmarkStart w:id="932" w:name="bookmark932"/>
      <w:r>
        <w:rPr>
          <w:color w:val="000000"/>
          <w:spacing w:val="0"/>
          <w:w w:val="100"/>
          <w:position w:val="0"/>
        </w:rPr>
        <w:t>1</w:t>
      </w:r>
      <w:bookmarkEnd w:id="931"/>
      <w:r>
        <w:rPr>
          <w:color w:val="000000"/>
          <w:spacing w:val="0"/>
          <w:w w:val="100"/>
          <w:position w:val="0"/>
        </w:rPr>
        <w:t>1、</w:t>
        <w:tab/>
        <w:t>应收票据</w:t>
      </w:r>
      <w:bookmarkEnd w:id="929"/>
      <w:bookmarkEnd w:id="930"/>
      <w:bookmarkEnd w:id="932"/>
    </w:p>
    <w:p>
      <w:pPr>
        <w:pStyle w:val="Style41"/>
        <w:keepNext w:val="0"/>
        <w:keepLines w:val="0"/>
        <w:widowControl w:val="0"/>
        <w:shd w:val="clear" w:color="auto" w:fill="auto"/>
        <w:bidi w:val="0"/>
        <w:spacing w:before="0" w:after="440" w:line="473" w:lineRule="exact"/>
        <w:ind w:left="0" w:right="0"/>
        <w:jc w:val="both"/>
      </w:pPr>
      <w:r>
        <w:rPr>
          <w:color w:val="000000"/>
          <w:spacing w:val="0"/>
          <w:w w:val="100"/>
          <w:position w:val="0"/>
        </w:rPr>
        <w:t>详见本附注</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五、</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金融工具</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p>
      <w:pPr>
        <w:pStyle w:val="Style47"/>
        <w:keepNext/>
        <w:keepLines/>
        <w:widowControl w:val="0"/>
        <w:shd w:val="clear" w:color="auto" w:fill="auto"/>
        <w:tabs>
          <w:tab w:pos="474" w:val="left"/>
        </w:tabs>
        <w:bidi w:val="0"/>
        <w:spacing w:before="0" w:after="220" w:line="240" w:lineRule="auto"/>
        <w:ind w:left="0" w:right="0" w:firstLine="0"/>
        <w:jc w:val="left"/>
      </w:pPr>
      <w:bookmarkStart w:id="933" w:name="bookmark933"/>
      <w:bookmarkStart w:id="934" w:name="bookmark934"/>
      <w:bookmarkStart w:id="935" w:name="bookmark935"/>
      <w:bookmarkStart w:id="936" w:name="bookmark936"/>
      <w:r>
        <w:rPr>
          <w:color w:val="000000"/>
          <w:spacing w:val="0"/>
          <w:w w:val="100"/>
          <w:position w:val="0"/>
        </w:rPr>
        <w:t>1</w:t>
      </w:r>
      <w:bookmarkEnd w:id="935"/>
      <w:r>
        <w:rPr>
          <w:color w:val="000000"/>
          <w:spacing w:val="0"/>
          <w:w w:val="100"/>
          <w:position w:val="0"/>
        </w:rPr>
        <w:t>2、</w:t>
        <w:tab/>
        <w:t>应收账款</w:t>
      </w:r>
      <w:bookmarkEnd w:id="933"/>
      <w:bookmarkEnd w:id="934"/>
      <w:bookmarkEnd w:id="936"/>
    </w:p>
    <w:p>
      <w:pPr>
        <w:pStyle w:val="Style41"/>
        <w:keepNext w:val="0"/>
        <w:keepLines w:val="0"/>
        <w:widowControl w:val="0"/>
        <w:shd w:val="clear" w:color="auto" w:fill="auto"/>
        <w:bidi w:val="0"/>
        <w:spacing w:before="0" w:after="320" w:line="473" w:lineRule="exact"/>
        <w:ind w:left="0" w:right="0"/>
        <w:jc w:val="both"/>
      </w:pPr>
      <w:r>
        <w:rPr>
          <w:color w:val="000000"/>
          <w:spacing w:val="0"/>
          <w:w w:val="100"/>
          <w:position w:val="0"/>
        </w:rPr>
        <w:t>详见本附注</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五、</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金融工具</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p>
      <w:pPr>
        <w:pStyle w:val="Style47"/>
        <w:keepNext/>
        <w:keepLines/>
        <w:widowControl w:val="0"/>
        <w:shd w:val="clear" w:color="auto" w:fill="auto"/>
        <w:tabs>
          <w:tab w:pos="474" w:val="left"/>
        </w:tabs>
        <w:bidi w:val="0"/>
        <w:spacing w:before="0" w:after="240" w:line="240" w:lineRule="auto"/>
        <w:ind w:left="0" w:right="0" w:firstLine="0"/>
        <w:jc w:val="left"/>
      </w:pPr>
      <w:bookmarkStart w:id="937" w:name="bookmark937"/>
      <w:bookmarkStart w:id="938" w:name="bookmark938"/>
      <w:bookmarkStart w:id="939" w:name="bookmark939"/>
      <w:bookmarkStart w:id="940" w:name="bookmark940"/>
      <w:r>
        <w:rPr>
          <w:color w:val="000000"/>
          <w:spacing w:val="0"/>
          <w:w w:val="100"/>
          <w:position w:val="0"/>
        </w:rPr>
        <w:t>1</w:t>
      </w:r>
      <w:bookmarkEnd w:id="939"/>
      <w:r>
        <w:rPr>
          <w:color w:val="000000"/>
          <w:spacing w:val="0"/>
          <w:w w:val="100"/>
          <w:position w:val="0"/>
        </w:rPr>
        <w:t>3、</w:t>
        <w:tab/>
        <w:t>应收款项融资</w:t>
      </w:r>
      <w:bookmarkEnd w:id="937"/>
      <w:bookmarkEnd w:id="938"/>
      <w:bookmarkEnd w:id="940"/>
    </w:p>
    <w:p>
      <w:pPr>
        <w:pStyle w:val="Style41"/>
        <w:keepNext w:val="0"/>
        <w:keepLines w:val="0"/>
        <w:widowControl w:val="0"/>
        <w:shd w:val="clear" w:color="auto" w:fill="auto"/>
        <w:bidi w:val="0"/>
        <w:spacing w:before="0" w:after="420" w:line="469" w:lineRule="exact"/>
        <w:ind w:left="0" w:right="0"/>
        <w:jc w:val="both"/>
      </w:pPr>
      <w:r>
        <w:rPr>
          <w:color w:val="000000"/>
          <w:spacing w:val="0"/>
          <w:w w:val="100"/>
          <w:position w:val="0"/>
        </w:rPr>
        <w:t>详见本附注</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五、</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金融工具</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p>
      <w:pPr>
        <w:pStyle w:val="Style47"/>
        <w:keepNext/>
        <w:keepLines/>
        <w:widowControl w:val="0"/>
        <w:shd w:val="clear" w:color="auto" w:fill="auto"/>
        <w:tabs>
          <w:tab w:pos="474" w:val="left"/>
        </w:tabs>
        <w:bidi w:val="0"/>
        <w:spacing w:before="0" w:after="420" w:line="240" w:lineRule="auto"/>
        <w:ind w:left="0" w:right="0" w:firstLine="0"/>
        <w:jc w:val="left"/>
      </w:pPr>
      <w:bookmarkStart w:id="941" w:name="bookmark941"/>
      <w:bookmarkStart w:id="942" w:name="bookmark942"/>
      <w:bookmarkStart w:id="943" w:name="bookmark943"/>
      <w:bookmarkStart w:id="944" w:name="bookmark944"/>
      <w:r>
        <w:rPr>
          <w:color w:val="000000"/>
          <w:spacing w:val="0"/>
          <w:w w:val="100"/>
          <w:position w:val="0"/>
        </w:rPr>
        <w:t>1</w:t>
      </w:r>
      <w:bookmarkEnd w:id="943"/>
      <w:r>
        <w:rPr>
          <w:color w:val="000000"/>
          <w:spacing w:val="0"/>
          <w:w w:val="100"/>
          <w:position w:val="0"/>
        </w:rPr>
        <w:t>4、</w:t>
        <w:tab/>
        <w:t>其他应收款</w:t>
      </w:r>
      <w:bookmarkEnd w:id="941"/>
      <w:bookmarkEnd w:id="942"/>
      <w:bookmarkEnd w:id="944"/>
    </w:p>
    <w:p>
      <w:pPr>
        <w:pStyle w:val="Style41"/>
        <w:keepNext w:val="0"/>
        <w:keepLines w:val="0"/>
        <w:widowControl w:val="0"/>
        <w:shd w:val="clear" w:color="auto" w:fill="auto"/>
        <w:bidi w:val="0"/>
        <w:spacing w:before="0" w:after="240" w:line="240" w:lineRule="auto"/>
        <w:ind w:left="0" w:right="0"/>
        <w:jc w:val="both"/>
      </w:pPr>
      <w:r>
        <w:rPr>
          <w:color w:val="000000"/>
          <w:spacing w:val="0"/>
          <w:w w:val="100"/>
          <w:position w:val="0"/>
        </w:rPr>
        <w:t>其他应收款的预期信用损失的确定方法及会计处理方法</w:t>
      </w:r>
    </w:p>
    <w:p>
      <w:pPr>
        <w:pStyle w:val="Style41"/>
        <w:keepNext w:val="0"/>
        <w:keepLines w:val="0"/>
        <w:widowControl w:val="0"/>
        <w:shd w:val="clear" w:color="auto" w:fill="auto"/>
        <w:bidi w:val="0"/>
        <w:spacing w:before="0" w:after="420" w:line="240" w:lineRule="auto"/>
        <w:ind w:left="0" w:right="0"/>
        <w:jc w:val="both"/>
      </w:pPr>
      <w:r>
        <w:rPr>
          <w:color w:val="000000"/>
          <w:spacing w:val="0"/>
          <w:w w:val="100"/>
          <w:position w:val="0"/>
        </w:rPr>
        <w:t>详见本附注</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五、</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金融工具</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p>
      <w:pPr>
        <w:pStyle w:val="Style47"/>
        <w:keepNext/>
        <w:keepLines/>
        <w:widowControl w:val="0"/>
        <w:shd w:val="clear" w:color="auto" w:fill="auto"/>
        <w:tabs>
          <w:tab w:pos="474" w:val="left"/>
        </w:tabs>
        <w:bidi w:val="0"/>
        <w:spacing w:before="0" w:after="420" w:line="240" w:lineRule="auto"/>
        <w:ind w:left="0" w:right="0" w:firstLine="0"/>
        <w:jc w:val="left"/>
      </w:pPr>
      <w:bookmarkStart w:id="945" w:name="bookmark945"/>
      <w:bookmarkStart w:id="946" w:name="bookmark946"/>
      <w:bookmarkStart w:id="947" w:name="bookmark947"/>
      <w:bookmarkStart w:id="948" w:name="bookmark948"/>
      <w:r>
        <w:rPr>
          <w:color w:val="000000"/>
          <w:spacing w:val="0"/>
          <w:w w:val="100"/>
          <w:position w:val="0"/>
        </w:rPr>
        <w:t>1</w:t>
      </w:r>
      <w:bookmarkEnd w:id="947"/>
      <w:r>
        <w:rPr>
          <w:color w:val="000000"/>
          <w:spacing w:val="0"/>
          <w:w w:val="100"/>
          <w:position w:val="0"/>
        </w:rPr>
        <w:t>5、</w:t>
        <w:tab/>
        <w:t>存货</w:t>
      </w:r>
      <w:bookmarkEnd w:id="945"/>
      <w:bookmarkEnd w:id="946"/>
      <w:bookmarkEnd w:id="948"/>
    </w:p>
    <w:p>
      <w:pPr>
        <w:pStyle w:val="Style41"/>
        <w:keepNext w:val="0"/>
        <w:keepLines w:val="0"/>
        <w:widowControl w:val="0"/>
        <w:shd w:val="clear" w:color="auto" w:fill="auto"/>
        <w:tabs>
          <w:tab w:pos="450" w:val="left"/>
        </w:tabs>
        <w:bidi w:val="0"/>
        <w:spacing w:before="0" w:after="200" w:line="240" w:lineRule="auto"/>
        <w:ind w:left="0" w:right="0" w:firstLine="0"/>
        <w:jc w:val="left"/>
      </w:pPr>
      <w:bookmarkStart w:id="949" w:name="bookmark949"/>
      <w:r>
        <w:rPr>
          <w:b/>
          <w:bCs/>
          <w:color w:val="000000"/>
          <w:spacing w:val="0"/>
          <w:w w:val="100"/>
          <w:position w:val="0"/>
        </w:rPr>
        <w:t>（</w:t>
      </w:r>
      <w:bookmarkEnd w:id="949"/>
      <w:r>
        <w:rPr>
          <w:rFonts w:ascii="Times New Roman" w:eastAsia="Times New Roman" w:hAnsi="Times New Roman" w:cs="Times New Roman"/>
          <w:b/>
          <w:bCs/>
          <w:color w:val="000000"/>
          <w:spacing w:val="0"/>
          <w:w w:val="100"/>
          <w:position w:val="0"/>
          <w:sz w:val="18"/>
          <w:szCs w:val="18"/>
        </w:rPr>
        <w:t>1</w:t>
      </w:r>
      <w:r>
        <w:rPr>
          <w:b/>
          <w:bCs/>
          <w:color w:val="000000"/>
          <w:spacing w:val="0"/>
          <w:w w:val="100"/>
          <w:position w:val="0"/>
        </w:rPr>
        <w:t>）</w:t>
        <w:tab/>
        <w:t>存货的分类和成本</w:t>
      </w:r>
    </w:p>
    <w:p>
      <w:pPr>
        <w:pStyle w:val="Style41"/>
        <w:keepNext w:val="0"/>
        <w:keepLines w:val="0"/>
        <w:widowControl w:val="0"/>
        <w:shd w:val="clear" w:color="auto" w:fill="auto"/>
        <w:bidi w:val="0"/>
        <w:spacing w:before="0" w:after="200" w:line="240" w:lineRule="auto"/>
        <w:ind w:left="0" w:right="0"/>
        <w:jc w:val="left"/>
      </w:pPr>
      <w:r>
        <w:rPr>
          <w:color w:val="000000"/>
          <w:spacing w:val="0"/>
          <w:w w:val="100"/>
          <w:position w:val="0"/>
        </w:rPr>
        <w:t>存货分类为：原材料、库存商品、外购软硬件及服务、委托加工物资、低值易耗品等。</w:t>
      </w:r>
    </w:p>
    <w:p>
      <w:pPr>
        <w:pStyle w:val="Style41"/>
        <w:keepNext w:val="0"/>
        <w:keepLines w:val="0"/>
        <w:widowControl w:val="0"/>
        <w:shd w:val="clear" w:color="auto" w:fill="auto"/>
        <w:tabs>
          <w:tab w:pos="450" w:val="left"/>
        </w:tabs>
        <w:bidi w:val="0"/>
        <w:spacing w:before="0" w:after="200" w:line="240" w:lineRule="auto"/>
        <w:ind w:left="0" w:right="0" w:firstLine="0"/>
        <w:jc w:val="left"/>
      </w:pPr>
      <w:bookmarkStart w:id="950" w:name="bookmark950"/>
      <w:r>
        <w:rPr>
          <w:b/>
          <w:bCs/>
          <w:color w:val="000000"/>
          <w:spacing w:val="0"/>
          <w:w w:val="100"/>
          <w:position w:val="0"/>
        </w:rPr>
        <w:t>（</w:t>
      </w:r>
      <w:bookmarkEnd w:id="950"/>
      <w:r>
        <w:rPr>
          <w:rFonts w:ascii="Times New Roman" w:eastAsia="Times New Roman" w:hAnsi="Times New Roman" w:cs="Times New Roman"/>
          <w:b/>
          <w:bCs/>
          <w:color w:val="000000"/>
          <w:spacing w:val="0"/>
          <w:w w:val="100"/>
          <w:position w:val="0"/>
          <w:sz w:val="18"/>
          <w:szCs w:val="18"/>
        </w:rPr>
        <w:t>2</w:t>
      </w:r>
      <w:r>
        <w:rPr>
          <w:b/>
          <w:bCs/>
          <w:color w:val="000000"/>
          <w:spacing w:val="0"/>
          <w:w w:val="100"/>
          <w:position w:val="0"/>
        </w:rPr>
        <w:t>）</w:t>
        <w:tab/>
        <w:t>发出存货的计价方法</w:t>
      </w:r>
    </w:p>
    <w:p>
      <w:pPr>
        <w:pStyle w:val="Style41"/>
        <w:keepNext w:val="0"/>
        <w:keepLines w:val="0"/>
        <w:widowControl w:val="0"/>
        <w:shd w:val="clear" w:color="auto" w:fill="auto"/>
        <w:bidi w:val="0"/>
        <w:spacing w:before="0" w:after="0" w:line="240" w:lineRule="auto"/>
        <w:ind w:left="0" w:right="0"/>
        <w:jc w:val="left"/>
      </w:pPr>
      <w:r>
        <w:rPr>
          <w:color w:val="000000"/>
          <w:spacing w:val="0"/>
          <w:w w:val="100"/>
          <w:position w:val="0"/>
        </w:rPr>
        <w:t>日常核算存货取得时按实际成本计价。</w:t>
      </w:r>
    </w:p>
    <w:p>
      <w:pPr>
        <w:pStyle w:val="Style41"/>
        <w:keepNext w:val="0"/>
        <w:keepLines w:val="0"/>
        <w:widowControl w:val="0"/>
        <w:shd w:val="clear" w:color="auto" w:fill="auto"/>
        <w:bidi w:val="0"/>
        <w:spacing w:before="0" w:after="0" w:line="469" w:lineRule="exact"/>
        <w:ind w:left="0" w:right="0"/>
        <w:jc w:val="left"/>
      </w:pPr>
      <w:r>
        <w:rPr>
          <w:color w:val="000000"/>
          <w:spacing w:val="0"/>
          <w:w w:val="100"/>
          <w:position w:val="0"/>
        </w:rPr>
        <w:t>发出时按以下方式确认：</w:t>
      </w:r>
    </w:p>
    <w:p>
      <w:pPr>
        <w:pStyle w:val="Style41"/>
        <w:keepNext w:val="0"/>
        <w:keepLines w:val="0"/>
        <w:widowControl w:val="0"/>
        <w:shd w:val="clear" w:color="auto" w:fill="auto"/>
        <w:tabs>
          <w:tab w:pos="729" w:val="left"/>
        </w:tabs>
        <w:bidi w:val="0"/>
        <w:spacing w:before="0" w:after="240" w:line="469" w:lineRule="exact"/>
        <w:ind w:left="0" w:right="0"/>
        <w:jc w:val="left"/>
      </w:pPr>
      <w:bookmarkStart w:id="951" w:name="bookmark951"/>
      <w:r>
        <w:rPr>
          <w:rFonts w:ascii="Times New Roman" w:eastAsia="Times New Roman" w:hAnsi="Times New Roman" w:cs="Times New Roman"/>
          <w:color w:val="000000"/>
          <w:spacing w:val="0"/>
          <w:w w:val="100"/>
          <w:position w:val="0"/>
          <w:sz w:val="18"/>
          <w:szCs w:val="18"/>
        </w:rPr>
        <w:t>1</w:t>
      </w:r>
      <w:bookmarkEnd w:id="951"/>
      <w:r>
        <w:rPr>
          <w:color w:val="000000"/>
          <w:spacing w:val="0"/>
          <w:w w:val="100"/>
          <w:position w:val="0"/>
        </w:rPr>
        <w:t>）</w:t>
        <w:tab/>
        <w:t>采购存货专门用于单项业务时，按个别计价法确认；</w:t>
      </w:r>
    </w:p>
    <w:p>
      <w:pPr>
        <w:pStyle w:val="Style41"/>
        <w:keepNext w:val="0"/>
        <w:keepLines w:val="0"/>
        <w:widowControl w:val="0"/>
        <w:shd w:val="clear" w:color="auto" w:fill="auto"/>
        <w:tabs>
          <w:tab w:pos="748" w:val="left"/>
        </w:tabs>
        <w:bidi w:val="0"/>
        <w:spacing w:before="0" w:after="200" w:line="240" w:lineRule="auto"/>
        <w:ind w:left="0" w:right="0"/>
        <w:jc w:val="left"/>
      </w:pPr>
      <w:bookmarkStart w:id="952" w:name="bookmark952"/>
      <w:r>
        <w:rPr>
          <w:rFonts w:ascii="Times New Roman" w:eastAsia="Times New Roman" w:hAnsi="Times New Roman" w:cs="Times New Roman"/>
          <w:color w:val="000000"/>
          <w:spacing w:val="0"/>
          <w:w w:val="100"/>
          <w:position w:val="0"/>
          <w:sz w:val="18"/>
          <w:szCs w:val="18"/>
        </w:rPr>
        <w:t>2</w:t>
      </w:r>
      <w:bookmarkEnd w:id="952"/>
      <w:r>
        <w:rPr>
          <w:color w:val="000000"/>
          <w:spacing w:val="0"/>
          <w:w w:val="100"/>
          <w:position w:val="0"/>
        </w:rPr>
        <w:t>）</w:t>
        <w:tab/>
        <w:t>非为单项业务单独采购的存货，按加权平均价格计价确认。</w:t>
      </w:r>
    </w:p>
    <w:p>
      <w:pPr>
        <w:pStyle w:val="Style41"/>
        <w:keepNext w:val="0"/>
        <w:keepLines w:val="0"/>
        <w:widowControl w:val="0"/>
        <w:shd w:val="clear" w:color="auto" w:fill="auto"/>
        <w:tabs>
          <w:tab w:pos="450" w:val="left"/>
        </w:tabs>
        <w:bidi w:val="0"/>
        <w:spacing w:before="0" w:after="0" w:line="240" w:lineRule="auto"/>
        <w:ind w:left="0" w:right="0" w:firstLine="0"/>
        <w:jc w:val="left"/>
      </w:pPr>
      <w:bookmarkStart w:id="953" w:name="bookmark953"/>
      <w:r>
        <w:rPr>
          <w:b/>
          <w:bCs/>
          <w:color w:val="000000"/>
          <w:spacing w:val="0"/>
          <w:w w:val="100"/>
          <w:position w:val="0"/>
        </w:rPr>
        <w:t>（</w:t>
      </w:r>
      <w:bookmarkEnd w:id="953"/>
      <w:r>
        <w:rPr>
          <w:rFonts w:ascii="Times New Roman" w:eastAsia="Times New Roman" w:hAnsi="Times New Roman" w:cs="Times New Roman"/>
          <w:b/>
          <w:bCs/>
          <w:color w:val="000000"/>
          <w:spacing w:val="0"/>
          <w:w w:val="100"/>
          <w:position w:val="0"/>
          <w:sz w:val="18"/>
          <w:szCs w:val="18"/>
        </w:rPr>
        <w:t>3</w:t>
      </w:r>
      <w:r>
        <w:rPr>
          <w:b/>
          <w:bCs/>
          <w:color w:val="000000"/>
          <w:spacing w:val="0"/>
          <w:w w:val="100"/>
          <w:position w:val="0"/>
        </w:rPr>
        <w:t>）</w:t>
        <w:tab/>
        <w:t>不同类别存货可变现净值的确定依据</w:t>
      </w:r>
    </w:p>
    <w:p>
      <w:pPr>
        <w:pStyle w:val="Style41"/>
        <w:keepNext w:val="0"/>
        <w:keepLines w:val="0"/>
        <w:widowControl w:val="0"/>
        <w:shd w:val="clear" w:color="auto" w:fill="auto"/>
        <w:bidi w:val="0"/>
        <w:spacing w:before="0" w:after="0" w:line="469" w:lineRule="exact"/>
        <w:ind w:left="0" w:right="0"/>
        <w:jc w:val="left"/>
      </w:pPr>
      <w:r>
        <w:rPr>
          <w:color w:val="000000"/>
          <w:spacing w:val="0"/>
          <w:w w:val="100"/>
          <w:position w:val="0"/>
        </w:rPr>
        <w:t>资产负债表日，存货应当按照成本与可变现净值孰低计量。当存货成本高于其可变现净值的，应当计提存货跌价准备。 可变现净值，是指在日常活动中，存货的估计售价减去至完工时估计将要发生的成本、估计的销售费用以及相关税费后的金 额。</w:t>
      </w:r>
    </w:p>
    <w:p>
      <w:pPr>
        <w:pStyle w:val="Style41"/>
        <w:keepNext w:val="0"/>
        <w:keepLines w:val="0"/>
        <w:widowControl w:val="0"/>
        <w:shd w:val="clear" w:color="auto" w:fill="auto"/>
        <w:bidi w:val="0"/>
        <w:spacing w:before="0" w:after="0" w:line="469" w:lineRule="exact"/>
        <w:ind w:left="0" w:right="0"/>
        <w:jc w:val="left"/>
      </w:pPr>
      <w:r>
        <w:rPr>
          <w:color w:val="000000"/>
          <w:spacing w:val="0"/>
          <w:w w:val="100"/>
          <w:position w:val="0"/>
        </w:rPr>
        <w:t>产成品、库存商品和用于出售的材料等直接用于出售的商品存货，在正常生产经营过程中，以该存货的估计售价减去估 计的销售费用和相关税费后的金额，确定其可变现净值；需要经过加工的材料存货，在正常生产经营过程中，以所生产的产 成品的估计售价减去至完工时估计将要发生的成本、估计的销售费用和相关税费后的金额，确定其可变现净值；为执行销售 合同或者劳务合同而持有的存货，其可变现净值以合同价格为基础计算，若持有存货的数量多于销售合同订购数量的，超出 部分的存货的可变现净值以一般销售价格为基础计算。</w:t>
      </w:r>
    </w:p>
    <w:p>
      <w:pPr>
        <w:pStyle w:val="Style41"/>
        <w:keepNext w:val="0"/>
        <w:keepLines w:val="0"/>
        <w:widowControl w:val="0"/>
        <w:shd w:val="clear" w:color="auto" w:fill="auto"/>
        <w:bidi w:val="0"/>
        <w:spacing w:before="0" w:after="200" w:line="469" w:lineRule="exact"/>
        <w:ind w:left="0" w:right="0"/>
        <w:jc w:val="left"/>
      </w:pPr>
      <w:r>
        <w:rPr>
          <w:color w:val="000000"/>
          <w:spacing w:val="0"/>
          <w:w w:val="100"/>
          <w:position w:val="0"/>
        </w:rPr>
        <w:t>计提存货跌价准备后，如果以前减记存货价值的影响因素已经消失，导致存货的可变现净值高于其账面价值的，在原已 计提的存货跌价准备金额内予以转回，转回的金额计入当期损益。</w:t>
      </w:r>
    </w:p>
    <w:p>
      <w:pPr>
        <w:pStyle w:val="Style41"/>
        <w:keepNext w:val="0"/>
        <w:keepLines w:val="0"/>
        <w:widowControl w:val="0"/>
        <w:shd w:val="clear" w:color="auto" w:fill="auto"/>
        <w:tabs>
          <w:tab w:pos="450" w:val="left"/>
        </w:tabs>
        <w:bidi w:val="0"/>
        <w:spacing w:before="0" w:after="200" w:line="240" w:lineRule="auto"/>
        <w:ind w:left="0" w:right="0" w:firstLine="0"/>
        <w:jc w:val="left"/>
      </w:pPr>
      <w:bookmarkStart w:id="954" w:name="bookmark954"/>
      <w:r>
        <w:rPr>
          <w:b/>
          <w:bCs/>
          <w:color w:val="000000"/>
          <w:spacing w:val="0"/>
          <w:w w:val="100"/>
          <w:position w:val="0"/>
        </w:rPr>
        <w:t>（</w:t>
      </w:r>
      <w:bookmarkEnd w:id="954"/>
      <w:r>
        <w:rPr>
          <w:rFonts w:ascii="Times New Roman" w:eastAsia="Times New Roman" w:hAnsi="Times New Roman" w:cs="Times New Roman"/>
          <w:b/>
          <w:bCs/>
          <w:color w:val="000000"/>
          <w:spacing w:val="0"/>
          <w:w w:val="100"/>
          <w:position w:val="0"/>
          <w:sz w:val="18"/>
          <w:szCs w:val="18"/>
        </w:rPr>
        <w:t>4</w:t>
      </w:r>
      <w:r>
        <w:rPr>
          <w:b/>
          <w:bCs/>
          <w:color w:val="000000"/>
          <w:spacing w:val="0"/>
          <w:w w:val="100"/>
          <w:position w:val="0"/>
        </w:rPr>
        <w:t>）</w:t>
        <w:tab/>
        <w:t>存货的盘存制度</w:t>
      </w:r>
    </w:p>
    <w:p>
      <w:pPr>
        <w:pStyle w:val="Style41"/>
        <w:keepNext w:val="0"/>
        <w:keepLines w:val="0"/>
        <w:widowControl w:val="0"/>
        <w:shd w:val="clear" w:color="auto" w:fill="auto"/>
        <w:bidi w:val="0"/>
        <w:spacing w:before="0" w:after="200" w:line="240" w:lineRule="auto"/>
        <w:ind w:left="0" w:right="0"/>
        <w:jc w:val="left"/>
      </w:pPr>
      <w:r>
        <w:rPr>
          <w:color w:val="000000"/>
          <w:spacing w:val="0"/>
          <w:w w:val="100"/>
          <w:position w:val="0"/>
        </w:rPr>
        <w:t>采用永续盘存制。</w:t>
      </w:r>
    </w:p>
    <w:p>
      <w:pPr>
        <w:pStyle w:val="Style41"/>
        <w:keepNext w:val="0"/>
        <w:keepLines w:val="0"/>
        <w:widowControl w:val="0"/>
        <w:shd w:val="clear" w:color="auto" w:fill="auto"/>
        <w:tabs>
          <w:tab w:pos="450" w:val="left"/>
        </w:tabs>
        <w:bidi w:val="0"/>
        <w:spacing w:before="0" w:after="200" w:line="240" w:lineRule="auto"/>
        <w:ind w:left="0" w:right="0" w:firstLine="0"/>
        <w:jc w:val="left"/>
      </w:pPr>
      <w:bookmarkStart w:id="955" w:name="bookmark955"/>
      <w:r>
        <w:rPr>
          <w:b/>
          <w:bCs/>
          <w:color w:val="000000"/>
          <w:spacing w:val="0"/>
          <w:w w:val="100"/>
          <w:position w:val="0"/>
        </w:rPr>
        <w:t>（</w:t>
      </w:r>
      <w:bookmarkEnd w:id="955"/>
      <w:r>
        <w:rPr>
          <w:rFonts w:ascii="Times New Roman" w:eastAsia="Times New Roman" w:hAnsi="Times New Roman" w:cs="Times New Roman"/>
          <w:b/>
          <w:bCs/>
          <w:color w:val="000000"/>
          <w:spacing w:val="0"/>
          <w:w w:val="100"/>
          <w:position w:val="0"/>
          <w:sz w:val="18"/>
          <w:szCs w:val="18"/>
        </w:rPr>
        <w:t>5</w:t>
      </w:r>
      <w:r>
        <w:rPr>
          <w:b/>
          <w:bCs/>
          <w:color w:val="000000"/>
          <w:spacing w:val="0"/>
          <w:w w:val="100"/>
          <w:position w:val="0"/>
        </w:rPr>
        <w:t>）</w:t>
        <w:tab/>
        <w:t>低值易耗品和包装物的摊销方法</w:t>
      </w:r>
    </w:p>
    <w:p>
      <w:pPr>
        <w:pStyle w:val="Style41"/>
        <w:keepNext w:val="0"/>
        <w:keepLines w:val="0"/>
        <w:widowControl w:val="0"/>
        <w:shd w:val="clear" w:color="auto" w:fill="auto"/>
        <w:tabs>
          <w:tab w:pos="729" w:val="left"/>
        </w:tabs>
        <w:bidi w:val="0"/>
        <w:spacing w:before="0" w:after="0" w:line="240" w:lineRule="auto"/>
        <w:ind w:left="0" w:right="0"/>
        <w:jc w:val="left"/>
      </w:pPr>
      <w:bookmarkStart w:id="956" w:name="bookmark956"/>
      <w:r>
        <w:rPr>
          <w:rFonts w:ascii="Times New Roman" w:eastAsia="Times New Roman" w:hAnsi="Times New Roman" w:cs="Times New Roman"/>
          <w:color w:val="000000"/>
          <w:spacing w:val="0"/>
          <w:w w:val="100"/>
          <w:position w:val="0"/>
          <w:sz w:val="18"/>
          <w:szCs w:val="18"/>
        </w:rPr>
        <w:t>1</w:t>
      </w:r>
      <w:bookmarkEnd w:id="956"/>
      <w:r>
        <w:rPr>
          <w:color w:val="000000"/>
          <w:spacing w:val="0"/>
          <w:w w:val="100"/>
          <w:position w:val="0"/>
        </w:rPr>
        <w:t>）</w:t>
        <w:tab/>
        <w:t>低值易耗品采用一次转销法；</w:t>
      </w:r>
    </w:p>
    <w:p>
      <w:pPr>
        <w:pStyle w:val="Style41"/>
        <w:keepNext w:val="0"/>
        <w:keepLines w:val="0"/>
        <w:widowControl w:val="0"/>
        <w:shd w:val="clear" w:color="auto" w:fill="auto"/>
        <w:tabs>
          <w:tab w:pos="748" w:val="left"/>
        </w:tabs>
        <w:bidi w:val="0"/>
        <w:spacing w:before="0" w:after="200" w:line="469" w:lineRule="exact"/>
        <w:ind w:left="0" w:right="0"/>
        <w:jc w:val="left"/>
        <w:sectPr>
          <w:headerReference w:type="default" r:id="rId305"/>
          <w:footerReference w:type="default" r:id="rId306"/>
          <w:headerReference w:type="even" r:id="rId307"/>
          <w:footerReference w:type="even" r:id="rId308"/>
          <w:footnotePr>
            <w:pos w:val="pageBottom"/>
            <w:numFmt w:val="decimal"/>
            <w:numRestart w:val="continuous"/>
          </w:footnotePr>
          <w:pgSz w:w="11904" w:h="17375"/>
          <w:pgMar w:top="1766" w:right="1025" w:bottom="1771" w:left="1101" w:header="0" w:footer="3" w:gutter="0"/>
          <w:cols w:space="720"/>
          <w:noEndnote/>
          <w:rtlGutter w:val="0"/>
          <w:docGrid w:linePitch="360"/>
        </w:sectPr>
      </w:pPr>
      <w:bookmarkStart w:id="957" w:name="bookmark957"/>
      <w:r>
        <w:rPr>
          <w:rFonts w:ascii="Times New Roman" w:eastAsia="Times New Roman" w:hAnsi="Times New Roman" w:cs="Times New Roman"/>
          <w:color w:val="000000"/>
          <w:spacing w:val="0"/>
          <w:w w:val="100"/>
          <w:position w:val="0"/>
          <w:sz w:val="18"/>
          <w:szCs w:val="18"/>
        </w:rPr>
        <w:t>2</w:t>
      </w:r>
      <w:bookmarkEnd w:id="957"/>
      <w:r>
        <w:rPr>
          <w:color w:val="000000"/>
          <w:spacing w:val="0"/>
          <w:w w:val="100"/>
          <w:position w:val="0"/>
        </w:rPr>
        <w:t>）</w:t>
        <w:tab/>
        <w:t>包装物采用一次转销法。</w:t>
      </w:r>
    </w:p>
    <w:p>
      <w:pPr>
        <w:widowControl w:val="0"/>
        <w:spacing w:line="1" w:lineRule="exact"/>
      </w:pPr>
      <w:r>
        <mc:AlternateContent>
          <mc:Choice Requires="wps">
            <w:drawing>
              <wp:anchor distT="0" distB="405765" distL="0" distR="0" simplePos="0" relativeHeight="125829504" behindDoc="0" locked="0" layoutInCell="1" allowOverlap="1">
                <wp:simplePos x="0" y="0"/>
                <wp:positionH relativeFrom="page">
                  <wp:posOffset>699135</wp:posOffset>
                </wp:positionH>
                <wp:positionV relativeFrom="paragraph">
                  <wp:posOffset>0</wp:posOffset>
                </wp:positionV>
                <wp:extent cx="1057910" cy="338455"/>
                <wp:wrapTopAndBottom/>
                <wp:docPr id="810" name="Shape 810"/>
                <a:graphic xmlns:a="http://schemas.openxmlformats.org/drawingml/2006/main">
                  <a:graphicData uri="http://schemas.microsoft.com/office/word/2010/wordprocessingShape">
                    <wps:wsp>
                      <wps:cNvSpPr txBox="1"/>
                      <wps:spPr>
                        <a:xfrm>
                          <a:ext cx="1057910" cy="338455"/>
                        </a:xfrm>
                        <a:prstGeom prst="rect"/>
                        <a:noFill/>
                      </wps:spPr>
                      <wps:txbx>
                        <w:txbxContent>
                          <w:p>
                            <w:pPr>
                              <w:pStyle w:val="Style212"/>
                              <w:keepNext w:val="0"/>
                              <w:keepLines w:val="0"/>
                              <w:widowControl w:val="0"/>
                              <w:shd w:val="clear" w:color="auto" w:fill="auto"/>
                              <w:bidi w:val="0"/>
                              <w:spacing w:before="0" w:after="0" w:line="240" w:lineRule="auto"/>
                              <w:ind w:left="0" w:right="0" w:firstLine="0"/>
                              <w:jc w:val="left"/>
                            </w:pPr>
                            <w:r>
                              <w:rPr>
                                <w:spacing w:val="0"/>
                                <w:w w:val="100"/>
                                <w:position w:val="0"/>
                              </w:rPr>
                              <w:t>Ultrapouuer</w:t>
                            </w:r>
                          </w:p>
                          <w:p>
                            <w:pPr>
                              <w:pStyle w:val="Style41"/>
                              <w:keepNext w:val="0"/>
                              <w:keepLines w:val="0"/>
                              <w:widowControl w:val="0"/>
                              <w:shd w:val="clear" w:color="auto" w:fill="auto"/>
                              <w:bidi w:val="0"/>
                              <w:spacing w:before="0" w:after="0" w:line="240" w:lineRule="auto"/>
                              <w:ind w:left="0" w:right="0" w:firstLine="0"/>
                              <w:jc w:val="left"/>
                            </w:pPr>
                            <w:r>
                              <w:rPr>
                                <w:b/>
                                <w:bCs/>
                                <w:i/>
                                <w:iCs/>
                                <w:color w:val="6DB14A"/>
                                <w:spacing w:val="0"/>
                                <w:w w:val="100"/>
                                <w:position w:val="0"/>
                                <w:sz w:val="18"/>
                                <w:szCs w:val="18"/>
                              </w:rPr>
                              <w:t>、、</w:t>
                            </w:r>
                            <w:r>
                              <w:rPr>
                                <w:b/>
                                <w:bCs/>
                                <w:color w:val="6DB14A"/>
                                <w:spacing w:val="0"/>
                                <w:w w:val="100"/>
                                <w:position w:val="0"/>
                              </w:rPr>
                              <w:t>一^</w:t>
                            </w:r>
                            <w:r>
                              <w:rPr>
                                <w:b/>
                                <w:bCs/>
                                <w:color w:val="5199CB"/>
                                <w:spacing w:val="0"/>
                                <w:w w:val="100"/>
                                <w:position w:val="0"/>
                              </w:rPr>
                              <w:t>神州泰岳</w:t>
                            </w:r>
                          </w:p>
                        </w:txbxContent>
                      </wps:txbx>
                      <wps:bodyPr lIns="0" tIns="0" rIns="0" bIns="0">
                        <a:noAutoFit/>
                      </wps:bodyPr>
                    </wps:wsp>
                  </a:graphicData>
                </a:graphic>
              </wp:anchor>
            </w:drawing>
          </mc:Choice>
          <mc:Fallback>
            <w:pict>
              <v:shape id="_x0000_s1836" type="#_x0000_t202" style="position:absolute;margin-left:55.050000000000004pt;margin-top:0;width:83.299999999999997pt;height:26.650000000000002pt;z-index:-125829249;mso-wrap-distance-left:0;mso-wrap-distance-right:0;mso-wrap-distance-bottom:31.949999999999999pt;mso-position-horizontal-relative:page" filled="f" stroked="f">
                <v:textbox inset="0,0,0,0">
                  <w:txbxContent>
                    <w:p>
                      <w:pPr>
                        <w:pStyle w:val="Style212"/>
                        <w:keepNext w:val="0"/>
                        <w:keepLines w:val="0"/>
                        <w:widowControl w:val="0"/>
                        <w:shd w:val="clear" w:color="auto" w:fill="auto"/>
                        <w:bidi w:val="0"/>
                        <w:spacing w:before="0" w:after="0" w:line="240" w:lineRule="auto"/>
                        <w:ind w:left="0" w:right="0" w:firstLine="0"/>
                        <w:jc w:val="left"/>
                      </w:pPr>
                      <w:r>
                        <w:rPr>
                          <w:spacing w:val="0"/>
                          <w:w w:val="100"/>
                          <w:position w:val="0"/>
                        </w:rPr>
                        <w:t>Ultrapouuer</w:t>
                      </w:r>
                    </w:p>
                    <w:p>
                      <w:pPr>
                        <w:pStyle w:val="Style41"/>
                        <w:keepNext w:val="0"/>
                        <w:keepLines w:val="0"/>
                        <w:widowControl w:val="0"/>
                        <w:shd w:val="clear" w:color="auto" w:fill="auto"/>
                        <w:bidi w:val="0"/>
                        <w:spacing w:before="0" w:after="0" w:line="240" w:lineRule="auto"/>
                        <w:ind w:left="0" w:right="0" w:firstLine="0"/>
                        <w:jc w:val="left"/>
                      </w:pPr>
                      <w:r>
                        <w:rPr>
                          <w:b/>
                          <w:bCs/>
                          <w:i/>
                          <w:iCs/>
                          <w:color w:val="6DB14A"/>
                          <w:spacing w:val="0"/>
                          <w:w w:val="100"/>
                          <w:position w:val="0"/>
                          <w:sz w:val="18"/>
                          <w:szCs w:val="18"/>
                        </w:rPr>
                        <w:t>、、</w:t>
                      </w:r>
                      <w:r>
                        <w:rPr>
                          <w:b/>
                          <w:bCs/>
                          <w:color w:val="6DB14A"/>
                          <w:spacing w:val="0"/>
                          <w:w w:val="100"/>
                          <w:position w:val="0"/>
                        </w:rPr>
                        <w:t>一^</w:t>
                      </w:r>
                      <w:r>
                        <w:rPr>
                          <w:b/>
                          <w:bCs/>
                          <w:color w:val="5199CB"/>
                          <w:spacing w:val="0"/>
                          <w:w w:val="100"/>
                          <w:position w:val="0"/>
                        </w:rPr>
                        <w:t>神州泰岳</w:t>
                      </w:r>
                    </w:p>
                  </w:txbxContent>
                </v:textbox>
                <w10:wrap type="topAndBottom" anchorx="page"/>
              </v:shape>
            </w:pict>
          </mc:Fallback>
        </mc:AlternateContent>
      </w:r>
      <w:r>
        <mc:AlternateContent>
          <mc:Choice Requires="wps">
            <w:drawing>
              <wp:anchor distT="198120" distB="393700" distL="0" distR="0" simplePos="0" relativeHeight="125829506" behindDoc="0" locked="0" layoutInCell="1" allowOverlap="1">
                <wp:simplePos x="0" y="0"/>
                <wp:positionH relativeFrom="page">
                  <wp:posOffset>4121785</wp:posOffset>
                </wp:positionH>
                <wp:positionV relativeFrom="paragraph">
                  <wp:posOffset>198120</wp:posOffset>
                </wp:positionV>
                <wp:extent cx="2709545" cy="152400"/>
                <wp:wrapTopAndBottom/>
                <wp:docPr id="812" name="Shape 812"/>
                <a:graphic xmlns:a="http://schemas.openxmlformats.org/drawingml/2006/main">
                  <a:graphicData uri="http://schemas.microsoft.com/office/word/2010/wordprocessingShape">
                    <wps:wsp>
                      <wps:cNvSpPr txBox="1"/>
                      <wps:spPr>
                        <a:xfrm>
                          <a:ext cx="2709545" cy="15240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noAutoFit/>
                      </wps:bodyPr>
                    </wps:wsp>
                  </a:graphicData>
                </a:graphic>
              </wp:anchor>
            </w:drawing>
          </mc:Choice>
          <mc:Fallback>
            <w:pict>
              <v:shape id="_x0000_s1838" type="#_x0000_t202" style="position:absolute;margin-left:324.55000000000001pt;margin-top:15.6pt;width:213.34999999999999pt;height:12.pt;z-index:-125829247;mso-wrap-distance-left:0;mso-wrap-distance-top:15.6pt;mso-wrap-distance-right:0;mso-wrap-distance-bottom:31.pt;mso-position-horizontal-relative:page" filled="f" stroked="f">
                <v:textbox inset="0,0,0,0">
                  <w:txbxContent>
                    <w:p>
                      <w:pPr>
                        <w:pStyle w:val="Style41"/>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type="topAndBottom" anchorx="page"/>
              </v:shape>
            </w:pict>
          </mc:Fallback>
        </mc:AlternateContent>
      </w:r>
    </w:p>
    <w:p>
      <w:pPr>
        <w:pStyle w:val="Style47"/>
        <w:keepNext/>
        <w:keepLines/>
        <w:widowControl w:val="0"/>
        <w:shd w:val="clear" w:color="auto" w:fill="auto"/>
        <w:tabs>
          <w:tab w:pos="474" w:val="left"/>
        </w:tabs>
        <w:bidi w:val="0"/>
        <w:spacing w:before="0" w:after="400" w:line="240" w:lineRule="auto"/>
        <w:ind w:left="0" w:right="0" w:firstLine="0"/>
        <w:jc w:val="both"/>
      </w:pPr>
      <w:bookmarkStart w:id="958" w:name="bookmark958"/>
      <w:bookmarkStart w:id="959" w:name="bookmark959"/>
      <w:bookmarkStart w:id="960" w:name="bookmark960"/>
      <w:bookmarkStart w:id="961" w:name="bookmark961"/>
      <w:r>
        <w:rPr>
          <w:color w:val="000000"/>
          <w:spacing w:val="0"/>
          <w:w w:val="100"/>
          <w:position w:val="0"/>
        </w:rPr>
        <w:t>1</w:t>
      </w:r>
      <w:bookmarkEnd w:id="960"/>
      <w:r>
        <w:rPr>
          <w:color w:val="000000"/>
          <w:spacing w:val="0"/>
          <w:w w:val="100"/>
          <w:position w:val="0"/>
        </w:rPr>
        <w:t>6、</w:t>
        <w:tab/>
        <w:t>合同资产</w:t>
      </w:r>
      <w:bookmarkEnd w:id="958"/>
      <w:bookmarkEnd w:id="959"/>
      <w:bookmarkEnd w:id="961"/>
    </w:p>
    <w:p>
      <w:pPr>
        <w:pStyle w:val="Style41"/>
        <w:keepNext w:val="0"/>
        <w:keepLines w:val="0"/>
        <w:widowControl w:val="0"/>
        <w:shd w:val="clear" w:color="auto" w:fill="auto"/>
        <w:bidi w:val="0"/>
        <w:spacing w:before="0" w:after="120" w:line="240" w:lineRule="auto"/>
        <w:ind w:left="0" w:right="0"/>
        <w:jc w:val="both"/>
      </w:pPr>
      <w:r>
        <w:rPr>
          <w:b/>
          <w:bCs/>
          <w:color w:val="000000"/>
          <w:spacing w:val="0"/>
          <w:w w:val="100"/>
          <w:position w:val="0"/>
        </w:rPr>
        <w:t>自</w:t>
      </w:r>
      <w:r>
        <w:rPr>
          <w:rFonts w:ascii="Times New Roman" w:eastAsia="Times New Roman" w:hAnsi="Times New Roman" w:cs="Times New Roman"/>
          <w:b/>
          <w:bCs/>
          <w:color w:val="000000"/>
          <w:spacing w:val="0"/>
          <w:w w:val="100"/>
          <w:position w:val="0"/>
          <w:sz w:val="18"/>
          <w:szCs w:val="18"/>
        </w:rPr>
        <w:t>2020</w:t>
      </w:r>
      <w:r>
        <w:rPr>
          <w:b/>
          <w:bCs/>
          <w:color w:val="000000"/>
          <w:spacing w:val="0"/>
          <w:w w:val="100"/>
          <w:position w:val="0"/>
        </w:rPr>
        <w:t>年</w:t>
      </w:r>
      <w:r>
        <w:rPr>
          <w:rFonts w:ascii="Times New Roman" w:eastAsia="Times New Roman" w:hAnsi="Times New Roman" w:cs="Times New Roman"/>
          <w:b/>
          <w:bCs/>
          <w:color w:val="000000"/>
          <w:spacing w:val="0"/>
          <w:w w:val="100"/>
          <w:position w:val="0"/>
          <w:sz w:val="18"/>
          <w:szCs w:val="18"/>
        </w:rPr>
        <w:t>1</w:t>
      </w:r>
      <w:r>
        <w:rPr>
          <w:b/>
          <w:bCs/>
          <w:color w:val="000000"/>
          <w:spacing w:val="0"/>
          <w:w w:val="100"/>
          <w:position w:val="0"/>
        </w:rPr>
        <w:t>月</w:t>
      </w:r>
      <w:r>
        <w:rPr>
          <w:rFonts w:ascii="Times New Roman" w:eastAsia="Times New Roman" w:hAnsi="Times New Roman" w:cs="Times New Roman"/>
          <w:b/>
          <w:bCs/>
          <w:color w:val="000000"/>
          <w:spacing w:val="0"/>
          <w:w w:val="100"/>
          <w:position w:val="0"/>
          <w:sz w:val="18"/>
          <w:szCs w:val="18"/>
        </w:rPr>
        <w:t>1</w:t>
      </w:r>
      <w:r>
        <w:rPr>
          <w:b/>
          <w:bCs/>
          <w:color w:val="000000"/>
          <w:spacing w:val="0"/>
          <w:w w:val="100"/>
          <w:position w:val="0"/>
        </w:rPr>
        <w:t>日起的会计政策</w:t>
      </w:r>
    </w:p>
    <w:p>
      <w:pPr>
        <w:pStyle w:val="Style41"/>
        <w:keepNext w:val="0"/>
        <w:keepLines w:val="0"/>
        <w:widowControl w:val="0"/>
        <w:shd w:val="clear" w:color="auto" w:fill="auto"/>
        <w:tabs>
          <w:tab w:pos="450" w:val="left"/>
        </w:tabs>
        <w:bidi w:val="0"/>
        <w:spacing w:before="0" w:after="0" w:line="240" w:lineRule="auto"/>
        <w:ind w:left="0" w:right="0" w:firstLine="0"/>
        <w:jc w:val="left"/>
      </w:pPr>
      <w:bookmarkStart w:id="962" w:name="bookmark962"/>
      <w:r>
        <w:rPr>
          <w:b/>
          <w:bCs/>
          <w:color w:val="000000"/>
          <w:spacing w:val="0"/>
          <w:w w:val="100"/>
          <w:position w:val="0"/>
        </w:rPr>
        <w:t>（</w:t>
      </w:r>
      <w:bookmarkEnd w:id="962"/>
      <w:r>
        <w:rPr>
          <w:rFonts w:ascii="Times New Roman" w:eastAsia="Times New Roman" w:hAnsi="Times New Roman" w:cs="Times New Roman"/>
          <w:b/>
          <w:bCs/>
          <w:color w:val="000000"/>
          <w:spacing w:val="0"/>
          <w:w w:val="100"/>
          <w:position w:val="0"/>
          <w:sz w:val="18"/>
          <w:szCs w:val="18"/>
        </w:rPr>
        <w:t>1</w:t>
      </w:r>
      <w:r>
        <w:rPr>
          <w:b/>
          <w:bCs/>
          <w:color w:val="000000"/>
          <w:spacing w:val="0"/>
          <w:w w:val="100"/>
          <w:position w:val="0"/>
        </w:rPr>
        <w:t>）</w:t>
        <w:tab/>
        <w:t>合同资产的确认方法及标准</w:t>
      </w:r>
    </w:p>
    <w:p>
      <w:pPr>
        <w:pStyle w:val="Style41"/>
        <w:keepNext w:val="0"/>
        <w:keepLines w:val="0"/>
        <w:widowControl w:val="0"/>
        <w:shd w:val="clear" w:color="auto" w:fill="auto"/>
        <w:bidi w:val="0"/>
        <w:spacing w:before="0" w:after="200" w:line="468" w:lineRule="exact"/>
        <w:ind w:left="0" w:right="0"/>
        <w:jc w:val="both"/>
      </w:pPr>
      <w:r>
        <w:rPr>
          <w:color w:val="000000"/>
          <w:spacing w:val="0"/>
          <w:w w:val="100"/>
          <w:position w:val="0"/>
        </w:rPr>
        <w:t>本公司根据履行履约义务与客户付款之间的关系在资产负债表中列示合同资产或合同负债。本公司已向客户转让商品或 提供服务而有权收取对价的权利（且该权利取决于时间流逝之外的其他因素）列示为合同资产。同一合同下的合同资产和合 同负债以净额列示。本公司拥有的、无条件（仅取决于时间流逝）向客户收取对价的权利作为应收款项单独列示。</w:t>
      </w:r>
    </w:p>
    <w:p>
      <w:pPr>
        <w:pStyle w:val="Style41"/>
        <w:keepNext w:val="0"/>
        <w:keepLines w:val="0"/>
        <w:widowControl w:val="0"/>
        <w:shd w:val="clear" w:color="auto" w:fill="auto"/>
        <w:tabs>
          <w:tab w:pos="450" w:val="left"/>
        </w:tabs>
        <w:bidi w:val="0"/>
        <w:spacing w:before="0" w:after="0" w:line="240" w:lineRule="auto"/>
        <w:ind w:left="0" w:right="0" w:firstLine="0"/>
        <w:jc w:val="left"/>
      </w:pPr>
      <w:bookmarkStart w:id="963" w:name="bookmark963"/>
      <w:r>
        <w:rPr>
          <w:b/>
          <w:bCs/>
          <w:color w:val="000000"/>
          <w:spacing w:val="0"/>
          <w:w w:val="100"/>
          <w:position w:val="0"/>
        </w:rPr>
        <w:t>（</w:t>
      </w:r>
      <w:bookmarkEnd w:id="963"/>
      <w:r>
        <w:rPr>
          <w:rFonts w:ascii="Times New Roman" w:eastAsia="Times New Roman" w:hAnsi="Times New Roman" w:cs="Times New Roman"/>
          <w:b/>
          <w:bCs/>
          <w:color w:val="000000"/>
          <w:spacing w:val="0"/>
          <w:w w:val="100"/>
          <w:position w:val="0"/>
          <w:sz w:val="18"/>
          <w:szCs w:val="18"/>
        </w:rPr>
        <w:t>2</w:t>
      </w:r>
      <w:r>
        <w:rPr>
          <w:b/>
          <w:bCs/>
          <w:color w:val="000000"/>
          <w:spacing w:val="0"/>
          <w:w w:val="100"/>
          <w:position w:val="0"/>
        </w:rPr>
        <w:t>）</w:t>
        <w:tab/>
        <w:t>合同资产预期信用损失的确定方法及会计处理方法</w:t>
      </w:r>
    </w:p>
    <w:p>
      <w:pPr>
        <w:pStyle w:val="Style41"/>
        <w:keepNext w:val="0"/>
        <w:keepLines w:val="0"/>
        <w:widowControl w:val="0"/>
        <w:shd w:val="clear" w:color="auto" w:fill="auto"/>
        <w:bidi w:val="0"/>
        <w:spacing w:before="0" w:after="460" w:line="466" w:lineRule="exact"/>
        <w:ind w:left="0" w:right="0"/>
        <w:jc w:val="both"/>
      </w:pPr>
      <w:r>
        <w:rPr>
          <w:color w:val="000000"/>
          <w:spacing w:val="0"/>
          <w:w w:val="100"/>
          <w:position w:val="0"/>
        </w:rPr>
        <w:t>合同资产的预期信用损失的确定方法及会计处理方法详见本附注</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五、</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6</w:t>
      </w:r>
      <w:r>
        <w:rPr>
          <w:color w:val="000000"/>
          <w:spacing w:val="0"/>
          <w:w w:val="100"/>
          <w:position w:val="0"/>
        </w:rPr>
        <w:t>）金融资产减值的测试方法及会计处理方 法</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p>
      <w:pPr>
        <w:pStyle w:val="Style47"/>
        <w:keepNext/>
        <w:keepLines/>
        <w:widowControl w:val="0"/>
        <w:shd w:val="clear" w:color="auto" w:fill="auto"/>
        <w:tabs>
          <w:tab w:pos="474" w:val="left"/>
        </w:tabs>
        <w:bidi w:val="0"/>
        <w:spacing w:before="0" w:after="400" w:line="240" w:lineRule="auto"/>
        <w:ind w:left="0" w:right="0" w:firstLine="0"/>
        <w:jc w:val="both"/>
      </w:pPr>
      <w:bookmarkStart w:id="964" w:name="bookmark964"/>
      <w:bookmarkStart w:id="965" w:name="bookmark965"/>
      <w:bookmarkStart w:id="966" w:name="bookmark966"/>
      <w:bookmarkStart w:id="967" w:name="bookmark967"/>
      <w:r>
        <w:rPr>
          <w:color w:val="000000"/>
          <w:spacing w:val="0"/>
          <w:w w:val="100"/>
          <w:position w:val="0"/>
        </w:rPr>
        <w:t>1</w:t>
      </w:r>
      <w:bookmarkEnd w:id="966"/>
      <w:r>
        <w:rPr>
          <w:color w:val="000000"/>
          <w:spacing w:val="0"/>
          <w:w w:val="100"/>
          <w:position w:val="0"/>
        </w:rPr>
        <w:t>7、</w:t>
        <w:tab/>
        <w:t>合同成本</w:t>
      </w:r>
      <w:bookmarkEnd w:id="964"/>
      <w:bookmarkEnd w:id="965"/>
      <w:bookmarkEnd w:id="967"/>
    </w:p>
    <w:p>
      <w:pPr>
        <w:pStyle w:val="Style41"/>
        <w:keepNext w:val="0"/>
        <w:keepLines w:val="0"/>
        <w:widowControl w:val="0"/>
        <w:shd w:val="clear" w:color="auto" w:fill="auto"/>
        <w:bidi w:val="0"/>
        <w:spacing w:before="0" w:after="0" w:line="240" w:lineRule="auto"/>
        <w:ind w:left="0" w:right="0"/>
        <w:jc w:val="both"/>
      </w:pPr>
      <w:r>
        <w:rPr>
          <w:b/>
          <w:bCs/>
          <w:color w:val="000000"/>
          <w:spacing w:val="0"/>
          <w:w w:val="100"/>
          <w:position w:val="0"/>
        </w:rPr>
        <w:t>自</w:t>
      </w:r>
      <w:r>
        <w:rPr>
          <w:rFonts w:ascii="Times New Roman" w:eastAsia="Times New Roman" w:hAnsi="Times New Roman" w:cs="Times New Roman"/>
          <w:b/>
          <w:bCs/>
          <w:color w:val="000000"/>
          <w:spacing w:val="0"/>
          <w:w w:val="100"/>
          <w:position w:val="0"/>
          <w:sz w:val="18"/>
          <w:szCs w:val="18"/>
        </w:rPr>
        <w:t>2020</w:t>
      </w:r>
      <w:r>
        <w:rPr>
          <w:b/>
          <w:bCs/>
          <w:color w:val="000000"/>
          <w:spacing w:val="0"/>
          <w:w w:val="100"/>
          <w:position w:val="0"/>
        </w:rPr>
        <w:t>年</w:t>
      </w:r>
      <w:r>
        <w:rPr>
          <w:rFonts w:ascii="Times New Roman" w:eastAsia="Times New Roman" w:hAnsi="Times New Roman" w:cs="Times New Roman"/>
          <w:b/>
          <w:bCs/>
          <w:color w:val="000000"/>
          <w:spacing w:val="0"/>
          <w:w w:val="100"/>
          <w:position w:val="0"/>
          <w:sz w:val="18"/>
          <w:szCs w:val="18"/>
        </w:rPr>
        <w:t>1</w:t>
      </w:r>
      <w:r>
        <w:rPr>
          <w:b/>
          <w:bCs/>
          <w:color w:val="000000"/>
          <w:spacing w:val="0"/>
          <w:w w:val="100"/>
          <w:position w:val="0"/>
        </w:rPr>
        <w:t>月</w:t>
      </w:r>
      <w:r>
        <w:rPr>
          <w:rFonts w:ascii="Times New Roman" w:eastAsia="Times New Roman" w:hAnsi="Times New Roman" w:cs="Times New Roman"/>
          <w:b/>
          <w:bCs/>
          <w:color w:val="000000"/>
          <w:spacing w:val="0"/>
          <w:w w:val="100"/>
          <w:position w:val="0"/>
          <w:sz w:val="18"/>
          <w:szCs w:val="18"/>
        </w:rPr>
        <w:t>1</w:t>
      </w:r>
      <w:r>
        <w:rPr>
          <w:b/>
          <w:bCs/>
          <w:color w:val="000000"/>
          <w:spacing w:val="0"/>
          <w:w w:val="100"/>
          <w:position w:val="0"/>
        </w:rPr>
        <w:t>日起的会计政策</w:t>
      </w:r>
    </w:p>
    <w:p>
      <w:pPr>
        <w:pStyle w:val="Style41"/>
        <w:keepNext w:val="0"/>
        <w:keepLines w:val="0"/>
        <w:widowControl w:val="0"/>
        <w:shd w:val="clear" w:color="auto" w:fill="auto"/>
        <w:bidi w:val="0"/>
        <w:spacing w:before="0" w:after="0" w:line="466" w:lineRule="exact"/>
        <w:ind w:left="0" w:right="0"/>
        <w:jc w:val="both"/>
      </w:pPr>
      <w:r>
        <w:rPr>
          <w:color w:val="000000"/>
          <w:spacing w:val="0"/>
          <w:w w:val="100"/>
          <w:position w:val="0"/>
        </w:rPr>
        <w:t>合同成本包括合同履约成本与合同取得成本。</w:t>
      </w:r>
    </w:p>
    <w:p>
      <w:pPr>
        <w:pStyle w:val="Style41"/>
        <w:keepNext w:val="0"/>
        <w:keepLines w:val="0"/>
        <w:widowControl w:val="0"/>
        <w:shd w:val="clear" w:color="auto" w:fill="auto"/>
        <w:bidi w:val="0"/>
        <w:spacing w:before="0" w:after="0" w:line="466" w:lineRule="exact"/>
        <w:ind w:left="0" w:right="0"/>
        <w:jc w:val="both"/>
      </w:pPr>
      <w:r>
        <w:rPr>
          <w:color w:val="000000"/>
          <w:spacing w:val="0"/>
          <w:w w:val="100"/>
          <w:position w:val="0"/>
        </w:rPr>
        <w:t>本公司为履行合同而发生的成本，不属于存货、固定资产或无形资产等相关准则规范范围的，在满足下列条件时作为合 同履约成本确认为一项资产：</w:t>
      </w:r>
    </w:p>
    <w:p>
      <w:pPr>
        <w:pStyle w:val="Style41"/>
        <w:keepNext w:val="0"/>
        <w:keepLines w:val="0"/>
        <w:widowControl w:val="0"/>
        <w:shd w:val="clear" w:color="auto" w:fill="auto"/>
        <w:bidi w:val="0"/>
        <w:spacing w:before="0" w:after="0" w:line="468" w:lineRule="exact"/>
        <w:ind w:left="0" w:right="0"/>
        <w:jc w:val="both"/>
      </w:pPr>
      <w:r>
        <w:rPr>
          <w:color w:val="000000"/>
          <w:spacing w:val="0"/>
          <w:w w:val="100"/>
          <w:position w:val="0"/>
        </w:rPr>
        <w:t>该成本与一份当前或预期取得的合同直接相关。</w:t>
      </w:r>
    </w:p>
    <w:p>
      <w:pPr>
        <w:pStyle w:val="Style41"/>
        <w:keepNext w:val="0"/>
        <w:keepLines w:val="0"/>
        <w:widowControl w:val="0"/>
        <w:shd w:val="clear" w:color="auto" w:fill="auto"/>
        <w:bidi w:val="0"/>
        <w:spacing w:before="0" w:after="0" w:line="468" w:lineRule="exact"/>
        <w:ind w:left="0" w:right="0"/>
        <w:jc w:val="both"/>
      </w:pPr>
      <w:r>
        <w:rPr>
          <w:color w:val="000000"/>
          <w:spacing w:val="0"/>
          <w:w w:val="100"/>
          <w:position w:val="0"/>
        </w:rPr>
        <w:t>该成本增加了本公司未来用于履行履约义务的资源。</w:t>
      </w:r>
    </w:p>
    <w:p>
      <w:pPr>
        <w:pStyle w:val="Style41"/>
        <w:keepNext w:val="0"/>
        <w:keepLines w:val="0"/>
        <w:widowControl w:val="0"/>
        <w:shd w:val="clear" w:color="auto" w:fill="auto"/>
        <w:bidi w:val="0"/>
        <w:spacing w:before="0" w:after="0" w:line="468" w:lineRule="exact"/>
        <w:ind w:left="0" w:right="0"/>
        <w:jc w:val="both"/>
      </w:pPr>
      <w:r>
        <w:rPr>
          <w:color w:val="000000"/>
          <w:spacing w:val="0"/>
          <w:w w:val="100"/>
          <w:position w:val="0"/>
        </w:rPr>
        <w:t>该成本预期能够收回。</w:t>
      </w:r>
    </w:p>
    <w:p>
      <w:pPr>
        <w:pStyle w:val="Style41"/>
        <w:keepNext w:val="0"/>
        <w:keepLines w:val="0"/>
        <w:widowControl w:val="0"/>
        <w:shd w:val="clear" w:color="auto" w:fill="auto"/>
        <w:bidi w:val="0"/>
        <w:spacing w:before="0" w:after="0" w:line="468" w:lineRule="exact"/>
        <w:ind w:left="0" w:right="0"/>
        <w:jc w:val="both"/>
      </w:pPr>
      <w:r>
        <w:rPr>
          <w:color w:val="000000"/>
          <w:spacing w:val="0"/>
          <w:w w:val="100"/>
          <w:position w:val="0"/>
        </w:rPr>
        <w:t>本公司为取得合同发生的增量成本预期能够收回的，作为合同取得成本确认为一项资产。</w:t>
      </w:r>
    </w:p>
    <w:p>
      <w:pPr>
        <w:pStyle w:val="Style41"/>
        <w:keepNext w:val="0"/>
        <w:keepLines w:val="0"/>
        <w:widowControl w:val="0"/>
        <w:shd w:val="clear" w:color="auto" w:fill="auto"/>
        <w:bidi w:val="0"/>
        <w:spacing w:before="0" w:after="0" w:line="468" w:lineRule="exact"/>
        <w:ind w:left="0" w:right="0"/>
        <w:jc w:val="both"/>
      </w:pPr>
      <w:r>
        <w:rPr>
          <w:color w:val="000000"/>
          <w:spacing w:val="0"/>
          <w:w w:val="100"/>
          <w:position w:val="0"/>
        </w:rPr>
        <w:t>与合同成本有关的资产采用与该资产相关的商品或服务收入确认相同的基础进行摊销;但是对于合同取得成本摊销期限 未超过一年的，本公司在发生时将其计入当期损益。</w:t>
      </w:r>
    </w:p>
    <w:p>
      <w:pPr>
        <w:pStyle w:val="Style41"/>
        <w:keepNext w:val="0"/>
        <w:keepLines w:val="0"/>
        <w:widowControl w:val="0"/>
        <w:shd w:val="clear" w:color="auto" w:fill="auto"/>
        <w:bidi w:val="0"/>
        <w:spacing w:before="0" w:after="0" w:line="468" w:lineRule="exact"/>
        <w:ind w:left="0" w:right="0"/>
        <w:jc w:val="both"/>
      </w:pPr>
      <w:r>
        <w:rPr>
          <w:color w:val="000000"/>
          <w:spacing w:val="0"/>
          <w:w w:val="100"/>
          <w:position w:val="0"/>
        </w:rPr>
        <w:t>与合同成本有关的资产，其账面价值高于下列两项的差额的，本公司对超出部分计提减值准备，并确认为资产减值损失：</w:t>
      </w:r>
    </w:p>
    <w:p>
      <w:pPr>
        <w:pStyle w:val="Style41"/>
        <w:keepNext w:val="0"/>
        <w:keepLines w:val="0"/>
        <w:widowControl w:val="0"/>
        <w:shd w:val="clear" w:color="auto" w:fill="auto"/>
        <w:tabs>
          <w:tab w:pos="729" w:val="left"/>
        </w:tabs>
        <w:bidi w:val="0"/>
        <w:spacing w:before="0" w:after="0" w:line="468" w:lineRule="exact"/>
        <w:ind w:left="0" w:right="0"/>
        <w:jc w:val="both"/>
      </w:pPr>
      <w:bookmarkStart w:id="968" w:name="bookmark968"/>
      <w:r>
        <w:rPr>
          <w:rFonts w:ascii="Times New Roman" w:eastAsia="Times New Roman" w:hAnsi="Times New Roman" w:cs="Times New Roman"/>
          <w:color w:val="000000"/>
          <w:spacing w:val="0"/>
          <w:w w:val="100"/>
          <w:position w:val="0"/>
          <w:sz w:val="18"/>
          <w:szCs w:val="18"/>
        </w:rPr>
        <w:t>1</w:t>
      </w:r>
      <w:bookmarkEnd w:id="968"/>
      <w:r>
        <w:rPr>
          <w:color w:val="000000"/>
          <w:spacing w:val="0"/>
          <w:w w:val="100"/>
          <w:position w:val="0"/>
        </w:rPr>
        <w:t>）</w:t>
        <w:tab/>
        <w:t>因转让与该资产相关的商品或服务预期能够取得的剩余对价；</w:t>
      </w:r>
    </w:p>
    <w:p>
      <w:pPr>
        <w:pStyle w:val="Style41"/>
        <w:keepNext w:val="0"/>
        <w:keepLines w:val="0"/>
        <w:widowControl w:val="0"/>
        <w:shd w:val="clear" w:color="auto" w:fill="auto"/>
        <w:tabs>
          <w:tab w:pos="748" w:val="left"/>
        </w:tabs>
        <w:bidi w:val="0"/>
        <w:spacing w:before="0" w:after="0" w:line="468" w:lineRule="exact"/>
        <w:ind w:left="0" w:right="0"/>
        <w:jc w:val="both"/>
      </w:pPr>
      <w:bookmarkStart w:id="969" w:name="bookmark969"/>
      <w:r>
        <w:rPr>
          <w:rFonts w:ascii="Times New Roman" w:eastAsia="Times New Roman" w:hAnsi="Times New Roman" w:cs="Times New Roman"/>
          <w:color w:val="000000"/>
          <w:spacing w:val="0"/>
          <w:w w:val="100"/>
          <w:position w:val="0"/>
          <w:sz w:val="18"/>
          <w:szCs w:val="18"/>
        </w:rPr>
        <w:t>2</w:t>
      </w:r>
      <w:bookmarkEnd w:id="969"/>
      <w:r>
        <w:rPr>
          <w:color w:val="000000"/>
          <w:spacing w:val="0"/>
          <w:w w:val="100"/>
          <w:position w:val="0"/>
        </w:rPr>
        <w:t>）</w:t>
        <w:tab/>
        <w:t>为转让该相关商品或服务估计将要发生的成本。</w:t>
      </w:r>
    </w:p>
    <w:p>
      <w:pPr>
        <w:pStyle w:val="Style41"/>
        <w:keepNext w:val="0"/>
        <w:keepLines w:val="0"/>
        <w:widowControl w:val="0"/>
        <w:shd w:val="clear" w:color="auto" w:fill="auto"/>
        <w:bidi w:val="0"/>
        <w:spacing w:before="0" w:after="460" w:line="468" w:lineRule="exact"/>
        <w:ind w:left="0" w:right="0"/>
        <w:jc w:val="both"/>
      </w:pPr>
      <w:r>
        <w:rPr>
          <w:color w:val="000000"/>
          <w:spacing w:val="0"/>
          <w:w w:val="100"/>
          <w:position w:val="0"/>
        </w:rPr>
        <w:t>以前期间减值的因素之后发生变化，使得前述差额高于该资产账面价值的，本公司转回原已计提的减值准备，并计入当 期损益，但转回后的资产账面价值不超过假定不计提减值准备情况下该资产在转回日的账面价值。</w:t>
      </w:r>
    </w:p>
    <w:p>
      <w:pPr>
        <w:pStyle w:val="Style47"/>
        <w:keepNext/>
        <w:keepLines/>
        <w:widowControl w:val="0"/>
        <w:shd w:val="clear" w:color="auto" w:fill="auto"/>
        <w:tabs>
          <w:tab w:pos="474" w:val="left"/>
        </w:tabs>
        <w:bidi w:val="0"/>
        <w:spacing w:before="0" w:after="200" w:line="240" w:lineRule="auto"/>
        <w:ind w:left="0" w:right="0" w:firstLine="0"/>
        <w:jc w:val="both"/>
      </w:pPr>
      <w:bookmarkStart w:id="970" w:name="bookmark970"/>
      <w:bookmarkStart w:id="971" w:name="bookmark971"/>
      <w:bookmarkStart w:id="972" w:name="bookmark972"/>
      <w:bookmarkStart w:id="973" w:name="bookmark973"/>
      <w:r>
        <w:rPr>
          <w:color w:val="000000"/>
          <w:spacing w:val="0"/>
          <w:w w:val="100"/>
          <w:position w:val="0"/>
        </w:rPr>
        <w:t>1</w:t>
      </w:r>
      <w:bookmarkEnd w:id="972"/>
      <w:r>
        <w:rPr>
          <w:color w:val="000000"/>
          <w:spacing w:val="0"/>
          <w:w w:val="100"/>
          <w:position w:val="0"/>
        </w:rPr>
        <w:t>8、</w:t>
        <w:tab/>
        <w:t>持有待售资产</w:t>
      </w:r>
      <w:bookmarkEnd w:id="970"/>
      <w:bookmarkEnd w:id="971"/>
      <w:bookmarkEnd w:id="973"/>
    </w:p>
    <w:p>
      <w:pPr>
        <w:pStyle w:val="Style41"/>
        <w:keepNext w:val="0"/>
        <w:keepLines w:val="0"/>
        <w:widowControl w:val="0"/>
        <w:shd w:val="clear" w:color="auto" w:fill="auto"/>
        <w:bidi w:val="0"/>
        <w:spacing w:before="0" w:after="200" w:line="468" w:lineRule="exact"/>
        <w:ind w:left="0" w:right="0"/>
        <w:jc w:val="both"/>
        <w:sectPr>
          <w:headerReference w:type="default" r:id="rId309"/>
          <w:footerReference w:type="default" r:id="rId310"/>
          <w:headerReference w:type="even" r:id="rId311"/>
          <w:footerReference w:type="even" r:id="rId312"/>
          <w:footnotePr>
            <w:pos w:val="pageBottom"/>
            <w:numFmt w:val="decimal"/>
            <w:numRestart w:val="continuous"/>
          </w:footnotePr>
          <w:pgSz w:w="11904" w:h="17375"/>
          <w:pgMar w:top="1766" w:right="1025" w:bottom="1771" w:left="1101" w:header="1338" w:footer="3" w:gutter="0"/>
          <w:cols w:space="720"/>
          <w:noEndnote/>
          <w:rtlGutter w:val="0"/>
          <w:docGrid w:linePitch="360"/>
        </w:sectPr>
      </w:pPr>
      <w:r>
        <w:rPr>
          <w:color w:val="000000"/>
          <w:spacing w:val="0"/>
          <w:w w:val="100"/>
          <w:position w:val="0"/>
        </w:rPr>
        <w:t>主要通过出售（包括具有商业实质的非货币性资产交换）而非持续使用一项非流动资产或处置组收回其账面价值的，划</w:t>
      </w:r>
    </w:p>
    <w:p>
      <w:pPr>
        <w:pStyle w:val="Style212"/>
        <w:keepNext w:val="0"/>
        <w:keepLines w:val="0"/>
        <w:widowControl w:val="0"/>
        <w:shd w:val="clear" w:color="auto" w:fill="auto"/>
        <w:bidi w:val="0"/>
        <w:spacing w:before="0" w:after="0" w:line="240" w:lineRule="auto"/>
        <w:ind w:left="0" w:right="0" w:firstLine="0"/>
        <w:jc w:val="left"/>
      </w:pPr>
      <w:r>
        <w:rPr>
          <w:spacing w:val="0"/>
          <w:w w:val="100"/>
          <w:position w:val="0"/>
        </w:rPr>
        <w:t>Ultrapoiuer</w:t>
      </w:r>
    </w:p>
    <w:p>
      <w:pPr>
        <w:pStyle w:val="Style41"/>
        <w:keepNext w:val="0"/>
        <w:keepLines w:val="0"/>
        <w:widowControl w:val="0"/>
        <w:shd w:val="clear" w:color="auto" w:fill="auto"/>
        <w:bidi w:val="0"/>
        <w:spacing w:before="0" w:after="0" w:line="469" w:lineRule="exact"/>
        <w:ind w:left="0" w:right="0" w:firstLine="820"/>
        <w:jc w:val="both"/>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 分为持有待售类别。</w:t>
      </w:r>
    </w:p>
    <w:p>
      <w:pPr>
        <w:pStyle w:val="Style41"/>
        <w:keepNext w:val="0"/>
        <w:keepLines w:val="0"/>
        <w:widowControl w:val="0"/>
        <w:shd w:val="clear" w:color="auto" w:fill="auto"/>
        <w:bidi w:val="0"/>
        <w:spacing w:before="0" w:after="0" w:line="469" w:lineRule="exact"/>
        <w:ind w:left="0" w:right="0"/>
        <w:jc w:val="both"/>
      </w:pPr>
      <w:r>
        <w:rPr>
          <w:color w:val="000000"/>
          <w:spacing w:val="0"/>
          <w:w w:val="100"/>
          <w:position w:val="0"/>
        </w:rPr>
        <w:t>本公司将同时满足下列条件的非流动资产或处置组划分为持有待售类别：</w:t>
      </w:r>
    </w:p>
    <w:p>
      <w:pPr>
        <w:pStyle w:val="Style41"/>
        <w:keepNext w:val="0"/>
        <w:keepLines w:val="0"/>
        <w:widowControl w:val="0"/>
        <w:shd w:val="clear" w:color="auto" w:fill="auto"/>
        <w:tabs>
          <w:tab w:pos="729" w:val="left"/>
        </w:tabs>
        <w:bidi w:val="0"/>
        <w:spacing w:before="0" w:after="0" w:line="469" w:lineRule="exact"/>
        <w:ind w:left="0" w:right="0"/>
        <w:jc w:val="both"/>
      </w:pPr>
      <w:bookmarkStart w:id="974" w:name="bookmark974"/>
      <w:r>
        <w:rPr>
          <w:rFonts w:ascii="Times New Roman" w:eastAsia="Times New Roman" w:hAnsi="Times New Roman" w:cs="Times New Roman"/>
          <w:color w:val="000000"/>
          <w:spacing w:val="0"/>
          <w:w w:val="100"/>
          <w:position w:val="0"/>
          <w:sz w:val="18"/>
          <w:szCs w:val="18"/>
        </w:rPr>
        <w:t>1</w:t>
      </w:r>
      <w:bookmarkEnd w:id="974"/>
      <w:r>
        <w:rPr>
          <w:color w:val="000000"/>
          <w:spacing w:val="0"/>
          <w:w w:val="100"/>
          <w:position w:val="0"/>
        </w:rPr>
        <w:t>）</w:t>
        <w:tab/>
        <w:t>根据类似交易中出售此类资产或处置组的惯例，在当前状况下即可立即出售；</w:t>
      </w:r>
    </w:p>
    <w:p>
      <w:pPr>
        <w:pStyle w:val="Style41"/>
        <w:keepNext w:val="0"/>
        <w:keepLines w:val="0"/>
        <w:widowControl w:val="0"/>
        <w:shd w:val="clear" w:color="auto" w:fill="auto"/>
        <w:tabs>
          <w:tab w:pos="718" w:val="left"/>
        </w:tabs>
        <w:bidi w:val="0"/>
        <w:spacing w:before="0" w:after="0" w:line="469" w:lineRule="exact"/>
        <w:ind w:left="0" w:right="0"/>
        <w:jc w:val="both"/>
      </w:pPr>
      <w:bookmarkStart w:id="975" w:name="bookmark975"/>
      <w:r>
        <w:rPr>
          <w:rFonts w:ascii="Times New Roman" w:eastAsia="Times New Roman" w:hAnsi="Times New Roman" w:cs="Times New Roman"/>
          <w:color w:val="000000"/>
          <w:spacing w:val="0"/>
          <w:w w:val="100"/>
          <w:position w:val="0"/>
          <w:sz w:val="18"/>
          <w:szCs w:val="18"/>
        </w:rPr>
        <w:t>2</w:t>
      </w:r>
      <w:bookmarkEnd w:id="975"/>
      <w:r>
        <w:rPr>
          <w:color w:val="000000"/>
          <w:spacing w:val="0"/>
          <w:w w:val="100"/>
          <w:position w:val="0"/>
        </w:rPr>
        <w:t>）</w:t>
        <w:tab/>
        <w:t>出售极可能发生，即本公司已经就一项出售计划作出决议且获得确定的购买承诺，预计出售将在一年内完成。有关 规定要求本公司相关权力机构或者监管部门批准后方可出售的，已经获得批准。</w:t>
      </w:r>
    </w:p>
    <w:p>
      <w:pPr>
        <w:pStyle w:val="Style41"/>
        <w:keepNext w:val="0"/>
        <w:keepLines w:val="0"/>
        <w:widowControl w:val="0"/>
        <w:shd w:val="clear" w:color="auto" w:fill="auto"/>
        <w:bidi w:val="0"/>
        <w:spacing w:before="0" w:after="760" w:line="469" w:lineRule="exact"/>
        <w:ind w:left="0" w:right="0"/>
        <w:jc w:val="both"/>
      </w:pPr>
      <w:r>
        <w:rPr>
          <w:color w:val="000000"/>
          <w:spacing w:val="0"/>
          <w:w w:val="100"/>
          <w:position w:val="0"/>
        </w:rPr>
        <w:t>划分为持有待售的非流动资产（不包括金融资产、递延所得税资产、职工薪酬形成的资产）或处置组，其账面价值高于 公允价值减去出售费用后的净额的，账面价值减记至公允价值减去出售费用后的净额，减记的金额确认为资产减值损失，计 入当期损益，同时计提持有待售资产减值准备。</w:t>
      </w:r>
    </w:p>
    <w:p>
      <w:pPr>
        <w:pStyle w:val="Style47"/>
        <w:keepNext/>
        <w:keepLines/>
        <w:widowControl w:val="0"/>
        <w:shd w:val="clear" w:color="auto" w:fill="auto"/>
        <w:tabs>
          <w:tab w:pos="474" w:val="left"/>
        </w:tabs>
        <w:bidi w:val="0"/>
        <w:spacing w:before="0" w:after="180" w:line="240" w:lineRule="auto"/>
        <w:ind w:left="0" w:right="0" w:firstLine="0"/>
        <w:jc w:val="left"/>
      </w:pPr>
      <w:bookmarkStart w:id="976" w:name="bookmark976"/>
      <w:bookmarkStart w:id="977" w:name="bookmark977"/>
      <w:bookmarkStart w:id="978" w:name="bookmark978"/>
      <w:bookmarkStart w:id="979" w:name="bookmark979"/>
      <w:r>
        <w:rPr>
          <w:color w:val="000000"/>
          <w:spacing w:val="0"/>
          <w:w w:val="100"/>
          <w:position w:val="0"/>
        </w:rPr>
        <w:t>1</w:t>
      </w:r>
      <w:bookmarkEnd w:id="978"/>
      <w:r>
        <w:rPr>
          <w:color w:val="000000"/>
          <w:spacing w:val="0"/>
          <w:w w:val="100"/>
          <w:position w:val="0"/>
        </w:rPr>
        <w:t>9、</w:t>
        <w:tab/>
        <w:t>债权投资</w:t>
      </w:r>
      <w:bookmarkEnd w:id="976"/>
      <w:bookmarkEnd w:id="977"/>
      <w:bookmarkEnd w:id="979"/>
    </w:p>
    <w:p>
      <w:pPr>
        <w:pStyle w:val="Style41"/>
        <w:keepNext w:val="0"/>
        <w:keepLines w:val="0"/>
        <w:widowControl w:val="0"/>
        <w:shd w:val="clear" w:color="auto" w:fill="auto"/>
        <w:bidi w:val="0"/>
        <w:spacing w:before="0" w:after="480" w:line="468" w:lineRule="exact"/>
        <w:ind w:left="0" w:right="0"/>
        <w:jc w:val="both"/>
      </w:pPr>
      <w:r>
        <w:rPr>
          <w:color w:val="000000"/>
          <w:spacing w:val="0"/>
          <w:w w:val="100"/>
          <w:position w:val="0"/>
        </w:rPr>
        <w:t>无。</w:t>
      </w:r>
    </w:p>
    <w:p>
      <w:pPr>
        <w:pStyle w:val="Style47"/>
        <w:keepNext/>
        <w:keepLines/>
        <w:widowControl w:val="0"/>
        <w:shd w:val="clear" w:color="auto" w:fill="auto"/>
        <w:tabs>
          <w:tab w:pos="483" w:val="left"/>
        </w:tabs>
        <w:bidi w:val="0"/>
        <w:spacing w:before="0" w:after="480" w:line="240" w:lineRule="auto"/>
        <w:ind w:left="0" w:right="0" w:firstLine="0"/>
        <w:jc w:val="left"/>
      </w:pPr>
      <w:bookmarkStart w:id="980" w:name="bookmark980"/>
      <w:bookmarkStart w:id="981" w:name="bookmark981"/>
      <w:bookmarkStart w:id="982" w:name="bookmark982"/>
      <w:bookmarkStart w:id="983" w:name="bookmark983"/>
      <w:r>
        <w:rPr>
          <w:color w:val="000000"/>
          <w:spacing w:val="0"/>
          <w:w w:val="100"/>
          <w:position w:val="0"/>
        </w:rPr>
        <w:t>2</w:t>
      </w:r>
      <w:bookmarkEnd w:id="982"/>
      <w:r>
        <w:rPr>
          <w:color w:val="000000"/>
          <w:spacing w:val="0"/>
          <w:w w:val="100"/>
          <w:position w:val="0"/>
        </w:rPr>
        <w:t>0、</w:t>
        <w:tab/>
        <w:t>其他债权投资</w:t>
      </w:r>
      <w:bookmarkEnd w:id="980"/>
      <w:bookmarkEnd w:id="981"/>
      <w:bookmarkEnd w:id="983"/>
    </w:p>
    <w:p>
      <w:pPr>
        <w:pStyle w:val="Style41"/>
        <w:keepNext w:val="0"/>
        <w:keepLines w:val="0"/>
        <w:widowControl w:val="0"/>
        <w:shd w:val="clear" w:color="auto" w:fill="auto"/>
        <w:bidi w:val="0"/>
        <w:spacing w:before="0" w:after="480" w:line="468" w:lineRule="exact"/>
        <w:ind w:left="0" w:right="0"/>
        <w:jc w:val="both"/>
      </w:pPr>
      <w:r>
        <w:rPr>
          <w:color w:val="000000"/>
          <w:spacing w:val="0"/>
          <w:w w:val="100"/>
          <w:position w:val="0"/>
        </w:rPr>
        <w:t>无。</w:t>
      </w:r>
    </w:p>
    <w:p>
      <w:pPr>
        <w:pStyle w:val="Style47"/>
        <w:keepNext/>
        <w:keepLines/>
        <w:widowControl w:val="0"/>
        <w:shd w:val="clear" w:color="auto" w:fill="auto"/>
        <w:tabs>
          <w:tab w:pos="483" w:val="left"/>
        </w:tabs>
        <w:bidi w:val="0"/>
        <w:spacing w:before="0" w:after="480" w:line="240" w:lineRule="auto"/>
        <w:ind w:left="0" w:right="0" w:firstLine="0"/>
        <w:jc w:val="left"/>
      </w:pPr>
      <w:bookmarkStart w:id="984" w:name="bookmark984"/>
      <w:bookmarkStart w:id="985" w:name="bookmark985"/>
      <w:bookmarkStart w:id="986" w:name="bookmark986"/>
      <w:bookmarkStart w:id="987" w:name="bookmark987"/>
      <w:r>
        <w:rPr>
          <w:color w:val="000000"/>
          <w:spacing w:val="0"/>
          <w:w w:val="100"/>
          <w:position w:val="0"/>
        </w:rPr>
        <w:t>2</w:t>
      </w:r>
      <w:bookmarkEnd w:id="986"/>
      <w:r>
        <w:rPr>
          <w:color w:val="000000"/>
          <w:spacing w:val="0"/>
          <w:w w:val="100"/>
          <w:position w:val="0"/>
        </w:rPr>
        <w:t>1、</w:t>
        <w:tab/>
        <w:t>长期应收款</w:t>
      </w:r>
      <w:bookmarkEnd w:id="984"/>
      <w:bookmarkEnd w:id="985"/>
      <w:bookmarkEnd w:id="987"/>
    </w:p>
    <w:p>
      <w:pPr>
        <w:pStyle w:val="Style41"/>
        <w:keepNext w:val="0"/>
        <w:keepLines w:val="0"/>
        <w:widowControl w:val="0"/>
        <w:shd w:val="clear" w:color="auto" w:fill="auto"/>
        <w:bidi w:val="0"/>
        <w:spacing w:before="0" w:after="480" w:line="468" w:lineRule="exact"/>
        <w:ind w:left="0" w:right="0"/>
        <w:jc w:val="both"/>
      </w:pPr>
      <w:r>
        <w:rPr>
          <w:color w:val="000000"/>
          <w:spacing w:val="0"/>
          <w:w w:val="100"/>
          <w:position w:val="0"/>
        </w:rPr>
        <w:t>无。</w:t>
      </w:r>
    </w:p>
    <w:p>
      <w:pPr>
        <w:pStyle w:val="Style47"/>
        <w:keepNext/>
        <w:keepLines/>
        <w:widowControl w:val="0"/>
        <w:shd w:val="clear" w:color="auto" w:fill="auto"/>
        <w:tabs>
          <w:tab w:pos="483" w:val="left"/>
        </w:tabs>
        <w:bidi w:val="0"/>
        <w:spacing w:before="0" w:after="400" w:line="240" w:lineRule="auto"/>
        <w:ind w:left="0" w:right="0" w:firstLine="0"/>
        <w:jc w:val="left"/>
      </w:pPr>
      <w:bookmarkStart w:id="988" w:name="bookmark988"/>
      <w:bookmarkStart w:id="989" w:name="bookmark989"/>
      <w:bookmarkStart w:id="990" w:name="bookmark990"/>
      <w:bookmarkStart w:id="991" w:name="bookmark991"/>
      <w:r>
        <w:rPr>
          <w:color w:val="000000"/>
          <w:spacing w:val="0"/>
          <w:w w:val="100"/>
          <w:position w:val="0"/>
        </w:rPr>
        <w:t>2</w:t>
      </w:r>
      <w:bookmarkEnd w:id="990"/>
      <w:r>
        <w:rPr>
          <w:color w:val="000000"/>
          <w:spacing w:val="0"/>
          <w:w w:val="100"/>
          <w:position w:val="0"/>
        </w:rPr>
        <w:t>2、</w:t>
        <w:tab/>
        <w:t>长期股权投资</w:t>
      </w:r>
      <w:bookmarkEnd w:id="988"/>
      <w:bookmarkEnd w:id="989"/>
      <w:bookmarkEnd w:id="991"/>
    </w:p>
    <w:p>
      <w:pPr>
        <w:pStyle w:val="Style41"/>
        <w:keepNext w:val="0"/>
        <w:keepLines w:val="0"/>
        <w:widowControl w:val="0"/>
        <w:shd w:val="clear" w:color="auto" w:fill="auto"/>
        <w:tabs>
          <w:tab w:pos="450" w:val="left"/>
        </w:tabs>
        <w:bidi w:val="0"/>
        <w:spacing w:before="0" w:after="0" w:line="240" w:lineRule="auto"/>
        <w:ind w:left="0" w:right="0" w:firstLine="0"/>
        <w:jc w:val="left"/>
      </w:pPr>
      <w:bookmarkStart w:id="992" w:name="bookmark992"/>
      <w:r>
        <w:rPr>
          <w:b/>
          <w:bCs/>
          <w:color w:val="000000"/>
          <w:spacing w:val="0"/>
          <w:w w:val="100"/>
          <w:position w:val="0"/>
        </w:rPr>
        <w:t>（</w:t>
      </w:r>
      <w:bookmarkEnd w:id="992"/>
      <w:r>
        <w:rPr>
          <w:rFonts w:ascii="Times New Roman" w:eastAsia="Times New Roman" w:hAnsi="Times New Roman" w:cs="Times New Roman"/>
          <w:b/>
          <w:bCs/>
          <w:color w:val="000000"/>
          <w:spacing w:val="0"/>
          <w:w w:val="100"/>
          <w:position w:val="0"/>
          <w:sz w:val="18"/>
          <w:szCs w:val="18"/>
        </w:rPr>
        <w:t>1</w:t>
      </w:r>
      <w:r>
        <w:rPr>
          <w:b/>
          <w:bCs/>
          <w:color w:val="000000"/>
          <w:spacing w:val="0"/>
          <w:w w:val="100"/>
          <w:position w:val="0"/>
        </w:rPr>
        <w:t>）</w:t>
        <w:tab/>
        <w:t>共同控制、重大影响的判断标准</w:t>
      </w:r>
    </w:p>
    <w:p>
      <w:pPr>
        <w:pStyle w:val="Style41"/>
        <w:keepNext w:val="0"/>
        <w:keepLines w:val="0"/>
        <w:widowControl w:val="0"/>
        <w:shd w:val="clear" w:color="auto" w:fill="auto"/>
        <w:bidi w:val="0"/>
        <w:spacing w:before="0" w:after="0" w:line="467" w:lineRule="exact"/>
        <w:ind w:left="0" w:right="0"/>
        <w:jc w:val="both"/>
      </w:pPr>
      <w:r>
        <w:rPr>
          <w:color w:val="000000"/>
          <w:spacing w:val="0"/>
          <w:w w:val="100"/>
          <w:position w:val="0"/>
        </w:rPr>
        <w:t>共同控制，是指按照相关约定对某项安排所共有的控制，并且该安排的相关活动必须经过分享控制权的参与方一致同意 后才能决策。本公司与其他合营方一同对被投资单位实施共同控制且对被投资单位净资产享有权利的，被投资单位为本公司 的合营企业。</w:t>
      </w:r>
    </w:p>
    <w:p>
      <w:pPr>
        <w:pStyle w:val="Style41"/>
        <w:keepNext w:val="0"/>
        <w:keepLines w:val="0"/>
        <w:widowControl w:val="0"/>
        <w:shd w:val="clear" w:color="auto" w:fill="auto"/>
        <w:bidi w:val="0"/>
        <w:spacing w:before="0" w:after="180" w:line="467" w:lineRule="exact"/>
        <w:ind w:left="0" w:right="0"/>
        <w:jc w:val="both"/>
      </w:pPr>
      <w:r>
        <w:rPr>
          <w:color w:val="000000"/>
          <w:spacing w:val="0"/>
          <w:w w:val="100"/>
          <w:position w:val="0"/>
        </w:rPr>
        <w:t>重大影响，是指对被投资单位的财务和经营决策有参与决策的权力，但并不能够控制或者与其他方一起共同控制这些政 策的制定。本公司能够对被投资单位施加重大影响的，被投资单位为本公司联营企业。</w:t>
      </w:r>
    </w:p>
    <w:p>
      <w:pPr>
        <w:pStyle w:val="Style41"/>
        <w:keepNext w:val="0"/>
        <w:keepLines w:val="0"/>
        <w:widowControl w:val="0"/>
        <w:shd w:val="clear" w:color="auto" w:fill="auto"/>
        <w:tabs>
          <w:tab w:pos="450" w:val="left"/>
        </w:tabs>
        <w:bidi w:val="0"/>
        <w:spacing w:before="0" w:after="0" w:line="240" w:lineRule="auto"/>
        <w:ind w:left="0" w:right="0" w:firstLine="0"/>
        <w:jc w:val="left"/>
      </w:pPr>
      <w:bookmarkStart w:id="993" w:name="bookmark993"/>
      <w:r>
        <w:rPr>
          <w:b/>
          <w:bCs/>
          <w:color w:val="000000"/>
          <w:spacing w:val="0"/>
          <w:w w:val="100"/>
          <w:position w:val="0"/>
        </w:rPr>
        <w:t>（</w:t>
      </w:r>
      <w:bookmarkEnd w:id="993"/>
      <w:r>
        <w:rPr>
          <w:rFonts w:ascii="Times New Roman" w:eastAsia="Times New Roman" w:hAnsi="Times New Roman" w:cs="Times New Roman"/>
          <w:b/>
          <w:bCs/>
          <w:color w:val="000000"/>
          <w:spacing w:val="0"/>
          <w:w w:val="100"/>
          <w:position w:val="0"/>
          <w:sz w:val="18"/>
          <w:szCs w:val="18"/>
        </w:rPr>
        <w:t>2</w:t>
      </w:r>
      <w:r>
        <w:rPr>
          <w:b/>
          <w:bCs/>
          <w:color w:val="000000"/>
          <w:spacing w:val="0"/>
          <w:w w:val="100"/>
          <w:position w:val="0"/>
        </w:rPr>
        <w:t>）</w:t>
        <w:tab/>
        <w:t>初始投资成本的确定</w:t>
      </w:r>
    </w:p>
    <w:p>
      <w:pPr>
        <w:pStyle w:val="Style41"/>
        <w:keepNext w:val="0"/>
        <w:keepLines w:val="0"/>
        <w:widowControl w:val="0"/>
        <w:shd w:val="clear" w:color="auto" w:fill="auto"/>
        <w:bidi w:val="0"/>
        <w:spacing w:before="0" w:after="0" w:line="466" w:lineRule="exact"/>
        <w:ind w:left="0" w:right="0"/>
        <w:jc w:val="both"/>
      </w:pPr>
      <w:bookmarkStart w:id="994" w:name="bookmark994"/>
      <w:r>
        <w:rPr>
          <w:rFonts w:ascii="Times New Roman" w:eastAsia="Times New Roman" w:hAnsi="Times New Roman" w:cs="Times New Roman"/>
          <w:color w:val="000000"/>
          <w:spacing w:val="0"/>
          <w:w w:val="100"/>
          <w:position w:val="0"/>
          <w:sz w:val="18"/>
          <w:szCs w:val="18"/>
        </w:rPr>
        <w:t>1</w:t>
      </w:r>
      <w:bookmarkEnd w:id="994"/>
      <w:r>
        <w:rPr>
          <w:color w:val="000000"/>
          <w:spacing w:val="0"/>
          <w:w w:val="100"/>
          <w:position w:val="0"/>
        </w:rPr>
        <w:t>）企业合并形成的长期股权投资</w:t>
      </w:r>
    </w:p>
    <w:p>
      <w:pPr>
        <w:pStyle w:val="Style41"/>
        <w:keepNext w:val="0"/>
        <w:keepLines w:val="0"/>
        <w:widowControl w:val="0"/>
        <w:shd w:val="clear" w:color="auto" w:fill="auto"/>
        <w:bidi w:val="0"/>
        <w:spacing w:before="0" w:after="480" w:line="466" w:lineRule="exact"/>
        <w:ind w:left="0" w:right="0"/>
        <w:jc w:val="both"/>
      </w:pPr>
      <w:r>
        <w:rPr>
          <w:color w:val="000000"/>
          <w:spacing w:val="0"/>
          <w:w w:val="100"/>
          <w:position w:val="0"/>
        </w:rPr>
        <w:t>对于同一控制下的企业合并形成的对子公司的长期股权投资，在合并日按照取得被合并方所有者权益在最终控制方合并 财务报表中的账面价值的份额作为长期股权投资的初始投资成本。长期股权投资初始投资成本与支付对价账面价值之间的差 额，调整资本公积中的股本溢价；资本公积中的股本溢价不足冲减时，调整留存收益。因追加投资等原因能够对同一控制下</w:t>
      </w:r>
    </w:p>
    <w:p>
      <w:pPr>
        <w:pStyle w:val="Style212"/>
        <w:keepNext w:val="0"/>
        <w:keepLines w:val="0"/>
        <w:widowControl w:val="0"/>
        <w:shd w:val="clear" w:color="auto" w:fill="auto"/>
        <w:bidi w:val="0"/>
        <w:spacing w:before="0" w:after="0" w:line="240" w:lineRule="auto"/>
        <w:ind w:left="0" w:right="0" w:firstLine="0"/>
        <w:jc w:val="left"/>
      </w:pPr>
      <w:r>
        <w:rPr>
          <w:spacing w:val="0"/>
          <w:w w:val="100"/>
          <w:position w:val="0"/>
        </w:rPr>
        <w:t>Ultrapoiuer</w:t>
      </w:r>
    </w:p>
    <w:p>
      <w:pPr>
        <w:pStyle w:val="Style41"/>
        <w:keepNext w:val="0"/>
        <w:keepLines w:val="0"/>
        <w:widowControl w:val="0"/>
        <w:pBdr>
          <w:top w:val="single" w:sz="4" w:space="0" w:color="auto"/>
        </w:pBdr>
        <w:shd w:val="clear" w:color="auto" w:fill="auto"/>
        <w:bidi w:val="0"/>
        <w:spacing w:before="0" w:after="0" w:line="463" w:lineRule="exact"/>
        <w:ind w:left="0" w:right="0" w:firstLine="820"/>
        <w:jc w:val="both"/>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 的被投资单位实施控制的,按上述原则确认的长期股权投资的初始投资成本与达到合并前的长期股权投资账面价值加上合并 日进一步取得股份新支付对价的账面价值之和的差额，调整股本溢价，股本溢价不足冲减的，冲减留存收益。</w:t>
      </w:r>
    </w:p>
    <w:p>
      <w:pPr>
        <w:pStyle w:val="Style41"/>
        <w:keepNext w:val="0"/>
        <w:keepLines w:val="0"/>
        <w:widowControl w:val="0"/>
        <w:shd w:val="clear" w:color="auto" w:fill="auto"/>
        <w:bidi w:val="0"/>
        <w:spacing w:before="0" w:after="0" w:line="463" w:lineRule="exact"/>
        <w:ind w:left="0" w:right="0"/>
        <w:jc w:val="both"/>
      </w:pPr>
      <w:r>
        <w:rPr>
          <w:color w:val="000000"/>
          <w:spacing w:val="0"/>
          <w:w w:val="100"/>
          <w:position w:val="0"/>
        </w:rPr>
        <w:t>对于非同一控制下的企业合并形成的对子公司的长期股权投资，按照购买日确定的合并成本作为长期股权投资的初始投 资成本。因追加投资等原因能够对非同一控制下的被投资单位实施控制的，按照原持有的股权投资账面价值加上新增投资成 本之和作为初始投资成本。</w:t>
      </w:r>
    </w:p>
    <w:p>
      <w:pPr>
        <w:pStyle w:val="Style41"/>
        <w:keepNext w:val="0"/>
        <w:keepLines w:val="0"/>
        <w:widowControl w:val="0"/>
        <w:shd w:val="clear" w:color="auto" w:fill="auto"/>
        <w:bidi w:val="0"/>
        <w:spacing w:before="0" w:after="0" w:line="463" w:lineRule="exact"/>
        <w:ind w:left="0" w:right="0"/>
        <w:jc w:val="both"/>
      </w:pPr>
      <w:bookmarkStart w:id="995" w:name="bookmark995"/>
      <w:r>
        <w:rPr>
          <w:rFonts w:ascii="Times New Roman" w:eastAsia="Times New Roman" w:hAnsi="Times New Roman" w:cs="Times New Roman"/>
          <w:color w:val="000000"/>
          <w:spacing w:val="0"/>
          <w:w w:val="100"/>
          <w:position w:val="0"/>
          <w:sz w:val="18"/>
          <w:szCs w:val="18"/>
        </w:rPr>
        <w:t>2</w:t>
      </w:r>
      <w:bookmarkEnd w:id="995"/>
      <w:r>
        <w:rPr>
          <w:color w:val="000000"/>
          <w:spacing w:val="0"/>
          <w:w w:val="100"/>
          <w:position w:val="0"/>
        </w:rPr>
        <w:t>）通过企业合并以外的其他方式取得的长期股权投资</w:t>
      </w:r>
    </w:p>
    <w:p>
      <w:pPr>
        <w:pStyle w:val="Style41"/>
        <w:keepNext w:val="0"/>
        <w:keepLines w:val="0"/>
        <w:widowControl w:val="0"/>
        <w:shd w:val="clear" w:color="auto" w:fill="auto"/>
        <w:bidi w:val="0"/>
        <w:spacing w:before="0" w:after="260" w:line="469" w:lineRule="exact"/>
        <w:ind w:left="0" w:right="0"/>
        <w:jc w:val="left"/>
      </w:pPr>
      <w:r>
        <w:rPr>
          <w:color w:val="000000"/>
          <w:spacing w:val="0"/>
          <w:w w:val="100"/>
          <w:position w:val="0"/>
        </w:rPr>
        <w:t>以支付现金方式取得的长期股权投资，按照实际支付的购买价款作为初始投资成本。</w:t>
      </w:r>
    </w:p>
    <w:p>
      <w:pPr>
        <w:pStyle w:val="Style41"/>
        <w:keepNext w:val="0"/>
        <w:keepLines w:val="0"/>
        <w:widowControl w:val="0"/>
        <w:shd w:val="clear" w:color="auto" w:fill="auto"/>
        <w:bidi w:val="0"/>
        <w:spacing w:before="0" w:after="180" w:line="240" w:lineRule="auto"/>
        <w:ind w:left="0" w:right="0"/>
        <w:jc w:val="left"/>
      </w:pPr>
      <w:r>
        <w:rPr>
          <w:color w:val="000000"/>
          <w:spacing w:val="0"/>
          <w:w w:val="100"/>
          <w:position w:val="0"/>
        </w:rPr>
        <w:t>以发行权益性证券取得的长期股权投资，按照发行权益性证券的公允价值作为初始投资成本。</w:t>
      </w:r>
    </w:p>
    <w:p>
      <w:pPr>
        <w:pStyle w:val="Style41"/>
        <w:keepNext w:val="0"/>
        <w:keepLines w:val="0"/>
        <w:widowControl w:val="0"/>
        <w:shd w:val="clear" w:color="auto" w:fill="auto"/>
        <w:bidi w:val="0"/>
        <w:spacing w:before="0" w:after="0" w:line="240" w:lineRule="auto"/>
        <w:ind w:left="0" w:right="0" w:firstLine="0"/>
        <w:jc w:val="left"/>
      </w:pPr>
      <w:bookmarkStart w:id="996" w:name="bookmark996"/>
      <w:r>
        <w:rPr>
          <w:b/>
          <w:bCs/>
          <w:color w:val="000000"/>
          <w:spacing w:val="0"/>
          <w:w w:val="100"/>
          <w:position w:val="0"/>
        </w:rPr>
        <w:t>（</w:t>
      </w:r>
      <w:bookmarkEnd w:id="996"/>
      <w:r>
        <w:rPr>
          <w:rFonts w:ascii="Times New Roman" w:eastAsia="Times New Roman" w:hAnsi="Times New Roman" w:cs="Times New Roman"/>
          <w:b/>
          <w:bCs/>
          <w:color w:val="000000"/>
          <w:spacing w:val="0"/>
          <w:w w:val="100"/>
          <w:position w:val="0"/>
          <w:sz w:val="18"/>
          <w:szCs w:val="18"/>
        </w:rPr>
        <w:t>3</w:t>
      </w:r>
      <w:r>
        <w:rPr>
          <w:b/>
          <w:bCs/>
          <w:color w:val="000000"/>
          <w:spacing w:val="0"/>
          <w:w w:val="100"/>
          <w:position w:val="0"/>
        </w:rPr>
        <w:t>）后续计量及损益确认方法</w:t>
      </w:r>
    </w:p>
    <w:p>
      <w:pPr>
        <w:pStyle w:val="Style41"/>
        <w:keepNext w:val="0"/>
        <w:keepLines w:val="0"/>
        <w:widowControl w:val="0"/>
        <w:shd w:val="clear" w:color="auto" w:fill="auto"/>
        <w:tabs>
          <w:tab w:pos="710" w:val="left"/>
        </w:tabs>
        <w:bidi w:val="0"/>
        <w:spacing w:before="0" w:after="0" w:line="469" w:lineRule="exact"/>
        <w:ind w:left="0" w:right="0"/>
        <w:jc w:val="both"/>
      </w:pPr>
      <w:bookmarkStart w:id="997" w:name="bookmark997"/>
      <w:r>
        <w:rPr>
          <w:rFonts w:ascii="Times New Roman" w:eastAsia="Times New Roman" w:hAnsi="Times New Roman" w:cs="Times New Roman"/>
          <w:color w:val="000000"/>
          <w:spacing w:val="0"/>
          <w:w w:val="100"/>
          <w:position w:val="0"/>
          <w:sz w:val="18"/>
          <w:szCs w:val="18"/>
        </w:rPr>
        <w:t>1</w:t>
      </w:r>
      <w:bookmarkEnd w:id="997"/>
      <w:r>
        <w:rPr>
          <w:color w:val="000000"/>
          <w:spacing w:val="0"/>
          <w:w w:val="100"/>
          <w:position w:val="0"/>
        </w:rPr>
        <w:t>）</w:t>
        <w:tab/>
        <w:t>成本法核算的长期股权投资</w:t>
      </w:r>
    </w:p>
    <w:p>
      <w:pPr>
        <w:pStyle w:val="Style41"/>
        <w:keepNext w:val="0"/>
        <w:keepLines w:val="0"/>
        <w:widowControl w:val="0"/>
        <w:shd w:val="clear" w:color="auto" w:fill="auto"/>
        <w:bidi w:val="0"/>
        <w:spacing w:before="0" w:after="0" w:line="469" w:lineRule="exact"/>
        <w:ind w:left="0" w:right="0"/>
        <w:jc w:val="both"/>
      </w:pPr>
      <w:r>
        <w:rPr>
          <w:color w:val="000000"/>
          <w:spacing w:val="0"/>
          <w:w w:val="100"/>
          <w:position w:val="0"/>
        </w:rPr>
        <w:t>公司对子公司的长期股权投资，采用成本法核算，除非投资符合持有待售的条件。除取得投资时实际支付的价款或对价 中包含的已宣告但尚未发放的现金股利或利润外，公司按照享有被投资单位宣告发放的现金股利或利润确认当期投资收益。</w:t>
      </w:r>
    </w:p>
    <w:p>
      <w:pPr>
        <w:pStyle w:val="Style41"/>
        <w:keepNext w:val="0"/>
        <w:keepLines w:val="0"/>
        <w:widowControl w:val="0"/>
        <w:shd w:val="clear" w:color="auto" w:fill="auto"/>
        <w:tabs>
          <w:tab w:pos="729" w:val="left"/>
        </w:tabs>
        <w:bidi w:val="0"/>
        <w:spacing w:before="0" w:after="0" w:line="469" w:lineRule="exact"/>
        <w:ind w:left="0" w:right="0"/>
        <w:jc w:val="both"/>
      </w:pPr>
      <w:bookmarkStart w:id="998" w:name="bookmark998"/>
      <w:r>
        <w:rPr>
          <w:rFonts w:ascii="Times New Roman" w:eastAsia="Times New Roman" w:hAnsi="Times New Roman" w:cs="Times New Roman"/>
          <w:color w:val="000000"/>
          <w:spacing w:val="0"/>
          <w:w w:val="100"/>
          <w:position w:val="0"/>
          <w:sz w:val="18"/>
          <w:szCs w:val="18"/>
        </w:rPr>
        <w:t>2</w:t>
      </w:r>
      <w:bookmarkEnd w:id="998"/>
      <w:r>
        <w:rPr>
          <w:color w:val="000000"/>
          <w:spacing w:val="0"/>
          <w:w w:val="100"/>
          <w:position w:val="0"/>
        </w:rPr>
        <w:t>）</w:t>
        <w:tab/>
        <w:t>权益法核算的长期股权投资</w:t>
      </w:r>
    </w:p>
    <w:p>
      <w:pPr>
        <w:pStyle w:val="Style41"/>
        <w:keepNext w:val="0"/>
        <w:keepLines w:val="0"/>
        <w:widowControl w:val="0"/>
        <w:shd w:val="clear" w:color="auto" w:fill="auto"/>
        <w:bidi w:val="0"/>
        <w:spacing w:before="0" w:after="0" w:line="469" w:lineRule="exact"/>
        <w:ind w:left="0" w:right="0"/>
        <w:jc w:val="both"/>
      </w:pPr>
      <w:r>
        <w:rPr>
          <w:color w:val="000000"/>
          <w:spacing w:val="0"/>
          <w:w w:val="100"/>
          <w:position w:val="0"/>
        </w:rPr>
        <w:t>对联营企业和合营企业的长期股权投资，采用权益法核算。初始投资成本大于投资时应享有被投资单位可辨认净资产公 允价值份额的差额，不调整长期股权投资的初始投资成本；初始投资成本小于投资时应享有被投资单位可辨认净资产公允价 值份额的差额，计入当期损益，同时调整长期股权投资的成本。</w:t>
      </w:r>
    </w:p>
    <w:p>
      <w:pPr>
        <w:pStyle w:val="Style41"/>
        <w:keepNext w:val="0"/>
        <w:keepLines w:val="0"/>
        <w:widowControl w:val="0"/>
        <w:shd w:val="clear" w:color="auto" w:fill="auto"/>
        <w:bidi w:val="0"/>
        <w:spacing w:before="0" w:after="0" w:line="469" w:lineRule="exact"/>
        <w:ind w:left="0" w:right="0"/>
        <w:jc w:val="both"/>
      </w:pPr>
      <w:r>
        <w:rPr>
          <w:color w:val="000000"/>
          <w:spacing w:val="0"/>
          <w:w w:val="100"/>
          <w:position w:val="0"/>
        </w:rPr>
        <w:t>公司按照应享有或应分担的被投资单位实现的净损益和其他综合收益的份额，分别确认投资收益和其他综合收益，同时 调整长期股权投资的账面价值；按照被投资单位宣告分派的利润或现金股利计算应享有的部分，相应减少长期股权投资的账 面价值；对于被投资单位除净损益、其他综合收益和利润分配以外所有者权益的其他变动（简称</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其他所有者权益变动</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 调整长期股权投资的账面价值并计入所有者权益。</w:t>
      </w:r>
    </w:p>
    <w:p>
      <w:pPr>
        <w:pStyle w:val="Style41"/>
        <w:keepNext w:val="0"/>
        <w:keepLines w:val="0"/>
        <w:widowControl w:val="0"/>
        <w:shd w:val="clear" w:color="auto" w:fill="auto"/>
        <w:bidi w:val="0"/>
        <w:spacing w:before="0" w:after="0" w:line="469" w:lineRule="exact"/>
        <w:ind w:left="0" w:right="0"/>
        <w:jc w:val="both"/>
      </w:pPr>
      <w:r>
        <w:rPr>
          <w:color w:val="000000"/>
          <w:spacing w:val="0"/>
          <w:w w:val="100"/>
          <w:position w:val="0"/>
        </w:rPr>
        <w:t>在确认应享有被投资单位净损益、其他综合收益及其他所有者权益变动的份额时，以取得投资时被投资单位可辨认净资 产的公允价值为基础，并按照公司的会计政策及会计期间，对被投资单位的净利润和其他综合收益等进行调整后确认。</w:t>
      </w:r>
    </w:p>
    <w:p>
      <w:pPr>
        <w:pStyle w:val="Style41"/>
        <w:keepNext w:val="0"/>
        <w:keepLines w:val="0"/>
        <w:widowControl w:val="0"/>
        <w:shd w:val="clear" w:color="auto" w:fill="auto"/>
        <w:bidi w:val="0"/>
        <w:spacing w:before="0" w:after="0" w:line="469" w:lineRule="exact"/>
        <w:ind w:left="0" w:right="0"/>
        <w:jc w:val="both"/>
      </w:pPr>
      <w:r>
        <w:rPr>
          <w:color w:val="000000"/>
          <w:spacing w:val="0"/>
          <w:w w:val="100"/>
          <w:position w:val="0"/>
        </w:rPr>
        <w:t>公司与联营企业、合营企业之间发生的未实现内部交易损益按照应享有的比例计算归属于公司的部分，予以抵销，在此 基础上确认投资收益，但投出或出售的资产构成业务的除外。与被投资单位发生的未实现内部交易损失，属于资产减值损失 的，全额确认。</w:t>
      </w:r>
    </w:p>
    <w:p>
      <w:pPr>
        <w:pStyle w:val="Style41"/>
        <w:keepNext w:val="0"/>
        <w:keepLines w:val="0"/>
        <w:widowControl w:val="0"/>
        <w:shd w:val="clear" w:color="auto" w:fill="auto"/>
        <w:bidi w:val="0"/>
        <w:spacing w:before="0" w:after="0" w:line="469" w:lineRule="exact"/>
        <w:ind w:left="0" w:right="0"/>
        <w:jc w:val="both"/>
      </w:pPr>
      <w:r>
        <w:rPr>
          <w:color w:val="000000"/>
          <w:spacing w:val="0"/>
          <w:w w:val="100"/>
          <w:position w:val="0"/>
        </w:rPr>
        <w:t>公司对合营企业或联营企业发生的净亏损，除负有承担额外损失义务外，以长期股权投资的账面价值以及其他实质上构 成对合营企业或联营企业净投资的长期权益减记至零为限。合营企业或联营企业以后实现净利润的，公司在收益分享额弥补 未确认的亏损分担额后，恢复确认收益分享额。</w:t>
      </w:r>
    </w:p>
    <w:p>
      <w:pPr>
        <w:pStyle w:val="Style41"/>
        <w:keepNext w:val="0"/>
        <w:keepLines w:val="0"/>
        <w:widowControl w:val="0"/>
        <w:shd w:val="clear" w:color="auto" w:fill="auto"/>
        <w:tabs>
          <w:tab w:pos="729" w:val="left"/>
        </w:tabs>
        <w:bidi w:val="0"/>
        <w:spacing w:before="0" w:after="0" w:line="469" w:lineRule="exact"/>
        <w:ind w:left="0" w:right="0"/>
        <w:jc w:val="both"/>
      </w:pPr>
      <w:bookmarkStart w:id="999" w:name="bookmark999"/>
      <w:r>
        <w:rPr>
          <w:rFonts w:ascii="Times New Roman" w:eastAsia="Times New Roman" w:hAnsi="Times New Roman" w:cs="Times New Roman"/>
          <w:color w:val="000000"/>
          <w:spacing w:val="0"/>
          <w:w w:val="100"/>
          <w:position w:val="0"/>
          <w:sz w:val="18"/>
          <w:szCs w:val="18"/>
        </w:rPr>
        <w:t>3</w:t>
      </w:r>
      <w:bookmarkEnd w:id="999"/>
      <w:r>
        <w:rPr>
          <w:color w:val="000000"/>
          <w:spacing w:val="0"/>
          <w:w w:val="100"/>
          <w:position w:val="0"/>
        </w:rPr>
        <w:t>）</w:t>
        <w:tab/>
        <w:t>长期股权投资的处置</w:t>
      </w:r>
    </w:p>
    <w:p>
      <w:pPr>
        <w:pStyle w:val="Style41"/>
        <w:keepNext w:val="0"/>
        <w:keepLines w:val="0"/>
        <w:widowControl w:val="0"/>
        <w:shd w:val="clear" w:color="auto" w:fill="auto"/>
        <w:bidi w:val="0"/>
        <w:spacing w:before="0" w:after="80" w:line="469" w:lineRule="exact"/>
        <w:ind w:left="0" w:right="0"/>
        <w:jc w:val="left"/>
      </w:pPr>
      <w:r>
        <w:rPr>
          <w:color w:val="000000"/>
          <w:spacing w:val="0"/>
          <w:w w:val="100"/>
          <w:position w:val="0"/>
        </w:rPr>
        <w:t>处置长期股权投资，其账面价值与实际取得价款的差额，计入当期损益。</w:t>
      </w:r>
    </w:p>
    <w:p>
      <w:pPr>
        <w:pStyle w:val="Style212"/>
        <w:keepNext w:val="0"/>
        <w:keepLines w:val="0"/>
        <w:widowControl w:val="0"/>
        <w:shd w:val="clear" w:color="auto" w:fill="auto"/>
        <w:bidi w:val="0"/>
        <w:spacing w:before="0" w:after="0" w:line="240" w:lineRule="auto"/>
        <w:ind w:left="0" w:right="0" w:firstLine="0"/>
        <w:jc w:val="left"/>
      </w:pPr>
      <w:r>
        <w:rPr>
          <w:spacing w:val="0"/>
          <w:w w:val="100"/>
          <w:position w:val="0"/>
        </w:rPr>
        <w:t>Ultrapoiuer</w:t>
      </w:r>
    </w:p>
    <w:p>
      <w:pPr>
        <w:pStyle w:val="Style41"/>
        <w:keepNext w:val="0"/>
        <w:keepLines w:val="0"/>
        <w:widowControl w:val="0"/>
        <w:shd w:val="clear" w:color="auto" w:fill="auto"/>
        <w:bidi w:val="0"/>
        <w:spacing w:before="0" w:after="0" w:line="466" w:lineRule="exact"/>
        <w:ind w:left="0" w:right="0" w:firstLine="820"/>
        <w:jc w:val="both"/>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 部分处置权益法核算的长期股权投资，剩余股权仍采用权益法核算的，原权益法核算确认的其他综合收益采用与被投资 单位直接处置相关资产或负债相同的基础按相应比例结转，其他所有者权益变动按比例结转入当期损益。</w:t>
      </w:r>
    </w:p>
    <w:p>
      <w:pPr>
        <w:pStyle w:val="Style41"/>
        <w:keepNext w:val="0"/>
        <w:keepLines w:val="0"/>
        <w:widowControl w:val="0"/>
        <w:shd w:val="clear" w:color="auto" w:fill="auto"/>
        <w:bidi w:val="0"/>
        <w:spacing w:before="0" w:after="0" w:line="466" w:lineRule="exact"/>
        <w:ind w:left="0" w:right="0"/>
        <w:jc w:val="left"/>
      </w:pPr>
      <w:r>
        <w:rPr>
          <w:color w:val="000000"/>
          <w:spacing w:val="0"/>
          <w:w w:val="100"/>
          <w:position w:val="0"/>
        </w:rPr>
        <w:t>因处置股权投资等原因丧失了对被投资单位的共同控制或重大影响的，原股权投资因采用权益法核算而确认的其他综合 收益，在终止采用权益法核算时采用与被投资单位直接处置相关资产或负债相同的基础进行会计处理，其他所有者权益变动 在终止采用权益法核算时全部转入当期损益。</w:t>
      </w:r>
    </w:p>
    <w:p>
      <w:pPr>
        <w:pStyle w:val="Style41"/>
        <w:keepNext w:val="0"/>
        <w:keepLines w:val="0"/>
        <w:widowControl w:val="0"/>
        <w:shd w:val="clear" w:color="auto" w:fill="auto"/>
        <w:bidi w:val="0"/>
        <w:spacing w:before="0" w:after="0" w:line="466" w:lineRule="exact"/>
        <w:ind w:left="0" w:right="0"/>
        <w:jc w:val="left"/>
      </w:pPr>
      <w:r>
        <w:rPr>
          <w:color w:val="000000"/>
          <w:spacing w:val="0"/>
          <w:w w:val="100"/>
          <w:position w:val="0"/>
        </w:rPr>
        <w:t>因处置部分股权投资等原因丧失了对被投资单位控制权的，在编制个别财务报表时，剩余股权能够对被投资单位实施共 同控制或重大影响的，改按权益法核算，并对该剩余股权视同自取得时即采用权益法核算进行调整，对于取得被投资单位控 制权之前确认的其他综合收益采用与被投资单位直接处置相关资产或负债相同的基础按比例结转，因采用权益法核算确认的 其他所有者权益变动按比例结转入当期损益;剩余股权不能对被投资单位实施共同控制或施加重大影响的，确认为金融资产， 其在丧失控制之日的公允价值与账面价值间的差额计入当期损益，对于取得被投资单位控制权之前确认的其他综合收益和其 他所有者权益变动全部结转。</w:t>
      </w:r>
    </w:p>
    <w:p>
      <w:pPr>
        <w:pStyle w:val="Style41"/>
        <w:keepNext w:val="0"/>
        <w:keepLines w:val="0"/>
        <w:widowControl w:val="0"/>
        <w:shd w:val="clear" w:color="auto" w:fill="auto"/>
        <w:bidi w:val="0"/>
        <w:spacing w:before="0" w:after="460" w:line="466" w:lineRule="exact"/>
        <w:ind w:left="0" w:right="0"/>
        <w:jc w:val="left"/>
      </w:pPr>
      <w:r>
        <w:rPr>
          <w:color w:val="000000"/>
          <w:spacing w:val="0"/>
          <w:w w:val="100"/>
          <w:position w:val="0"/>
        </w:rPr>
        <w:t>通过多次交易分步处置对子公司股权投资直至丧失控制权，属于一揽子交易的，各项交易作为一项处置子公司股权投资 并丧失控制权的交易进行会计处理;在丧失控制权之前每一次处置价款与所处置的股权对应得长期股权投资账面价值之间的 差额，在个别财务报表中，先确认为其他综合收益，到丧失控制权时再一并转人丧失控制权的当期损益。不属于一揽子交易 的，对每一项交易分别进行会计处理。</w:t>
      </w:r>
    </w:p>
    <w:p>
      <w:pPr>
        <w:pStyle w:val="Style47"/>
        <w:keepNext/>
        <w:keepLines/>
        <w:widowControl w:val="0"/>
        <w:shd w:val="clear" w:color="auto" w:fill="auto"/>
        <w:bidi w:val="0"/>
        <w:spacing w:before="0" w:after="220" w:line="240" w:lineRule="auto"/>
        <w:ind w:left="0" w:right="0" w:firstLine="0"/>
        <w:jc w:val="left"/>
      </w:pPr>
      <w:bookmarkStart w:id="1000" w:name="bookmark1000"/>
      <w:bookmarkStart w:id="1001" w:name="bookmark1001"/>
      <w:bookmarkStart w:id="1002" w:name="bookmark1002"/>
      <w:bookmarkStart w:id="1003" w:name="bookmark1003"/>
      <w:r>
        <w:rPr>
          <w:color w:val="000000"/>
          <w:spacing w:val="0"/>
          <w:w w:val="100"/>
          <w:position w:val="0"/>
        </w:rPr>
        <w:t>2</w:t>
      </w:r>
      <w:bookmarkEnd w:id="1002"/>
      <w:r>
        <w:rPr>
          <w:color w:val="000000"/>
          <w:spacing w:val="0"/>
          <w:w w:val="100"/>
          <w:position w:val="0"/>
        </w:rPr>
        <w:t>3、投资性房地产</w:t>
      </w:r>
      <w:bookmarkEnd w:id="1000"/>
      <w:bookmarkEnd w:id="1001"/>
      <w:bookmarkEnd w:id="1003"/>
    </w:p>
    <w:p>
      <w:pPr>
        <w:pStyle w:val="Style41"/>
        <w:keepNext w:val="0"/>
        <w:keepLines w:val="0"/>
        <w:widowControl w:val="0"/>
        <w:shd w:val="clear" w:color="auto" w:fill="auto"/>
        <w:bidi w:val="0"/>
        <w:spacing w:before="0" w:after="0" w:line="467" w:lineRule="exact"/>
        <w:ind w:left="0" w:right="0"/>
        <w:jc w:val="left"/>
      </w:pPr>
      <w:r>
        <w:rPr>
          <w:color w:val="000000"/>
          <w:spacing w:val="0"/>
          <w:w w:val="100"/>
          <w:position w:val="0"/>
        </w:rPr>
        <w:t>投资性房地产计量模式</w:t>
      </w:r>
    </w:p>
    <w:p>
      <w:pPr>
        <w:pStyle w:val="Style41"/>
        <w:keepNext w:val="0"/>
        <w:keepLines w:val="0"/>
        <w:widowControl w:val="0"/>
        <w:shd w:val="clear" w:color="auto" w:fill="auto"/>
        <w:bidi w:val="0"/>
        <w:spacing w:before="0" w:after="0" w:line="467" w:lineRule="exact"/>
        <w:ind w:left="0" w:right="0"/>
        <w:jc w:val="left"/>
      </w:pPr>
      <w:r>
        <w:rPr>
          <w:color w:val="000000"/>
          <w:spacing w:val="0"/>
          <w:w w:val="100"/>
          <w:position w:val="0"/>
        </w:rPr>
        <w:t>成本法计量</w:t>
      </w:r>
    </w:p>
    <w:p>
      <w:pPr>
        <w:pStyle w:val="Style41"/>
        <w:keepNext w:val="0"/>
        <w:keepLines w:val="0"/>
        <w:widowControl w:val="0"/>
        <w:shd w:val="clear" w:color="auto" w:fill="auto"/>
        <w:bidi w:val="0"/>
        <w:spacing w:before="0" w:after="0" w:line="467" w:lineRule="exact"/>
        <w:ind w:left="0" w:right="0"/>
        <w:jc w:val="both"/>
      </w:pPr>
      <w:r>
        <w:rPr>
          <w:color w:val="000000"/>
          <w:spacing w:val="0"/>
          <w:w w:val="100"/>
          <w:position w:val="0"/>
        </w:rPr>
        <w:t>折旧或摊销方法</w:t>
      </w:r>
    </w:p>
    <w:p>
      <w:pPr>
        <w:pStyle w:val="Style41"/>
        <w:keepNext w:val="0"/>
        <w:keepLines w:val="0"/>
        <w:widowControl w:val="0"/>
        <w:shd w:val="clear" w:color="auto" w:fill="auto"/>
        <w:bidi w:val="0"/>
        <w:spacing w:before="0" w:after="0" w:line="467" w:lineRule="exact"/>
        <w:ind w:left="0" w:right="0"/>
        <w:jc w:val="both"/>
      </w:pPr>
      <w:r>
        <w:rPr>
          <w:color w:val="000000"/>
          <w:spacing w:val="0"/>
          <w:w w:val="100"/>
          <w:position w:val="0"/>
        </w:rPr>
        <w:t>投资性房地产是指为赚取租金或资本增值，或两者兼有而持有的房地产，包括已出租的土地使用权、持有并准备增值后 转让的土地使用权、已出租的建筑物（含自行建造或开发活动完成后用于出租的建筑物以及正在建造或开发过程中将来用于 出租的建筑物）。</w:t>
      </w:r>
    </w:p>
    <w:p>
      <w:pPr>
        <w:pStyle w:val="Style41"/>
        <w:keepNext w:val="0"/>
        <w:keepLines w:val="0"/>
        <w:widowControl w:val="0"/>
        <w:shd w:val="clear" w:color="auto" w:fill="auto"/>
        <w:bidi w:val="0"/>
        <w:spacing w:before="0" w:after="0" w:line="467" w:lineRule="exact"/>
        <w:ind w:left="0" w:right="0"/>
        <w:jc w:val="both"/>
      </w:pPr>
      <w:r>
        <w:rPr>
          <w:color w:val="000000"/>
          <w:spacing w:val="0"/>
          <w:w w:val="100"/>
          <w:position w:val="0"/>
        </w:rPr>
        <w:t>与投资性房地产有关的后续支出，在相关的经济利益很可能流入且其成本能够可靠的计量时，计入投资性房地产成本； 否则，于发生时计入当期损益。</w:t>
      </w:r>
    </w:p>
    <w:p>
      <w:pPr>
        <w:pStyle w:val="Style41"/>
        <w:keepNext w:val="0"/>
        <w:keepLines w:val="0"/>
        <w:widowControl w:val="0"/>
        <w:shd w:val="clear" w:color="auto" w:fill="auto"/>
        <w:bidi w:val="0"/>
        <w:spacing w:before="0" w:after="0" w:line="467" w:lineRule="exact"/>
        <w:ind w:left="0" w:right="0"/>
        <w:jc w:val="both"/>
        <w:sectPr>
          <w:footnotePr>
            <w:pos w:val="pageBottom"/>
            <w:numFmt w:val="decimal"/>
            <w:numRestart w:val="continuous"/>
          </w:footnotePr>
          <w:pgSz w:w="11904" w:h="17375"/>
          <w:pgMar w:top="1070" w:right="1038" w:bottom="1624" w:left="1089" w:header="642" w:footer="3" w:gutter="0"/>
          <w:cols w:space="720"/>
          <w:noEndnote/>
          <w:rtlGutter w:val="0"/>
          <w:docGrid w:linePitch="360"/>
        </w:sectPr>
      </w:pPr>
      <w:r>
        <w:rPr>
          <w:color w:val="000000"/>
          <w:spacing w:val="0"/>
          <w:w w:val="100"/>
          <w:position w:val="0"/>
        </w:rPr>
        <w:t>本公司对现有投资性房地产采用成本模式计量。对按照成本模式计量的投资性房地产一出租用建筑物采用与本公司固定 资产相同的折旧政策，出租用土地使用权按与无形资产相同的摊销政策执行。</w:t>
      </w:r>
    </w:p>
    <w:p>
      <w:pPr>
        <w:pStyle w:val="Style47"/>
        <w:keepNext/>
        <w:keepLines/>
        <w:widowControl w:val="0"/>
        <w:shd w:val="clear" w:color="auto" w:fill="auto"/>
        <w:bidi w:val="0"/>
        <w:spacing w:before="0" w:after="380" w:line="240" w:lineRule="auto"/>
        <w:ind w:left="0" w:right="0" w:firstLine="0"/>
        <w:jc w:val="left"/>
      </w:pPr>
      <w:bookmarkStart w:id="1004" w:name="bookmark1004"/>
      <w:bookmarkStart w:id="1005" w:name="bookmark1005"/>
      <w:bookmarkStart w:id="1006" w:name="bookmark1006"/>
      <w:bookmarkStart w:id="1007" w:name="bookmark1007"/>
      <w:r>
        <w:rPr>
          <w:color w:val="000000"/>
          <w:spacing w:val="0"/>
          <w:w w:val="100"/>
          <w:position w:val="0"/>
        </w:rPr>
        <w:t>2</w:t>
      </w:r>
      <w:bookmarkEnd w:id="1006"/>
      <w:r>
        <w:rPr>
          <w:color w:val="000000"/>
          <w:spacing w:val="0"/>
          <w:w w:val="100"/>
          <w:position w:val="0"/>
        </w:rPr>
        <w:t>4、固定资产</w:t>
      </w:r>
      <w:bookmarkEnd w:id="1004"/>
      <w:bookmarkEnd w:id="1005"/>
      <w:bookmarkEnd w:id="1007"/>
    </w:p>
    <w:p>
      <w:pPr>
        <w:pStyle w:val="Style58"/>
        <w:keepNext/>
        <w:keepLines/>
        <w:widowControl w:val="0"/>
        <w:shd w:val="clear" w:color="auto" w:fill="auto"/>
        <w:tabs>
          <w:tab w:pos="493" w:val="left"/>
        </w:tabs>
        <w:bidi w:val="0"/>
        <w:spacing w:before="0" w:after="220" w:line="240" w:lineRule="auto"/>
        <w:ind w:left="0" w:right="0" w:firstLine="0"/>
        <w:jc w:val="left"/>
        <w:rPr>
          <w:sz w:val="20"/>
          <w:szCs w:val="20"/>
        </w:rPr>
      </w:pPr>
      <w:bookmarkStart w:id="1008" w:name="bookmark1008"/>
      <w:bookmarkStart w:id="1009" w:name="bookmark1009"/>
      <w:bookmarkStart w:id="1010" w:name="bookmark1010"/>
      <w:bookmarkStart w:id="1011" w:name="bookmark1011"/>
      <w:r>
        <w:rPr>
          <w:b/>
          <w:bCs/>
          <w:color w:val="000000"/>
          <w:spacing w:val="0"/>
          <w:w w:val="100"/>
          <w:position w:val="0"/>
          <w:sz w:val="20"/>
          <w:szCs w:val="20"/>
        </w:rPr>
        <w:t>（</w:t>
      </w:r>
      <w:bookmarkEnd w:id="1010"/>
      <w:r>
        <w:rPr>
          <w:b/>
          <w:bCs/>
          <w:color w:val="000000"/>
          <w:spacing w:val="0"/>
          <w:w w:val="100"/>
          <w:position w:val="0"/>
          <w:sz w:val="20"/>
          <w:szCs w:val="20"/>
        </w:rPr>
        <w:t>1）</w:t>
        <w:tab/>
        <w:t>确认条件</w:t>
      </w:r>
      <w:bookmarkEnd w:id="1008"/>
      <w:bookmarkEnd w:id="1009"/>
      <w:bookmarkEnd w:id="1011"/>
    </w:p>
    <w:p>
      <w:pPr>
        <w:pStyle w:val="Style41"/>
        <w:keepNext w:val="0"/>
        <w:keepLines w:val="0"/>
        <w:widowControl w:val="0"/>
        <w:shd w:val="clear" w:color="auto" w:fill="auto"/>
        <w:bidi w:val="0"/>
        <w:spacing w:before="0" w:after="0" w:line="470" w:lineRule="exact"/>
        <w:ind w:left="0" w:right="0"/>
        <w:jc w:val="both"/>
      </w:pPr>
      <w:r>
        <w:rPr>
          <w:color w:val="000000"/>
          <w:spacing w:val="0"/>
          <w:w w:val="100"/>
          <w:position w:val="0"/>
        </w:rPr>
        <w:t>固定资产指为生产商品、提供劳务、出租或经营管理而持有，并且使用寿命超过一个会计年度的有形资产。固定资产在 同时满足下列条件时予以确认：</w:t>
      </w:r>
    </w:p>
    <w:p>
      <w:pPr>
        <w:pStyle w:val="Style41"/>
        <w:keepNext w:val="0"/>
        <w:keepLines w:val="0"/>
        <w:widowControl w:val="0"/>
        <w:shd w:val="clear" w:color="auto" w:fill="auto"/>
        <w:tabs>
          <w:tab w:pos="729" w:val="left"/>
        </w:tabs>
        <w:bidi w:val="0"/>
        <w:spacing w:before="0" w:after="0" w:line="470" w:lineRule="exact"/>
        <w:ind w:left="0" w:right="0"/>
        <w:jc w:val="both"/>
      </w:pPr>
      <w:bookmarkStart w:id="1012" w:name="bookmark1012"/>
      <w:r>
        <w:rPr>
          <w:rFonts w:ascii="Times New Roman" w:eastAsia="Times New Roman" w:hAnsi="Times New Roman" w:cs="Times New Roman"/>
          <w:color w:val="000000"/>
          <w:spacing w:val="0"/>
          <w:w w:val="100"/>
          <w:position w:val="0"/>
          <w:sz w:val="18"/>
          <w:szCs w:val="18"/>
        </w:rPr>
        <w:t>1</w:t>
      </w:r>
      <w:bookmarkEnd w:id="1012"/>
      <w:r>
        <w:rPr>
          <w:color w:val="000000"/>
          <w:spacing w:val="0"/>
          <w:w w:val="100"/>
          <w:position w:val="0"/>
        </w:rPr>
        <w:t>）</w:t>
        <w:tab/>
        <w:t>与该固定资产有关的经济利益很可能流入企业；</w:t>
      </w:r>
    </w:p>
    <w:p>
      <w:pPr>
        <w:pStyle w:val="Style41"/>
        <w:keepNext w:val="0"/>
        <w:keepLines w:val="0"/>
        <w:widowControl w:val="0"/>
        <w:shd w:val="clear" w:color="auto" w:fill="auto"/>
        <w:tabs>
          <w:tab w:pos="748" w:val="left"/>
        </w:tabs>
        <w:bidi w:val="0"/>
        <w:spacing w:before="0" w:after="0" w:line="470" w:lineRule="exact"/>
        <w:ind w:left="0" w:right="0"/>
        <w:jc w:val="both"/>
      </w:pPr>
      <w:bookmarkStart w:id="1013" w:name="bookmark1013"/>
      <w:r>
        <w:rPr>
          <w:rFonts w:ascii="Times New Roman" w:eastAsia="Times New Roman" w:hAnsi="Times New Roman" w:cs="Times New Roman"/>
          <w:color w:val="000000"/>
          <w:spacing w:val="0"/>
          <w:w w:val="100"/>
          <w:position w:val="0"/>
          <w:sz w:val="18"/>
          <w:szCs w:val="18"/>
        </w:rPr>
        <w:t>2</w:t>
      </w:r>
      <w:bookmarkEnd w:id="1013"/>
      <w:r>
        <w:rPr>
          <w:color w:val="000000"/>
          <w:spacing w:val="0"/>
          <w:w w:val="100"/>
          <w:position w:val="0"/>
        </w:rPr>
        <w:t>）</w:t>
        <w:tab/>
        <w:t>该固定资产的成本能够可靠地计量。</w:t>
      </w:r>
    </w:p>
    <w:p>
      <w:pPr>
        <w:pStyle w:val="Style41"/>
        <w:keepNext w:val="0"/>
        <w:keepLines w:val="0"/>
        <w:widowControl w:val="0"/>
        <w:shd w:val="clear" w:color="auto" w:fill="auto"/>
        <w:bidi w:val="0"/>
        <w:spacing w:before="0" w:after="0" w:line="470" w:lineRule="exact"/>
        <w:ind w:left="0" w:right="0"/>
        <w:jc w:val="left"/>
      </w:pPr>
      <w:r>
        <w:rPr>
          <w:color w:val="000000"/>
          <w:spacing w:val="0"/>
          <w:w w:val="100"/>
          <w:position w:val="0"/>
        </w:rPr>
        <w:t>固定资产按成本（并考虑预计弃置费用因素的影响）进行初始计量。</w:t>
      </w:r>
    </w:p>
    <w:p>
      <w:pPr>
        <w:pStyle w:val="Style41"/>
        <w:keepNext w:val="0"/>
        <w:keepLines w:val="0"/>
        <w:widowControl w:val="0"/>
        <w:shd w:val="clear" w:color="auto" w:fill="auto"/>
        <w:bidi w:val="0"/>
        <w:spacing w:before="0" w:after="460" w:line="470" w:lineRule="exact"/>
        <w:ind w:left="0" w:right="0"/>
        <w:jc w:val="left"/>
      </w:pPr>
      <w:r>
        <w:rPr>
          <w:color w:val="000000"/>
          <w:spacing w:val="0"/>
          <w:w w:val="100"/>
          <w:position w:val="0"/>
        </w:rPr>
        <w:t>与固定资产有关的后续支出，在与其有关的经济利益很可能流入且其成本能够可靠计量时，计入固定资产成本；对于被 替换的部分，终止确认其账面价值；所有其他后续支出于发生时计入当期损益。</w:t>
      </w:r>
    </w:p>
    <w:p>
      <w:pPr>
        <w:pStyle w:val="Style58"/>
        <w:keepNext/>
        <w:keepLines/>
        <w:widowControl w:val="0"/>
        <w:shd w:val="clear" w:color="auto" w:fill="auto"/>
        <w:tabs>
          <w:tab w:pos="493" w:val="left"/>
        </w:tabs>
        <w:bidi w:val="0"/>
        <w:spacing w:before="0" w:after="220" w:line="240" w:lineRule="auto"/>
        <w:ind w:left="0" w:right="0" w:firstLine="0"/>
        <w:jc w:val="left"/>
        <w:rPr>
          <w:sz w:val="20"/>
          <w:szCs w:val="20"/>
        </w:rPr>
      </w:pPr>
      <w:bookmarkStart w:id="1014" w:name="bookmark1014"/>
      <w:bookmarkStart w:id="1015" w:name="bookmark1015"/>
      <w:bookmarkStart w:id="1016" w:name="bookmark1016"/>
      <w:bookmarkStart w:id="1017" w:name="bookmark1017"/>
      <w:r>
        <w:rPr>
          <w:b/>
          <w:bCs/>
          <w:color w:val="000000"/>
          <w:spacing w:val="0"/>
          <w:w w:val="100"/>
          <w:position w:val="0"/>
          <w:sz w:val="20"/>
          <w:szCs w:val="20"/>
        </w:rPr>
        <w:t>（</w:t>
      </w:r>
      <w:bookmarkEnd w:id="1016"/>
      <w:r>
        <w:rPr>
          <w:b/>
          <w:bCs/>
          <w:color w:val="000000"/>
          <w:spacing w:val="0"/>
          <w:w w:val="100"/>
          <w:position w:val="0"/>
          <w:sz w:val="20"/>
          <w:szCs w:val="20"/>
        </w:rPr>
        <w:t>2）</w:t>
        <w:tab/>
        <w:t>折旧方法</w:t>
      </w:r>
      <w:bookmarkEnd w:id="1014"/>
      <w:bookmarkEnd w:id="1015"/>
      <w:bookmarkEnd w:id="1017"/>
    </w:p>
    <w:p>
      <w:pPr>
        <w:pStyle w:val="Style41"/>
        <w:keepNext w:val="0"/>
        <w:keepLines w:val="0"/>
        <w:widowControl w:val="0"/>
        <w:shd w:val="clear" w:color="auto" w:fill="auto"/>
        <w:bidi w:val="0"/>
        <w:spacing w:before="0" w:after="0" w:line="470" w:lineRule="exact"/>
        <w:ind w:left="0" w:right="0"/>
        <w:jc w:val="both"/>
      </w:pPr>
      <w:r>
        <w:rPr>
          <w:color w:val="000000"/>
          <w:spacing w:val="0"/>
          <w:w w:val="100"/>
          <w:position w:val="0"/>
        </w:rPr>
        <w:t>固定资产折旧采用年限平均法分类计提，根据固定资产类别、预计使用寿命和预计净残值率确定折旧率。对计提了减值 准备的固定资产，则在未来期间按扣除减值准备后的账面价值及依据尚可使用年限确定折旧额。如固定资产各组成部分的使 用寿命不同或者以不同方式为企业提供经济利益，则选择不同折旧率或折旧方法，分别计提折旧。</w:t>
      </w:r>
    </w:p>
    <w:p>
      <w:pPr>
        <w:pStyle w:val="Style41"/>
        <w:keepNext w:val="0"/>
        <w:keepLines w:val="0"/>
        <w:widowControl w:val="0"/>
        <w:shd w:val="clear" w:color="auto" w:fill="auto"/>
        <w:bidi w:val="0"/>
        <w:spacing w:before="0" w:after="280" w:line="470" w:lineRule="exact"/>
        <w:ind w:left="0" w:right="0"/>
        <w:jc w:val="both"/>
      </w:pPr>
      <w:r>
        <w:rPr>
          <w:color w:val="000000"/>
          <w:spacing w:val="0"/>
          <w:w w:val="100"/>
          <w:position w:val="0"/>
        </w:rPr>
        <w:t>融资租赁方式租入的固定资产采用与自有固定资产相一致的折旧政策。能合理确定租赁期届满时将会取得租赁资产所有 权的，在租赁资产尚可使用年限内计提折旧；无法合理确定租赁期届满时能够取得租赁资产所有权的，在租赁期与租赁资产 尚可使用年限两者中较短的期间内计提折旧。</w:t>
      </w:r>
    </w:p>
    <w:tbl>
      <w:tblPr>
        <w:tblOverlap w:val="never"/>
        <w:jc w:val="center"/>
        <w:tblLayout w:type="fixed"/>
      </w:tblPr>
      <w:tblGrid>
        <w:gridCol w:w="1920"/>
        <w:gridCol w:w="1915"/>
        <w:gridCol w:w="1915"/>
        <w:gridCol w:w="1910"/>
        <w:gridCol w:w="1925"/>
      </w:tblGrid>
      <w:tr>
        <w:trPr>
          <w:trHeight w:val="235" w:hRule="exact"/>
        </w:trPr>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各类固定资产折旧方法、</w:t>
            </w:r>
          </w:p>
        </w:tc>
        <w:tc>
          <w:tcPr>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折旧年限、残值率和年折</w:t>
            </w:r>
          </w:p>
        </w:tc>
        <w:tc>
          <w:tcPr>
            <w:gridSpan w:val="3"/>
            <w:tcBorders>
              <w:left w:val="single" w:sz="4"/>
            </w:tcBorders>
            <w:shd w:val="clear" w:color="auto" w:fill="FFFFFF"/>
            <w:vAlign w:val="top"/>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听旧率如下：</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780"/>
              <w:jc w:val="left"/>
            </w:pPr>
            <w:r>
              <w:rPr>
                <w:color w:val="000000"/>
                <w:spacing w:val="0"/>
                <w:w w:val="100"/>
                <w:position w:val="0"/>
              </w:rPr>
              <w:t>类别</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折旧方法</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折旧年限</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残值率</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年折旧率</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房屋及建筑物</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年限平均法</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50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1.9%</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办公及电子设备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年限平均法</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3-5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19%-31.67%</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运输设备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年限平均法</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19%</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固定资产装修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年限平均法</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20%</w:t>
            </w:r>
          </w:p>
        </w:tc>
      </w:tr>
      <w:tr>
        <w:trPr>
          <w:trHeight w:val="41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机器设备</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年限平均法</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5</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5%</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19%</w:t>
            </w:r>
          </w:p>
        </w:tc>
      </w:tr>
    </w:tbl>
    <w:p>
      <w:pPr>
        <w:widowControl w:val="0"/>
        <w:spacing w:after="639" w:line="1" w:lineRule="exact"/>
      </w:pPr>
    </w:p>
    <w:p>
      <w:pPr>
        <w:pStyle w:val="Style58"/>
        <w:keepNext/>
        <w:keepLines/>
        <w:widowControl w:val="0"/>
        <w:shd w:val="clear" w:color="auto" w:fill="auto"/>
        <w:bidi w:val="0"/>
        <w:spacing w:before="0" w:after="460" w:line="240" w:lineRule="auto"/>
        <w:ind w:left="0" w:right="0" w:firstLine="140"/>
        <w:jc w:val="left"/>
        <w:rPr>
          <w:sz w:val="20"/>
          <w:szCs w:val="20"/>
        </w:rPr>
      </w:pPr>
      <w:bookmarkStart w:id="1018" w:name="bookmark1018"/>
      <w:bookmarkStart w:id="1019" w:name="bookmark1019"/>
      <w:bookmarkStart w:id="1020" w:name="bookmark1020"/>
      <w:bookmarkStart w:id="1021" w:name="bookmark1021"/>
      <w:r>
        <w:rPr>
          <w:b/>
          <w:bCs/>
          <w:color w:val="000000"/>
          <w:spacing w:val="0"/>
          <w:w w:val="100"/>
          <w:position w:val="0"/>
          <w:sz w:val="20"/>
          <w:szCs w:val="20"/>
        </w:rPr>
        <w:t>（</w:t>
      </w:r>
      <w:bookmarkEnd w:id="1020"/>
      <w:r>
        <w:rPr>
          <w:b/>
          <w:bCs/>
          <w:color w:val="000000"/>
          <w:spacing w:val="0"/>
          <w:w w:val="100"/>
          <w:position w:val="0"/>
          <w:sz w:val="20"/>
          <w:szCs w:val="20"/>
        </w:rPr>
        <w:t>3）融资租入固定资产的认定依据、计价和折旧方法</w:t>
      </w:r>
      <w:bookmarkEnd w:id="1018"/>
      <w:bookmarkEnd w:id="1019"/>
      <w:bookmarkEnd w:id="1021"/>
    </w:p>
    <w:p>
      <w:pPr>
        <w:pStyle w:val="Style41"/>
        <w:keepNext w:val="0"/>
        <w:keepLines w:val="0"/>
        <w:widowControl w:val="0"/>
        <w:shd w:val="clear" w:color="auto" w:fill="auto"/>
        <w:bidi w:val="0"/>
        <w:spacing w:before="0" w:after="280" w:line="240" w:lineRule="auto"/>
        <w:ind w:left="0" w:right="0"/>
        <w:jc w:val="left"/>
      </w:pPr>
      <w:r>
        <w:rPr>
          <w:color w:val="000000"/>
          <w:spacing w:val="0"/>
          <w:w w:val="100"/>
          <w:position w:val="0"/>
        </w:rPr>
        <w:t>公司与租赁方所签订的租赁协议条款中规定了下列条件之一的，确认为融资租入资产:</w:t>
      </w:r>
    </w:p>
    <w:p>
      <w:pPr>
        <w:pStyle w:val="Style41"/>
        <w:keepNext w:val="0"/>
        <w:keepLines w:val="0"/>
        <w:widowControl w:val="0"/>
        <w:shd w:val="clear" w:color="auto" w:fill="auto"/>
        <w:tabs>
          <w:tab w:pos="729" w:val="left"/>
        </w:tabs>
        <w:bidi w:val="0"/>
        <w:spacing w:before="0" w:after="220" w:line="240" w:lineRule="auto"/>
        <w:ind w:left="0" w:right="0"/>
        <w:jc w:val="left"/>
      </w:pPr>
      <w:bookmarkStart w:id="1022" w:name="bookmark1022"/>
      <w:r>
        <w:rPr>
          <w:rFonts w:ascii="Times New Roman" w:eastAsia="Times New Roman" w:hAnsi="Times New Roman" w:cs="Times New Roman"/>
          <w:color w:val="000000"/>
          <w:spacing w:val="0"/>
          <w:w w:val="100"/>
          <w:position w:val="0"/>
          <w:sz w:val="18"/>
          <w:szCs w:val="18"/>
        </w:rPr>
        <w:t>1</w:t>
      </w:r>
      <w:bookmarkEnd w:id="1022"/>
      <w:r>
        <w:rPr>
          <w:color w:val="000000"/>
          <w:spacing w:val="0"/>
          <w:w w:val="100"/>
          <w:position w:val="0"/>
        </w:rPr>
        <w:t>）</w:t>
        <w:tab/>
        <w:t>租赁期满后租赁资产的所有权归属于本公司；</w:t>
      </w:r>
    </w:p>
    <w:p>
      <w:pPr>
        <w:pStyle w:val="Style41"/>
        <w:keepNext w:val="0"/>
        <w:keepLines w:val="0"/>
        <w:widowControl w:val="0"/>
        <w:shd w:val="clear" w:color="auto" w:fill="auto"/>
        <w:bidi w:val="0"/>
        <w:spacing w:before="0" w:after="280" w:line="240" w:lineRule="auto"/>
        <w:ind w:left="0" w:right="0"/>
        <w:jc w:val="left"/>
      </w:pPr>
      <w:bookmarkStart w:id="1023" w:name="bookmark1023"/>
      <w:r>
        <w:rPr>
          <w:rFonts w:ascii="Times New Roman" w:eastAsia="Times New Roman" w:hAnsi="Times New Roman" w:cs="Times New Roman"/>
          <w:color w:val="000000"/>
          <w:spacing w:val="0"/>
          <w:w w:val="100"/>
          <w:position w:val="0"/>
          <w:sz w:val="18"/>
          <w:szCs w:val="18"/>
        </w:rPr>
        <w:t>2</w:t>
      </w:r>
      <w:bookmarkEnd w:id="1023"/>
      <w:r>
        <w:rPr>
          <w:color w:val="000000"/>
          <w:spacing w:val="0"/>
          <w:w w:val="100"/>
          <w:position w:val="0"/>
        </w:rPr>
        <w:t>） 公司具有购买资产的选择权，购买价款远低于行使选择权时该资产的公允价值；</w:t>
      </w:r>
    </w:p>
    <w:p>
      <w:pPr>
        <w:pStyle w:val="Style41"/>
        <w:keepNext w:val="0"/>
        <w:keepLines w:val="0"/>
        <w:widowControl w:val="0"/>
        <w:shd w:val="clear" w:color="auto" w:fill="auto"/>
        <w:tabs>
          <w:tab w:pos="738" w:val="left"/>
        </w:tabs>
        <w:bidi w:val="0"/>
        <w:spacing w:before="0" w:after="0" w:line="475" w:lineRule="exact"/>
        <w:ind w:left="0" w:right="0"/>
        <w:jc w:val="both"/>
      </w:pPr>
      <w:bookmarkStart w:id="1024" w:name="bookmark1024"/>
      <w:r>
        <w:rPr>
          <w:rFonts w:ascii="Times New Roman" w:eastAsia="Times New Roman" w:hAnsi="Times New Roman" w:cs="Times New Roman"/>
          <w:color w:val="000000"/>
          <w:spacing w:val="0"/>
          <w:w w:val="100"/>
          <w:position w:val="0"/>
          <w:sz w:val="18"/>
          <w:szCs w:val="18"/>
        </w:rPr>
        <w:t>3</w:t>
      </w:r>
      <w:bookmarkEnd w:id="1024"/>
      <w:r>
        <w:rPr>
          <w:color w:val="000000"/>
          <w:spacing w:val="0"/>
          <w:w w:val="100"/>
          <w:position w:val="0"/>
        </w:rPr>
        <w:t>）</w:t>
        <w:tab/>
        <w:t>租赁期占所租赁资产使用寿命的大部分；</w:t>
      </w:r>
    </w:p>
    <w:p>
      <w:pPr>
        <w:pStyle w:val="Style41"/>
        <w:keepNext w:val="0"/>
        <w:keepLines w:val="0"/>
        <w:widowControl w:val="0"/>
        <w:shd w:val="clear" w:color="auto" w:fill="auto"/>
        <w:tabs>
          <w:tab w:pos="748" w:val="left"/>
        </w:tabs>
        <w:bidi w:val="0"/>
        <w:spacing w:before="0" w:after="0" w:line="475" w:lineRule="exact"/>
        <w:ind w:left="0" w:right="0"/>
        <w:jc w:val="both"/>
      </w:pPr>
      <w:bookmarkStart w:id="1025" w:name="bookmark1025"/>
      <w:r>
        <w:rPr>
          <w:rFonts w:ascii="Times New Roman" w:eastAsia="Times New Roman" w:hAnsi="Times New Roman" w:cs="Times New Roman"/>
          <w:color w:val="000000"/>
          <w:spacing w:val="0"/>
          <w:w w:val="100"/>
          <w:position w:val="0"/>
          <w:sz w:val="18"/>
          <w:szCs w:val="18"/>
        </w:rPr>
        <w:t>4</w:t>
      </w:r>
      <w:bookmarkEnd w:id="1025"/>
      <w:r>
        <w:rPr>
          <w:color w:val="000000"/>
          <w:spacing w:val="0"/>
          <w:w w:val="100"/>
          <w:position w:val="0"/>
        </w:rPr>
        <w:t>）</w:t>
        <w:tab/>
        <w:t>租赁开始日的最低租赁付款额现值，与该资产的公允价值不存在较大的差异；</w:t>
      </w:r>
    </w:p>
    <w:p>
      <w:pPr>
        <w:pStyle w:val="Style41"/>
        <w:keepNext w:val="0"/>
        <w:keepLines w:val="0"/>
        <w:widowControl w:val="0"/>
        <w:shd w:val="clear" w:color="auto" w:fill="auto"/>
        <w:tabs>
          <w:tab w:pos="748" w:val="left"/>
        </w:tabs>
        <w:bidi w:val="0"/>
        <w:spacing w:before="0" w:after="0" w:line="475" w:lineRule="exact"/>
        <w:ind w:left="0" w:right="0"/>
        <w:jc w:val="both"/>
      </w:pPr>
      <w:bookmarkStart w:id="1026" w:name="bookmark1026"/>
      <w:r>
        <w:rPr>
          <w:rFonts w:ascii="Times New Roman" w:eastAsia="Times New Roman" w:hAnsi="Times New Roman" w:cs="Times New Roman"/>
          <w:color w:val="000000"/>
          <w:spacing w:val="0"/>
          <w:w w:val="100"/>
          <w:position w:val="0"/>
          <w:sz w:val="18"/>
          <w:szCs w:val="18"/>
        </w:rPr>
        <w:t>5</w:t>
      </w:r>
      <w:bookmarkEnd w:id="1026"/>
      <w:r>
        <w:rPr>
          <w:color w:val="000000"/>
          <w:spacing w:val="0"/>
          <w:w w:val="100"/>
          <w:position w:val="0"/>
        </w:rPr>
        <w:t>）</w:t>
        <w:tab/>
        <w:t>租赁资产性质特殊，如果不作较大改造，只有承租人才能使用。</w:t>
      </w:r>
    </w:p>
    <w:p>
      <w:pPr>
        <w:pStyle w:val="Style41"/>
        <w:keepNext w:val="0"/>
        <w:keepLines w:val="0"/>
        <w:widowControl w:val="0"/>
        <w:shd w:val="clear" w:color="auto" w:fill="auto"/>
        <w:bidi w:val="0"/>
        <w:spacing w:before="0" w:after="440" w:line="475" w:lineRule="exact"/>
        <w:ind w:left="0" w:right="0"/>
        <w:jc w:val="both"/>
      </w:pPr>
      <w:r>
        <w:rPr>
          <w:color w:val="000000"/>
          <w:spacing w:val="0"/>
          <w:w w:val="100"/>
          <w:position w:val="0"/>
        </w:rPr>
        <w:t>公司在承租开始日，将租赁资产公允价值与最低租赁付款额现值两者中较低者作为租入资产的入账价值，将最低租赁付 款额作为长期应付款的入账价值，其差额作为未确认的融资费。</w:t>
      </w:r>
    </w:p>
    <w:p>
      <w:pPr>
        <w:pStyle w:val="Style58"/>
        <w:keepNext/>
        <w:keepLines/>
        <w:widowControl w:val="0"/>
        <w:shd w:val="clear" w:color="auto" w:fill="auto"/>
        <w:bidi w:val="0"/>
        <w:spacing w:before="0" w:after="200" w:line="240" w:lineRule="auto"/>
        <w:ind w:left="0" w:right="0" w:firstLine="0"/>
        <w:jc w:val="left"/>
        <w:rPr>
          <w:sz w:val="20"/>
          <w:szCs w:val="20"/>
        </w:rPr>
      </w:pPr>
      <w:bookmarkStart w:id="1027" w:name="bookmark1027"/>
      <w:bookmarkStart w:id="1028" w:name="bookmark1028"/>
      <w:bookmarkStart w:id="1029" w:name="bookmark1029"/>
      <w:bookmarkStart w:id="1030" w:name="bookmark1030"/>
      <w:r>
        <w:rPr>
          <w:b/>
          <w:bCs/>
          <w:color w:val="000000"/>
          <w:spacing w:val="0"/>
          <w:w w:val="100"/>
          <w:position w:val="0"/>
          <w:sz w:val="20"/>
          <w:szCs w:val="20"/>
        </w:rPr>
        <w:t>（</w:t>
      </w:r>
      <w:bookmarkEnd w:id="1029"/>
      <w:r>
        <w:rPr>
          <w:b/>
          <w:bCs/>
          <w:color w:val="000000"/>
          <w:spacing w:val="0"/>
          <w:w w:val="100"/>
          <w:position w:val="0"/>
          <w:sz w:val="20"/>
          <w:szCs w:val="20"/>
        </w:rPr>
        <w:t>4）固定资产处置</w:t>
      </w:r>
      <w:bookmarkEnd w:id="1027"/>
      <w:bookmarkEnd w:id="1028"/>
      <w:bookmarkEnd w:id="1030"/>
    </w:p>
    <w:p>
      <w:pPr>
        <w:pStyle w:val="Style41"/>
        <w:keepNext w:val="0"/>
        <w:keepLines w:val="0"/>
        <w:widowControl w:val="0"/>
        <w:shd w:val="clear" w:color="auto" w:fill="auto"/>
        <w:bidi w:val="0"/>
        <w:spacing w:before="0" w:after="0" w:line="470" w:lineRule="exact"/>
        <w:ind w:left="0" w:right="0"/>
        <w:jc w:val="both"/>
      </w:pPr>
      <w:r>
        <w:rPr>
          <w:color w:val="000000"/>
          <w:spacing w:val="0"/>
          <w:w w:val="100"/>
          <w:position w:val="0"/>
        </w:rPr>
        <w:t>当固定资产被处置、或者预期通过使用或处置不能产生经济利益时，终止确认该固定资产。固定资产出售、转让、报废 或毁损的处置收入扣除其账面价值和相关税费后的金额计入当期损益。</w:t>
      </w:r>
    </w:p>
    <w:p>
      <w:pPr>
        <w:pStyle w:val="Style41"/>
        <w:keepNext w:val="0"/>
        <w:keepLines w:val="0"/>
        <w:widowControl w:val="0"/>
        <w:shd w:val="clear" w:color="auto" w:fill="auto"/>
        <w:bidi w:val="0"/>
        <w:spacing w:before="0" w:after="440" w:line="470" w:lineRule="exact"/>
        <w:ind w:left="0" w:right="0"/>
        <w:jc w:val="both"/>
      </w:pPr>
      <w:r>
        <w:rPr>
          <w:color w:val="000000"/>
          <w:spacing w:val="0"/>
          <w:w w:val="100"/>
          <w:position w:val="0"/>
        </w:rPr>
        <w:t>公司本报告期无融资租入固定资产。</w:t>
      </w:r>
    </w:p>
    <w:p>
      <w:pPr>
        <w:pStyle w:val="Style47"/>
        <w:keepNext/>
        <w:keepLines/>
        <w:widowControl w:val="0"/>
        <w:shd w:val="clear" w:color="auto" w:fill="auto"/>
        <w:tabs>
          <w:tab w:pos="483" w:val="left"/>
        </w:tabs>
        <w:bidi w:val="0"/>
        <w:spacing w:before="0" w:after="200" w:line="240" w:lineRule="auto"/>
        <w:ind w:left="0" w:right="0" w:firstLine="0"/>
        <w:jc w:val="left"/>
      </w:pPr>
      <w:bookmarkStart w:id="1031" w:name="bookmark1031"/>
      <w:bookmarkStart w:id="1032" w:name="bookmark1032"/>
      <w:bookmarkStart w:id="1033" w:name="bookmark1033"/>
      <w:bookmarkStart w:id="1034" w:name="bookmark1034"/>
      <w:r>
        <w:rPr>
          <w:color w:val="000000"/>
          <w:spacing w:val="0"/>
          <w:w w:val="100"/>
          <w:position w:val="0"/>
        </w:rPr>
        <w:t>2</w:t>
      </w:r>
      <w:bookmarkEnd w:id="1033"/>
      <w:r>
        <w:rPr>
          <w:color w:val="000000"/>
          <w:spacing w:val="0"/>
          <w:w w:val="100"/>
          <w:position w:val="0"/>
        </w:rPr>
        <w:t>5、</w:t>
        <w:tab/>
        <w:t>在建工程</w:t>
      </w:r>
      <w:bookmarkEnd w:id="1031"/>
      <w:bookmarkEnd w:id="1032"/>
      <w:bookmarkEnd w:id="1034"/>
    </w:p>
    <w:p>
      <w:pPr>
        <w:pStyle w:val="Style41"/>
        <w:keepNext w:val="0"/>
        <w:keepLines w:val="0"/>
        <w:widowControl w:val="0"/>
        <w:shd w:val="clear" w:color="auto" w:fill="auto"/>
        <w:bidi w:val="0"/>
        <w:spacing w:before="0" w:after="440" w:line="466" w:lineRule="exact"/>
        <w:ind w:left="0" w:right="0"/>
        <w:jc w:val="both"/>
      </w:pPr>
      <w:r>
        <w:rPr>
          <w:color w:val="000000"/>
          <w:spacing w:val="0"/>
          <w:w w:val="100"/>
          <w:position w:val="0"/>
        </w:rPr>
        <w:t>在建工程按实际发生的成本计量。实际成本包括建筑成本、安装成本、符合资本化条件的借款费用以及其他为使在建工 程达到预定可使用状态前所发生的必要支出。在建工程在达到预定可使用状态时，转入固定资产并自次月起开始计提折旧。</w:t>
      </w:r>
    </w:p>
    <w:p>
      <w:pPr>
        <w:pStyle w:val="Style47"/>
        <w:keepNext/>
        <w:keepLines/>
        <w:widowControl w:val="0"/>
        <w:shd w:val="clear" w:color="auto" w:fill="auto"/>
        <w:tabs>
          <w:tab w:pos="483" w:val="left"/>
        </w:tabs>
        <w:bidi w:val="0"/>
        <w:spacing w:before="0" w:after="400" w:line="240" w:lineRule="auto"/>
        <w:ind w:left="0" w:right="0" w:firstLine="0"/>
        <w:jc w:val="left"/>
      </w:pPr>
      <w:bookmarkStart w:id="1035" w:name="bookmark1035"/>
      <w:bookmarkStart w:id="1036" w:name="bookmark1036"/>
      <w:bookmarkStart w:id="1037" w:name="bookmark1037"/>
      <w:bookmarkStart w:id="1038" w:name="bookmark1038"/>
      <w:r>
        <w:rPr>
          <w:color w:val="000000"/>
          <w:spacing w:val="0"/>
          <w:w w:val="100"/>
          <w:position w:val="0"/>
        </w:rPr>
        <w:t>2</w:t>
      </w:r>
      <w:bookmarkEnd w:id="1037"/>
      <w:r>
        <w:rPr>
          <w:color w:val="000000"/>
          <w:spacing w:val="0"/>
          <w:w w:val="100"/>
          <w:position w:val="0"/>
        </w:rPr>
        <w:t>6、</w:t>
        <w:tab/>
        <w:t>借款费用</w:t>
      </w:r>
      <w:bookmarkEnd w:id="1035"/>
      <w:bookmarkEnd w:id="1036"/>
      <w:bookmarkEnd w:id="1038"/>
    </w:p>
    <w:p>
      <w:pPr>
        <w:pStyle w:val="Style41"/>
        <w:keepNext w:val="0"/>
        <w:keepLines w:val="0"/>
        <w:widowControl w:val="0"/>
        <w:shd w:val="clear" w:color="auto" w:fill="auto"/>
        <w:tabs>
          <w:tab w:pos="450" w:val="left"/>
        </w:tabs>
        <w:bidi w:val="0"/>
        <w:spacing w:before="0" w:after="0" w:line="240" w:lineRule="auto"/>
        <w:ind w:left="0" w:right="0" w:firstLine="0"/>
        <w:jc w:val="left"/>
      </w:pPr>
      <w:bookmarkStart w:id="1039" w:name="bookmark1039"/>
      <w:r>
        <w:rPr>
          <w:b/>
          <w:bCs/>
          <w:color w:val="000000"/>
          <w:spacing w:val="0"/>
          <w:w w:val="100"/>
          <w:position w:val="0"/>
        </w:rPr>
        <w:t>（</w:t>
      </w:r>
      <w:bookmarkEnd w:id="1039"/>
      <w:r>
        <w:rPr>
          <w:rFonts w:ascii="Times New Roman" w:eastAsia="Times New Roman" w:hAnsi="Times New Roman" w:cs="Times New Roman"/>
          <w:b/>
          <w:bCs/>
          <w:color w:val="000000"/>
          <w:spacing w:val="0"/>
          <w:w w:val="100"/>
          <w:position w:val="0"/>
          <w:sz w:val="18"/>
          <w:szCs w:val="18"/>
        </w:rPr>
        <w:t>1</w:t>
      </w:r>
      <w:r>
        <w:rPr>
          <w:b/>
          <w:bCs/>
          <w:color w:val="000000"/>
          <w:spacing w:val="0"/>
          <w:w w:val="100"/>
          <w:position w:val="0"/>
        </w:rPr>
        <w:t>）</w:t>
        <w:tab/>
        <w:t>借款费用资本化的确认原则</w:t>
      </w:r>
    </w:p>
    <w:p>
      <w:pPr>
        <w:pStyle w:val="Style41"/>
        <w:keepNext w:val="0"/>
        <w:keepLines w:val="0"/>
        <w:widowControl w:val="0"/>
        <w:shd w:val="clear" w:color="auto" w:fill="auto"/>
        <w:bidi w:val="0"/>
        <w:spacing w:before="0" w:after="0" w:line="463" w:lineRule="exact"/>
        <w:ind w:left="0" w:right="0"/>
        <w:jc w:val="both"/>
      </w:pPr>
      <w:r>
        <w:rPr>
          <w:color w:val="000000"/>
          <w:spacing w:val="0"/>
          <w:w w:val="100"/>
          <w:position w:val="0"/>
        </w:rPr>
        <w:t>公司发生的借款费用，可直接归属于符合资本化条件的资产的购建或者生产的，予以资本化，计入相关资产成本；其他 借款费用，在发生时根据其发生额确认为费用，计入当期损益。</w:t>
      </w:r>
    </w:p>
    <w:p>
      <w:pPr>
        <w:pStyle w:val="Style41"/>
        <w:keepNext w:val="0"/>
        <w:keepLines w:val="0"/>
        <w:widowControl w:val="0"/>
        <w:shd w:val="clear" w:color="auto" w:fill="auto"/>
        <w:bidi w:val="0"/>
        <w:spacing w:before="0" w:after="200" w:line="463" w:lineRule="exact"/>
        <w:ind w:left="0" w:right="0"/>
        <w:jc w:val="both"/>
      </w:pPr>
      <w:r>
        <w:rPr>
          <w:color w:val="000000"/>
          <w:spacing w:val="0"/>
          <w:w w:val="100"/>
          <w:position w:val="0"/>
        </w:rPr>
        <w:t>符合资本化条件的资产，是指需要经过相当长时间的购建或者生产活动才能达到预定可使用或者可销售状态的固定资 产、投资性房地产和存货等资产。</w:t>
      </w:r>
    </w:p>
    <w:p>
      <w:pPr>
        <w:pStyle w:val="Style41"/>
        <w:keepNext w:val="0"/>
        <w:keepLines w:val="0"/>
        <w:widowControl w:val="0"/>
        <w:shd w:val="clear" w:color="auto" w:fill="auto"/>
        <w:tabs>
          <w:tab w:pos="450" w:val="left"/>
        </w:tabs>
        <w:bidi w:val="0"/>
        <w:spacing w:before="0" w:after="0" w:line="240" w:lineRule="auto"/>
        <w:ind w:left="0" w:right="0" w:firstLine="0"/>
        <w:jc w:val="left"/>
      </w:pPr>
      <w:bookmarkStart w:id="1040" w:name="bookmark1040"/>
      <w:r>
        <w:rPr>
          <w:b/>
          <w:bCs/>
          <w:color w:val="000000"/>
          <w:spacing w:val="0"/>
          <w:w w:val="100"/>
          <w:position w:val="0"/>
        </w:rPr>
        <w:t>（</w:t>
      </w:r>
      <w:bookmarkEnd w:id="1040"/>
      <w:r>
        <w:rPr>
          <w:rFonts w:ascii="Times New Roman" w:eastAsia="Times New Roman" w:hAnsi="Times New Roman" w:cs="Times New Roman"/>
          <w:b/>
          <w:bCs/>
          <w:color w:val="000000"/>
          <w:spacing w:val="0"/>
          <w:w w:val="100"/>
          <w:position w:val="0"/>
          <w:sz w:val="18"/>
          <w:szCs w:val="18"/>
        </w:rPr>
        <w:t>2</w:t>
      </w:r>
      <w:r>
        <w:rPr>
          <w:b/>
          <w:bCs/>
          <w:color w:val="000000"/>
          <w:spacing w:val="0"/>
          <w:w w:val="100"/>
          <w:position w:val="0"/>
        </w:rPr>
        <w:t>）</w:t>
        <w:tab/>
        <w:t>借款费用资本化期间</w:t>
      </w:r>
    </w:p>
    <w:p>
      <w:pPr>
        <w:pStyle w:val="Style41"/>
        <w:keepNext w:val="0"/>
        <w:keepLines w:val="0"/>
        <w:widowControl w:val="0"/>
        <w:shd w:val="clear" w:color="auto" w:fill="auto"/>
        <w:bidi w:val="0"/>
        <w:spacing w:before="0" w:after="0" w:line="466" w:lineRule="exact"/>
        <w:ind w:left="0" w:right="0"/>
        <w:jc w:val="left"/>
      </w:pPr>
      <w:r>
        <w:rPr>
          <w:color w:val="000000"/>
          <w:spacing w:val="0"/>
          <w:w w:val="100"/>
          <w:position w:val="0"/>
        </w:rPr>
        <w:t>资本化期间，指从借款费用开始资本化时点到停止资本化时点的期间，借款费用暂停资本化的期间不包括在内。</w:t>
      </w:r>
    </w:p>
    <w:p>
      <w:pPr>
        <w:pStyle w:val="Style41"/>
        <w:keepNext w:val="0"/>
        <w:keepLines w:val="0"/>
        <w:widowControl w:val="0"/>
        <w:shd w:val="clear" w:color="auto" w:fill="auto"/>
        <w:bidi w:val="0"/>
        <w:spacing w:before="0" w:after="0" w:line="466" w:lineRule="exact"/>
        <w:ind w:left="0" w:right="0"/>
        <w:jc w:val="left"/>
      </w:pPr>
      <w:r>
        <w:rPr>
          <w:color w:val="000000"/>
          <w:spacing w:val="0"/>
          <w:w w:val="100"/>
          <w:position w:val="0"/>
        </w:rPr>
        <w:t>借款费用同时满足下列条件时开始资本化：</w:t>
      </w:r>
    </w:p>
    <w:p>
      <w:pPr>
        <w:pStyle w:val="Style41"/>
        <w:keepNext w:val="0"/>
        <w:keepLines w:val="0"/>
        <w:widowControl w:val="0"/>
        <w:shd w:val="clear" w:color="auto" w:fill="auto"/>
        <w:tabs>
          <w:tab w:pos="714" w:val="left"/>
        </w:tabs>
        <w:bidi w:val="0"/>
        <w:spacing w:before="0" w:after="0" w:line="466" w:lineRule="exact"/>
        <w:ind w:left="0" w:right="0"/>
        <w:jc w:val="left"/>
      </w:pPr>
      <w:bookmarkStart w:id="1041" w:name="bookmark1041"/>
      <w:r>
        <w:rPr>
          <w:rFonts w:ascii="Times New Roman" w:eastAsia="Times New Roman" w:hAnsi="Times New Roman" w:cs="Times New Roman"/>
          <w:color w:val="000000"/>
          <w:spacing w:val="0"/>
          <w:w w:val="100"/>
          <w:position w:val="0"/>
          <w:sz w:val="18"/>
          <w:szCs w:val="18"/>
        </w:rPr>
        <w:t>1</w:t>
      </w:r>
      <w:bookmarkEnd w:id="1041"/>
      <w:r>
        <w:rPr>
          <w:color w:val="000000"/>
          <w:spacing w:val="0"/>
          <w:w w:val="100"/>
          <w:position w:val="0"/>
        </w:rPr>
        <w:t>）</w:t>
        <w:tab/>
        <w:t>资产支出已经发生，资产支出包括为购建或者生产符合资本化条件的资产而以支付现金、转移非现金资产或者承担 带息债务形式发生的支出；</w:t>
      </w:r>
    </w:p>
    <w:p>
      <w:pPr>
        <w:pStyle w:val="Style41"/>
        <w:keepNext w:val="0"/>
        <w:keepLines w:val="0"/>
        <w:widowControl w:val="0"/>
        <w:shd w:val="clear" w:color="auto" w:fill="auto"/>
        <w:tabs>
          <w:tab w:pos="748" w:val="left"/>
        </w:tabs>
        <w:bidi w:val="0"/>
        <w:spacing w:before="0" w:after="0" w:line="466" w:lineRule="exact"/>
        <w:ind w:left="0" w:right="0"/>
        <w:jc w:val="left"/>
      </w:pPr>
      <w:bookmarkStart w:id="1042" w:name="bookmark1042"/>
      <w:r>
        <w:rPr>
          <w:rFonts w:ascii="Times New Roman" w:eastAsia="Times New Roman" w:hAnsi="Times New Roman" w:cs="Times New Roman"/>
          <w:color w:val="000000"/>
          <w:spacing w:val="0"/>
          <w:w w:val="100"/>
          <w:position w:val="0"/>
          <w:sz w:val="18"/>
          <w:szCs w:val="18"/>
        </w:rPr>
        <w:t>2</w:t>
      </w:r>
      <w:bookmarkEnd w:id="1042"/>
      <w:r>
        <w:rPr>
          <w:color w:val="000000"/>
          <w:spacing w:val="0"/>
          <w:w w:val="100"/>
          <w:position w:val="0"/>
        </w:rPr>
        <w:t>）</w:t>
        <w:tab/>
        <w:t>借款费用已经发生；</w:t>
      </w:r>
    </w:p>
    <w:p>
      <w:pPr>
        <w:pStyle w:val="Style41"/>
        <w:keepNext w:val="0"/>
        <w:keepLines w:val="0"/>
        <w:widowControl w:val="0"/>
        <w:shd w:val="clear" w:color="auto" w:fill="auto"/>
        <w:tabs>
          <w:tab w:pos="748" w:val="left"/>
        </w:tabs>
        <w:bidi w:val="0"/>
        <w:spacing w:before="0" w:after="0" w:line="466" w:lineRule="exact"/>
        <w:ind w:left="0" w:right="0"/>
        <w:jc w:val="left"/>
      </w:pPr>
      <w:bookmarkStart w:id="1043" w:name="bookmark1043"/>
      <w:r>
        <w:rPr>
          <w:rFonts w:ascii="Times New Roman" w:eastAsia="Times New Roman" w:hAnsi="Times New Roman" w:cs="Times New Roman"/>
          <w:color w:val="000000"/>
          <w:spacing w:val="0"/>
          <w:w w:val="100"/>
          <w:position w:val="0"/>
          <w:sz w:val="18"/>
          <w:szCs w:val="18"/>
        </w:rPr>
        <w:t>3</w:t>
      </w:r>
      <w:bookmarkEnd w:id="1043"/>
      <w:r>
        <w:rPr>
          <w:color w:val="000000"/>
          <w:spacing w:val="0"/>
          <w:w w:val="100"/>
          <w:position w:val="0"/>
        </w:rPr>
        <w:t>）</w:t>
        <w:tab/>
        <w:t>为使资产达到预定可使用或者可销售状态所必要的购建或者生产活动已经开始。</w:t>
      </w:r>
    </w:p>
    <w:p>
      <w:pPr>
        <w:pStyle w:val="Style41"/>
        <w:keepNext w:val="0"/>
        <w:keepLines w:val="0"/>
        <w:widowControl w:val="0"/>
        <w:shd w:val="clear" w:color="auto" w:fill="auto"/>
        <w:bidi w:val="0"/>
        <w:spacing w:before="0" w:after="200" w:line="466" w:lineRule="exact"/>
        <w:ind w:left="0" w:right="0"/>
        <w:jc w:val="left"/>
      </w:pPr>
      <w:r>
        <w:rPr>
          <w:color w:val="000000"/>
          <w:spacing w:val="0"/>
          <w:w w:val="100"/>
          <w:position w:val="0"/>
        </w:rPr>
        <w:t>当购建或者生产符合资本化条件的资产达到预定可使用或者可销售状态时，借款费用停止资本化。</w:t>
      </w:r>
    </w:p>
    <w:p>
      <w:pPr>
        <w:pStyle w:val="Style41"/>
        <w:keepNext w:val="0"/>
        <w:keepLines w:val="0"/>
        <w:widowControl w:val="0"/>
        <w:shd w:val="clear" w:color="auto" w:fill="auto"/>
        <w:tabs>
          <w:tab w:pos="450" w:val="left"/>
        </w:tabs>
        <w:bidi w:val="0"/>
        <w:spacing w:before="0" w:after="200" w:line="240" w:lineRule="auto"/>
        <w:ind w:left="0" w:right="0" w:firstLine="0"/>
        <w:jc w:val="left"/>
      </w:pPr>
      <w:bookmarkStart w:id="1044" w:name="bookmark1044"/>
      <w:r>
        <w:rPr>
          <w:b/>
          <w:bCs/>
          <w:color w:val="000000"/>
          <w:spacing w:val="0"/>
          <w:w w:val="100"/>
          <w:position w:val="0"/>
        </w:rPr>
        <w:t>（</w:t>
      </w:r>
      <w:bookmarkEnd w:id="1044"/>
      <w:r>
        <w:rPr>
          <w:rFonts w:ascii="Times New Roman" w:eastAsia="Times New Roman" w:hAnsi="Times New Roman" w:cs="Times New Roman"/>
          <w:b/>
          <w:bCs/>
          <w:color w:val="000000"/>
          <w:spacing w:val="0"/>
          <w:w w:val="100"/>
          <w:position w:val="0"/>
          <w:sz w:val="18"/>
          <w:szCs w:val="18"/>
        </w:rPr>
        <w:t>3</w:t>
      </w:r>
      <w:r>
        <w:rPr>
          <w:b/>
          <w:bCs/>
          <w:color w:val="000000"/>
          <w:spacing w:val="0"/>
          <w:w w:val="100"/>
          <w:position w:val="0"/>
        </w:rPr>
        <w:t>）</w:t>
        <w:tab/>
        <w:t>暂停资本化期间</w:t>
      </w:r>
    </w:p>
    <w:p>
      <w:pPr>
        <w:pStyle w:val="Style41"/>
        <w:keepNext w:val="0"/>
        <w:keepLines w:val="0"/>
        <w:widowControl w:val="0"/>
        <w:shd w:val="clear" w:color="auto" w:fill="auto"/>
        <w:bidi w:val="0"/>
        <w:spacing w:before="0" w:after="200" w:line="240" w:lineRule="auto"/>
        <w:ind w:left="0" w:right="0"/>
        <w:jc w:val="left"/>
        <w:sectPr>
          <w:headerReference w:type="default" r:id="rId313"/>
          <w:footerReference w:type="default" r:id="rId314"/>
          <w:headerReference w:type="even" r:id="rId315"/>
          <w:footerReference w:type="even" r:id="rId316"/>
          <w:footnotePr>
            <w:pos w:val="pageBottom"/>
            <w:numFmt w:val="decimal"/>
            <w:numRestart w:val="continuous"/>
          </w:footnotePr>
          <w:pgSz w:w="11904" w:h="17375"/>
          <w:pgMar w:top="1766" w:right="1018" w:bottom="1800" w:left="1104" w:header="0" w:footer="3" w:gutter="0"/>
          <w:cols w:space="720"/>
          <w:noEndnote/>
          <w:rtlGutter w:val="0"/>
          <w:docGrid w:linePitch="360"/>
        </w:sectPr>
      </w:pPr>
      <w:r>
        <w:rPr>
          <w:color w:val="000000"/>
          <w:spacing w:val="0"/>
          <w:w w:val="100"/>
          <w:position w:val="0"/>
        </w:rPr>
        <w:t>符合资本化条件的资产在购建或生产过程中发生的非正常中断、且中断时间连续超过</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个月的，则借款费用暂停资本化;</w:t>
      </w:r>
    </w:p>
    <w:p>
      <w:pPr>
        <w:pStyle w:val="Style212"/>
        <w:keepNext w:val="0"/>
        <w:keepLines w:val="0"/>
        <w:widowControl w:val="0"/>
        <w:shd w:val="clear" w:color="auto" w:fill="auto"/>
        <w:bidi w:val="0"/>
        <w:spacing w:before="0" w:after="0" w:line="240" w:lineRule="auto"/>
        <w:ind w:left="0" w:right="0" w:firstLine="0"/>
        <w:jc w:val="left"/>
      </w:pPr>
      <w:r>
        <w:rPr>
          <w:spacing w:val="0"/>
          <w:w w:val="100"/>
          <w:position w:val="0"/>
        </w:rPr>
        <w:t>Ultrapoiuer</w:t>
      </w:r>
    </w:p>
    <w:p>
      <w:pPr>
        <w:pStyle w:val="Style41"/>
        <w:keepNext w:val="0"/>
        <w:keepLines w:val="0"/>
        <w:widowControl w:val="0"/>
        <w:shd w:val="clear" w:color="auto" w:fill="auto"/>
        <w:bidi w:val="0"/>
        <w:spacing w:before="0" w:after="200" w:line="461" w:lineRule="exact"/>
        <w:ind w:left="0" w:right="0" w:firstLine="82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 该项中断如是所购建或生产的符合资本化条件的资产达到预定可使用状态或者可销售状态必要的程序,则借款费用继续资本 化。在中断期间发生的借款费用确认为当期损益，直至资产的购建或者生产活动重新开始后借款费用继续资本化。</w:t>
      </w:r>
    </w:p>
    <w:p>
      <w:pPr>
        <w:pStyle w:val="Style41"/>
        <w:keepNext w:val="0"/>
        <w:keepLines w:val="0"/>
        <w:widowControl w:val="0"/>
        <w:shd w:val="clear" w:color="auto" w:fill="auto"/>
        <w:bidi w:val="0"/>
        <w:spacing w:before="0" w:after="0" w:line="240" w:lineRule="auto"/>
        <w:ind w:left="0" w:right="0" w:firstLine="0"/>
        <w:jc w:val="left"/>
      </w:pPr>
      <w:bookmarkStart w:id="1045" w:name="bookmark1045"/>
      <w:r>
        <w:rPr>
          <w:b/>
          <w:bCs/>
          <w:color w:val="000000"/>
          <w:spacing w:val="0"/>
          <w:w w:val="100"/>
          <w:position w:val="0"/>
        </w:rPr>
        <w:t>（</w:t>
      </w:r>
      <w:bookmarkEnd w:id="1045"/>
      <w:r>
        <w:rPr>
          <w:rFonts w:ascii="Times New Roman" w:eastAsia="Times New Roman" w:hAnsi="Times New Roman" w:cs="Times New Roman"/>
          <w:b/>
          <w:bCs/>
          <w:color w:val="000000"/>
          <w:spacing w:val="0"/>
          <w:w w:val="100"/>
          <w:position w:val="0"/>
          <w:sz w:val="18"/>
          <w:szCs w:val="18"/>
        </w:rPr>
        <w:t>4</w:t>
      </w:r>
      <w:r>
        <w:rPr>
          <w:b/>
          <w:bCs/>
          <w:color w:val="000000"/>
          <w:spacing w:val="0"/>
          <w:w w:val="100"/>
          <w:position w:val="0"/>
        </w:rPr>
        <w:t>）借款费用资本化率、资本化金额的计算方法</w:t>
      </w:r>
    </w:p>
    <w:p>
      <w:pPr>
        <w:pStyle w:val="Style41"/>
        <w:keepNext w:val="0"/>
        <w:keepLines w:val="0"/>
        <w:widowControl w:val="0"/>
        <w:shd w:val="clear" w:color="auto" w:fill="auto"/>
        <w:bidi w:val="0"/>
        <w:spacing w:before="0" w:after="0" w:line="469" w:lineRule="exact"/>
        <w:ind w:left="0" w:right="0"/>
        <w:jc w:val="left"/>
      </w:pPr>
      <w:r>
        <w:rPr>
          <w:color w:val="000000"/>
          <w:spacing w:val="0"/>
          <w:w w:val="100"/>
          <w:position w:val="0"/>
        </w:rPr>
        <w:t>对于为购建或者生产符合资本化条件的资产而借入的专门借款，以专门借款当期实际发生的借款费用，减去尚未动用的 借款资金存入银行取得的利息收入或进行暂时性投资取得的投资收益后的金额，来确定借款费用的资本化金额。</w:t>
      </w:r>
    </w:p>
    <w:p>
      <w:pPr>
        <w:pStyle w:val="Style41"/>
        <w:keepNext w:val="0"/>
        <w:keepLines w:val="0"/>
        <w:widowControl w:val="0"/>
        <w:shd w:val="clear" w:color="auto" w:fill="auto"/>
        <w:bidi w:val="0"/>
        <w:spacing w:before="0" w:after="0" w:line="469" w:lineRule="exact"/>
        <w:ind w:left="0" w:right="0"/>
        <w:jc w:val="left"/>
      </w:pPr>
      <w:r>
        <w:rPr>
          <w:color w:val="000000"/>
          <w:spacing w:val="0"/>
          <w:w w:val="100"/>
          <w:position w:val="0"/>
        </w:rPr>
        <w:t>对于为购建或者生产符合资本化条件的资产而占用的一般借款，根据累计资产支出超过专门借款部分的资产支出加权平 均数乘以所占用一般借款的资本化率，计算确定一般借款应予资本化的借款费用金额。资本化率根据一般借款加权平均实际 利率计算确定。</w:t>
      </w:r>
    </w:p>
    <w:p>
      <w:pPr>
        <w:pStyle w:val="Style41"/>
        <w:keepNext w:val="0"/>
        <w:keepLines w:val="0"/>
        <w:widowControl w:val="0"/>
        <w:shd w:val="clear" w:color="auto" w:fill="auto"/>
        <w:bidi w:val="0"/>
        <w:spacing w:before="0" w:after="480" w:line="469" w:lineRule="exact"/>
        <w:ind w:left="0" w:right="0"/>
        <w:jc w:val="left"/>
      </w:pPr>
      <w:r>
        <w:rPr>
          <w:color w:val="000000"/>
          <w:spacing w:val="0"/>
          <w:w w:val="100"/>
          <w:position w:val="0"/>
        </w:rPr>
        <w:t>在资本化期间内，外币专门借款本金及利息的汇兑差额，予以资本化，计入符合资本化条件的资产的成本。除外币专门 借款之外的其他外币借款本金及其利息所产生的汇兑差额计入当期损益。</w:t>
      </w:r>
    </w:p>
    <w:p>
      <w:pPr>
        <w:pStyle w:val="Style47"/>
        <w:keepNext/>
        <w:keepLines/>
        <w:widowControl w:val="0"/>
        <w:shd w:val="clear" w:color="auto" w:fill="auto"/>
        <w:tabs>
          <w:tab w:pos="483" w:val="left"/>
        </w:tabs>
        <w:bidi w:val="0"/>
        <w:spacing w:before="0" w:after="200" w:line="240" w:lineRule="auto"/>
        <w:ind w:left="0" w:right="0" w:firstLine="0"/>
        <w:jc w:val="left"/>
      </w:pPr>
      <w:bookmarkStart w:id="1046" w:name="bookmark1046"/>
      <w:bookmarkStart w:id="1047" w:name="bookmark1047"/>
      <w:bookmarkStart w:id="1048" w:name="bookmark1048"/>
      <w:bookmarkStart w:id="1049" w:name="bookmark1049"/>
      <w:r>
        <w:rPr>
          <w:color w:val="000000"/>
          <w:spacing w:val="0"/>
          <w:w w:val="100"/>
          <w:position w:val="0"/>
        </w:rPr>
        <w:t>2</w:t>
      </w:r>
      <w:bookmarkEnd w:id="1048"/>
      <w:r>
        <w:rPr>
          <w:color w:val="000000"/>
          <w:spacing w:val="0"/>
          <w:w w:val="100"/>
          <w:position w:val="0"/>
        </w:rPr>
        <w:t>7、</w:t>
        <w:tab/>
        <w:t>生物资产</w:t>
      </w:r>
      <w:bookmarkEnd w:id="1046"/>
      <w:bookmarkEnd w:id="1047"/>
      <w:bookmarkEnd w:id="1049"/>
    </w:p>
    <w:p>
      <w:pPr>
        <w:pStyle w:val="Style41"/>
        <w:keepNext w:val="0"/>
        <w:keepLines w:val="0"/>
        <w:widowControl w:val="0"/>
        <w:shd w:val="clear" w:color="auto" w:fill="auto"/>
        <w:bidi w:val="0"/>
        <w:spacing w:before="0" w:after="480" w:line="469" w:lineRule="exact"/>
        <w:ind w:left="0" w:right="0"/>
        <w:jc w:val="left"/>
      </w:pPr>
      <w:r>
        <w:rPr>
          <w:color w:val="000000"/>
          <w:spacing w:val="0"/>
          <w:w w:val="100"/>
          <w:position w:val="0"/>
        </w:rPr>
        <w:t>无。</w:t>
      </w:r>
    </w:p>
    <w:p>
      <w:pPr>
        <w:pStyle w:val="Style47"/>
        <w:keepNext/>
        <w:keepLines/>
        <w:widowControl w:val="0"/>
        <w:shd w:val="clear" w:color="auto" w:fill="auto"/>
        <w:tabs>
          <w:tab w:pos="483" w:val="left"/>
        </w:tabs>
        <w:bidi w:val="0"/>
        <w:spacing w:before="0" w:after="480" w:line="240" w:lineRule="auto"/>
        <w:ind w:left="0" w:right="0" w:firstLine="0"/>
        <w:jc w:val="left"/>
      </w:pPr>
      <w:bookmarkStart w:id="1050" w:name="bookmark1050"/>
      <w:bookmarkStart w:id="1051" w:name="bookmark1051"/>
      <w:bookmarkStart w:id="1052" w:name="bookmark1052"/>
      <w:bookmarkStart w:id="1053" w:name="bookmark1053"/>
      <w:r>
        <w:rPr>
          <w:color w:val="000000"/>
          <w:spacing w:val="0"/>
          <w:w w:val="100"/>
          <w:position w:val="0"/>
        </w:rPr>
        <w:t>2</w:t>
      </w:r>
      <w:bookmarkEnd w:id="1052"/>
      <w:r>
        <w:rPr>
          <w:color w:val="000000"/>
          <w:spacing w:val="0"/>
          <w:w w:val="100"/>
          <w:position w:val="0"/>
        </w:rPr>
        <w:t>8、</w:t>
        <w:tab/>
        <w:t>油气资产</w:t>
      </w:r>
      <w:bookmarkEnd w:id="1050"/>
      <w:bookmarkEnd w:id="1051"/>
      <w:bookmarkEnd w:id="1053"/>
    </w:p>
    <w:p>
      <w:pPr>
        <w:pStyle w:val="Style41"/>
        <w:keepNext w:val="0"/>
        <w:keepLines w:val="0"/>
        <w:widowControl w:val="0"/>
        <w:shd w:val="clear" w:color="auto" w:fill="auto"/>
        <w:bidi w:val="0"/>
        <w:spacing w:before="0" w:after="480" w:line="469" w:lineRule="exact"/>
        <w:ind w:left="0" w:right="0"/>
        <w:jc w:val="left"/>
      </w:pPr>
      <w:r>
        <w:rPr>
          <w:color w:val="000000"/>
          <w:spacing w:val="0"/>
          <w:w w:val="100"/>
          <w:position w:val="0"/>
        </w:rPr>
        <w:t>无。</w:t>
      </w:r>
    </w:p>
    <w:p>
      <w:pPr>
        <w:pStyle w:val="Style47"/>
        <w:keepNext/>
        <w:keepLines/>
        <w:widowControl w:val="0"/>
        <w:shd w:val="clear" w:color="auto" w:fill="auto"/>
        <w:tabs>
          <w:tab w:pos="483" w:val="left"/>
        </w:tabs>
        <w:bidi w:val="0"/>
        <w:spacing w:before="0" w:after="480" w:line="240" w:lineRule="auto"/>
        <w:ind w:left="0" w:right="0" w:firstLine="0"/>
        <w:jc w:val="left"/>
      </w:pPr>
      <w:bookmarkStart w:id="1054" w:name="bookmark1054"/>
      <w:bookmarkStart w:id="1055" w:name="bookmark1055"/>
      <w:bookmarkStart w:id="1056" w:name="bookmark1056"/>
      <w:bookmarkStart w:id="1057" w:name="bookmark1057"/>
      <w:r>
        <w:rPr>
          <w:color w:val="000000"/>
          <w:spacing w:val="0"/>
          <w:w w:val="100"/>
          <w:position w:val="0"/>
        </w:rPr>
        <w:t>2</w:t>
      </w:r>
      <w:bookmarkEnd w:id="1056"/>
      <w:r>
        <w:rPr>
          <w:color w:val="000000"/>
          <w:spacing w:val="0"/>
          <w:w w:val="100"/>
          <w:position w:val="0"/>
        </w:rPr>
        <w:t>9、</w:t>
        <w:tab/>
        <w:t>使用权资产</w:t>
      </w:r>
      <w:bookmarkEnd w:id="1054"/>
      <w:bookmarkEnd w:id="1055"/>
      <w:bookmarkEnd w:id="1057"/>
    </w:p>
    <w:p>
      <w:pPr>
        <w:pStyle w:val="Style41"/>
        <w:keepNext w:val="0"/>
        <w:keepLines w:val="0"/>
        <w:widowControl w:val="0"/>
        <w:shd w:val="clear" w:color="auto" w:fill="auto"/>
        <w:bidi w:val="0"/>
        <w:spacing w:before="0" w:after="480" w:line="469" w:lineRule="exact"/>
        <w:ind w:left="0" w:right="0"/>
        <w:jc w:val="left"/>
      </w:pPr>
      <w:r>
        <w:rPr>
          <w:color w:val="000000"/>
          <w:spacing w:val="0"/>
          <w:w w:val="100"/>
          <w:position w:val="0"/>
        </w:rPr>
        <w:t>无。</w:t>
      </w:r>
    </w:p>
    <w:p>
      <w:pPr>
        <w:pStyle w:val="Style47"/>
        <w:keepNext/>
        <w:keepLines/>
        <w:widowControl w:val="0"/>
        <w:shd w:val="clear" w:color="auto" w:fill="auto"/>
        <w:tabs>
          <w:tab w:pos="483" w:val="left"/>
        </w:tabs>
        <w:bidi w:val="0"/>
        <w:spacing w:before="0" w:after="380" w:line="240" w:lineRule="auto"/>
        <w:ind w:left="0" w:right="0" w:firstLine="0"/>
        <w:jc w:val="left"/>
      </w:pPr>
      <w:bookmarkStart w:id="1058" w:name="bookmark1058"/>
      <w:bookmarkStart w:id="1059" w:name="bookmark1059"/>
      <w:bookmarkStart w:id="1060" w:name="bookmark1060"/>
      <w:bookmarkStart w:id="1061" w:name="bookmark1061"/>
      <w:r>
        <w:rPr>
          <w:color w:val="000000"/>
          <w:spacing w:val="0"/>
          <w:w w:val="100"/>
          <w:position w:val="0"/>
        </w:rPr>
        <w:t>3</w:t>
      </w:r>
      <w:bookmarkEnd w:id="1060"/>
      <w:r>
        <w:rPr>
          <w:color w:val="000000"/>
          <w:spacing w:val="0"/>
          <w:w w:val="100"/>
          <w:position w:val="0"/>
        </w:rPr>
        <w:t>0、</w:t>
        <w:tab/>
        <w:t>无形资产</w:t>
      </w:r>
      <w:bookmarkEnd w:id="1058"/>
      <w:bookmarkEnd w:id="1059"/>
      <w:bookmarkEnd w:id="1061"/>
    </w:p>
    <w:p>
      <w:pPr>
        <w:pStyle w:val="Style58"/>
        <w:keepNext/>
        <w:keepLines/>
        <w:widowControl w:val="0"/>
        <w:shd w:val="clear" w:color="auto" w:fill="auto"/>
        <w:bidi w:val="0"/>
        <w:spacing w:before="0" w:after="380" w:line="240" w:lineRule="auto"/>
        <w:ind w:left="0" w:right="0" w:firstLine="0"/>
        <w:jc w:val="left"/>
        <w:rPr>
          <w:sz w:val="20"/>
          <w:szCs w:val="20"/>
        </w:rPr>
      </w:pPr>
      <w:bookmarkStart w:id="1062" w:name="bookmark1062"/>
      <w:bookmarkStart w:id="1063" w:name="bookmark1063"/>
      <w:bookmarkStart w:id="1064" w:name="bookmark1064"/>
      <w:bookmarkStart w:id="1065" w:name="bookmark1065"/>
      <w:r>
        <w:rPr>
          <w:b/>
          <w:bCs/>
          <w:color w:val="000000"/>
          <w:spacing w:val="0"/>
          <w:w w:val="100"/>
          <w:position w:val="0"/>
          <w:sz w:val="20"/>
          <w:szCs w:val="20"/>
        </w:rPr>
        <w:t>（</w:t>
      </w:r>
      <w:bookmarkEnd w:id="1064"/>
      <w:r>
        <w:rPr>
          <w:b/>
          <w:bCs/>
          <w:color w:val="000000"/>
          <w:spacing w:val="0"/>
          <w:w w:val="100"/>
          <w:position w:val="0"/>
          <w:sz w:val="20"/>
          <w:szCs w:val="20"/>
        </w:rPr>
        <w:t>1）计价方法、使用寿命、减值测试</w:t>
      </w:r>
      <w:bookmarkEnd w:id="1062"/>
      <w:bookmarkEnd w:id="1063"/>
      <w:bookmarkEnd w:id="1065"/>
    </w:p>
    <w:p>
      <w:pPr>
        <w:pStyle w:val="Style41"/>
        <w:keepNext w:val="0"/>
        <w:keepLines w:val="0"/>
        <w:widowControl w:val="0"/>
        <w:shd w:val="clear" w:color="auto" w:fill="auto"/>
        <w:tabs>
          <w:tab w:pos="373" w:val="left"/>
        </w:tabs>
        <w:bidi w:val="0"/>
        <w:spacing w:before="0" w:after="0" w:line="240" w:lineRule="auto"/>
        <w:ind w:left="0" w:right="0" w:firstLine="0"/>
        <w:jc w:val="left"/>
      </w:pPr>
      <w:bookmarkStart w:id="1066" w:name="bookmark1066"/>
      <w:r>
        <w:rPr>
          <w:rFonts w:ascii="Times New Roman" w:eastAsia="Times New Roman" w:hAnsi="Times New Roman" w:cs="Times New Roman"/>
          <w:b/>
          <w:bCs/>
          <w:color w:val="000000"/>
          <w:spacing w:val="0"/>
          <w:w w:val="100"/>
          <w:position w:val="0"/>
          <w:sz w:val="18"/>
          <w:szCs w:val="18"/>
        </w:rPr>
        <w:t>1</w:t>
      </w:r>
      <w:bookmarkEnd w:id="1066"/>
      <w:r>
        <w:rPr>
          <w:b/>
          <w:bCs/>
          <w:color w:val="000000"/>
          <w:spacing w:val="0"/>
          <w:w w:val="100"/>
          <w:position w:val="0"/>
        </w:rPr>
        <w:t>）</w:t>
        <w:tab/>
        <w:t>无形资产的计价方法</w:t>
      </w:r>
    </w:p>
    <w:p>
      <w:pPr>
        <w:pStyle w:val="Style41"/>
        <w:keepNext w:val="0"/>
        <w:keepLines w:val="0"/>
        <w:widowControl w:val="0"/>
        <w:shd w:val="clear" w:color="auto" w:fill="auto"/>
        <w:tabs>
          <w:tab w:pos="729" w:val="left"/>
        </w:tabs>
        <w:bidi w:val="0"/>
        <w:spacing w:before="0" w:after="0" w:line="470" w:lineRule="exact"/>
        <w:ind w:left="0" w:right="0"/>
        <w:jc w:val="left"/>
      </w:pPr>
      <w:bookmarkStart w:id="1067" w:name="bookmark1067"/>
      <w:r>
        <w:rPr>
          <w:rFonts w:ascii="Times New Roman" w:eastAsia="Times New Roman" w:hAnsi="Times New Roman" w:cs="Times New Roman"/>
          <w:color w:val="000000"/>
          <w:spacing w:val="0"/>
          <w:w w:val="100"/>
          <w:position w:val="0"/>
          <w:sz w:val="18"/>
          <w:szCs w:val="18"/>
        </w:rPr>
        <w:t>1</w:t>
      </w:r>
      <w:bookmarkEnd w:id="1067"/>
      <w:r>
        <w:rPr>
          <w:color w:val="000000"/>
          <w:spacing w:val="0"/>
          <w:w w:val="100"/>
          <w:position w:val="0"/>
        </w:rPr>
        <w:t>）</w:t>
        <w:tab/>
        <w:t>公司取得无形资产时按成本进行初始计量；</w:t>
      </w:r>
    </w:p>
    <w:p>
      <w:pPr>
        <w:pStyle w:val="Style41"/>
        <w:keepNext w:val="0"/>
        <w:keepLines w:val="0"/>
        <w:widowControl w:val="0"/>
        <w:shd w:val="clear" w:color="auto" w:fill="auto"/>
        <w:bidi w:val="0"/>
        <w:spacing w:before="0" w:after="260" w:line="470" w:lineRule="exact"/>
        <w:ind w:left="0" w:right="0"/>
        <w:jc w:val="left"/>
      </w:pPr>
      <w:r>
        <w:rPr>
          <w:color w:val="000000"/>
          <w:spacing w:val="0"/>
          <w:w w:val="100"/>
          <w:position w:val="0"/>
        </w:rPr>
        <w:t>外购无形资产的成本，包括购买价款、相关税费以及直接归属于使该项资产达到预定用途所发生的其他支出。</w:t>
      </w:r>
    </w:p>
    <w:p>
      <w:pPr>
        <w:pStyle w:val="Style41"/>
        <w:keepNext w:val="0"/>
        <w:keepLines w:val="0"/>
        <w:widowControl w:val="0"/>
        <w:shd w:val="clear" w:color="auto" w:fill="auto"/>
        <w:tabs>
          <w:tab w:pos="748" w:val="left"/>
        </w:tabs>
        <w:bidi w:val="0"/>
        <w:spacing w:before="0" w:after="0" w:line="545" w:lineRule="auto"/>
        <w:ind w:left="0" w:right="0"/>
        <w:jc w:val="left"/>
      </w:pPr>
      <w:bookmarkStart w:id="1068" w:name="bookmark1068"/>
      <w:r>
        <w:rPr>
          <w:rFonts w:ascii="Times New Roman" w:eastAsia="Times New Roman" w:hAnsi="Times New Roman" w:cs="Times New Roman"/>
          <w:color w:val="000000"/>
          <w:spacing w:val="0"/>
          <w:w w:val="100"/>
          <w:position w:val="0"/>
          <w:sz w:val="18"/>
          <w:szCs w:val="18"/>
        </w:rPr>
        <w:t>2</w:t>
      </w:r>
      <w:bookmarkEnd w:id="1068"/>
      <w:r>
        <w:rPr>
          <w:color w:val="000000"/>
          <w:spacing w:val="0"/>
          <w:w w:val="100"/>
          <w:position w:val="0"/>
        </w:rPr>
        <w:t>）</w:t>
        <w:tab/>
        <w:t>后续计量</w:t>
      </w:r>
    </w:p>
    <w:p>
      <w:pPr>
        <w:pStyle w:val="Style41"/>
        <w:keepNext w:val="0"/>
        <w:keepLines w:val="0"/>
        <w:widowControl w:val="0"/>
        <w:shd w:val="clear" w:color="auto" w:fill="auto"/>
        <w:bidi w:val="0"/>
        <w:spacing w:before="0" w:after="0" w:line="470" w:lineRule="exact"/>
        <w:ind w:left="0" w:right="0"/>
        <w:jc w:val="left"/>
      </w:pPr>
      <w:r>
        <w:rPr>
          <w:color w:val="000000"/>
          <w:spacing w:val="0"/>
          <w:w w:val="100"/>
          <w:position w:val="0"/>
        </w:rPr>
        <w:t>在取得无形资产时分析判断其使用寿命。</w:t>
      </w:r>
    </w:p>
    <w:p>
      <w:pPr>
        <w:pStyle w:val="Style41"/>
        <w:keepNext w:val="0"/>
        <w:keepLines w:val="0"/>
        <w:widowControl w:val="0"/>
        <w:shd w:val="clear" w:color="auto" w:fill="auto"/>
        <w:bidi w:val="0"/>
        <w:spacing w:before="0" w:after="200" w:line="470" w:lineRule="exact"/>
        <w:ind w:left="0" w:right="0"/>
        <w:jc w:val="left"/>
      </w:pPr>
      <w:r>
        <w:rPr>
          <w:color w:val="000000"/>
          <w:spacing w:val="0"/>
          <w:w w:val="100"/>
          <w:position w:val="0"/>
        </w:rPr>
        <w:t>对于使用寿命有限的无形资产，在为企业带来经济利益的期限内摊销；无法预见无形资产为企业带来经济利益期限的， 视为使用寿命不确定的无形资产，不予摊销。</w:t>
      </w:r>
    </w:p>
    <w:p>
      <w:pPr>
        <w:pStyle w:val="Style41"/>
        <w:keepNext w:val="0"/>
        <w:keepLines w:val="0"/>
        <w:widowControl w:val="0"/>
        <w:shd w:val="clear" w:color="auto" w:fill="auto"/>
        <w:tabs>
          <w:tab w:pos="373" w:val="left"/>
        </w:tabs>
        <w:bidi w:val="0"/>
        <w:spacing w:before="0" w:after="420" w:line="240" w:lineRule="auto"/>
        <w:ind w:left="0" w:right="0" w:firstLine="0"/>
        <w:jc w:val="left"/>
        <w:sectPr>
          <w:headerReference w:type="default" r:id="rId317"/>
          <w:footerReference w:type="default" r:id="rId318"/>
          <w:headerReference w:type="even" r:id="rId319"/>
          <w:footerReference w:type="even" r:id="rId320"/>
          <w:footnotePr>
            <w:pos w:val="pageBottom"/>
            <w:numFmt w:val="decimal"/>
            <w:numRestart w:val="continuous"/>
          </w:footnotePr>
          <w:pgSz w:w="11904" w:h="17375"/>
          <w:pgMar w:top="1070" w:right="1027" w:bottom="1425" w:left="1104" w:header="642" w:footer="3" w:gutter="0"/>
          <w:cols w:space="720"/>
          <w:noEndnote/>
          <w:rtlGutter w:val="0"/>
          <w:docGrid w:linePitch="360"/>
        </w:sectPr>
      </w:pPr>
      <w:bookmarkStart w:id="1069" w:name="bookmark1069"/>
      <w:r>
        <w:rPr>
          <w:rFonts w:ascii="Times New Roman" w:eastAsia="Times New Roman" w:hAnsi="Times New Roman" w:cs="Times New Roman"/>
          <w:b/>
          <w:bCs/>
          <w:color w:val="000000"/>
          <w:spacing w:val="0"/>
          <w:w w:val="100"/>
          <w:position w:val="0"/>
          <w:sz w:val="18"/>
          <w:szCs w:val="18"/>
        </w:rPr>
        <w:t>2</w:t>
      </w:r>
      <w:bookmarkEnd w:id="1069"/>
      <w:r>
        <w:rPr>
          <w:b/>
          <w:bCs/>
          <w:color w:val="000000"/>
          <w:spacing w:val="0"/>
          <w:w w:val="100"/>
          <w:position w:val="0"/>
        </w:rPr>
        <w:t>）</w:t>
        <w:tab/>
        <w:t>使用寿命有限的无形资产的使用寿命估计情况</w:t>
      </w:r>
    </w:p>
    <w:tbl>
      <w:tblPr>
        <w:tblOverlap w:val="never"/>
        <w:jc w:val="center"/>
        <w:tblLayout w:type="fixed"/>
      </w:tblPr>
      <w:tblGrid>
        <w:gridCol w:w="5083"/>
        <w:gridCol w:w="4594"/>
      </w:tblGrid>
      <w:tr>
        <w:trPr>
          <w:trHeight w:val="418" w:hRule="exact"/>
        </w:trPr>
        <w:tc>
          <w:tcPr>
            <w:tcBorders>
              <w:top w:val="single" w:sz="4"/>
              <w:left w:val="single" w:sz="4"/>
            </w:tcBorders>
            <w:shd w:val="clear" w:color="auto" w:fill="D7D7D7"/>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right w:val="single" w:sz="4"/>
            </w:tcBorders>
            <w:shd w:val="clear" w:color="auto" w:fill="D7D7D7"/>
            <w:vAlign w:val="bottom"/>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预计使用寿命</w:t>
            </w:r>
          </w:p>
        </w:tc>
      </w:tr>
      <w:tr>
        <w:trPr>
          <w:trHeight w:val="36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外购软件及许可权</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2-5</w:t>
            </w:r>
          </w:p>
        </w:tc>
      </w:tr>
      <w:tr>
        <w:trPr>
          <w:trHeight w:val="3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自主研发软件（不含移动端游戏自主研发软件）</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3-10</w:t>
            </w:r>
          </w:p>
        </w:tc>
      </w:tr>
      <w:tr>
        <w:trPr>
          <w:trHeight w:val="3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自主研发软件（移动端游戏自主研发软件）</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5</w:t>
            </w:r>
          </w:p>
        </w:tc>
      </w:tr>
      <w:tr>
        <w:trPr>
          <w:trHeight w:val="360"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土地使用权</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20-50</w:t>
            </w:r>
          </w:p>
        </w:tc>
      </w:tr>
    </w:tbl>
    <w:p>
      <w:pPr>
        <w:widowControl w:val="0"/>
        <w:spacing w:after="359" w:line="1" w:lineRule="exact"/>
      </w:pPr>
    </w:p>
    <w:p>
      <w:pPr>
        <w:pStyle w:val="Style41"/>
        <w:keepNext w:val="0"/>
        <w:keepLines w:val="0"/>
        <w:widowControl w:val="0"/>
        <w:shd w:val="clear" w:color="auto" w:fill="auto"/>
        <w:bidi w:val="0"/>
        <w:spacing w:before="0" w:after="180" w:line="240" w:lineRule="auto"/>
        <w:ind w:left="0" w:right="0" w:firstLine="0"/>
        <w:jc w:val="both"/>
      </w:pPr>
      <w:bookmarkStart w:id="1070" w:name="bookmark1070"/>
      <w:r>
        <w:rPr>
          <w:rFonts w:ascii="Times New Roman" w:eastAsia="Times New Roman" w:hAnsi="Times New Roman" w:cs="Times New Roman"/>
          <w:b/>
          <w:bCs/>
          <w:color w:val="000000"/>
          <w:spacing w:val="0"/>
          <w:w w:val="100"/>
          <w:position w:val="0"/>
          <w:sz w:val="18"/>
          <w:szCs w:val="18"/>
        </w:rPr>
        <w:t>3</w:t>
      </w:r>
      <w:bookmarkEnd w:id="1070"/>
      <w:r>
        <w:rPr>
          <w:b/>
          <w:bCs/>
          <w:color w:val="000000"/>
          <w:spacing w:val="0"/>
          <w:w w:val="100"/>
          <w:position w:val="0"/>
        </w:rPr>
        <w:t>）使用寿命不确定的无形资产的判断依据以及对其使用寿命进行复核的程序</w:t>
      </w:r>
    </w:p>
    <w:p>
      <w:pPr>
        <w:pStyle w:val="Style41"/>
        <w:keepNext w:val="0"/>
        <w:keepLines w:val="0"/>
        <w:widowControl w:val="0"/>
        <w:shd w:val="clear" w:color="auto" w:fill="auto"/>
        <w:bidi w:val="0"/>
        <w:spacing w:before="0" w:after="260" w:line="240" w:lineRule="auto"/>
        <w:ind w:left="0" w:right="0"/>
        <w:jc w:val="both"/>
      </w:pPr>
      <w:r>
        <w:rPr>
          <w:color w:val="000000"/>
          <w:spacing w:val="0"/>
          <w:w w:val="100"/>
          <w:position w:val="0"/>
        </w:rPr>
        <w:t>每期末，对使用寿命不确定的无形资产的使用寿命进行复核。</w:t>
      </w:r>
    </w:p>
    <w:p>
      <w:pPr>
        <w:pStyle w:val="Style41"/>
        <w:keepNext w:val="0"/>
        <w:keepLines w:val="0"/>
        <w:widowControl w:val="0"/>
        <w:shd w:val="clear" w:color="auto" w:fill="auto"/>
        <w:bidi w:val="0"/>
        <w:spacing w:before="0" w:after="440" w:line="240" w:lineRule="auto"/>
        <w:ind w:left="0" w:right="0"/>
        <w:jc w:val="both"/>
      </w:pPr>
      <w:r>
        <w:rPr>
          <w:color w:val="000000"/>
          <w:spacing w:val="0"/>
          <w:w w:val="100"/>
          <w:position w:val="0"/>
        </w:rPr>
        <w:t>经复核，报告期公司无使用寿命不确定的无形资产。</w:t>
      </w:r>
    </w:p>
    <w:p>
      <w:pPr>
        <w:pStyle w:val="Style58"/>
        <w:keepNext/>
        <w:keepLines/>
        <w:widowControl w:val="0"/>
        <w:shd w:val="clear" w:color="auto" w:fill="auto"/>
        <w:bidi w:val="0"/>
        <w:spacing w:before="0" w:after="440" w:line="240" w:lineRule="auto"/>
        <w:ind w:left="0" w:right="0" w:firstLine="0"/>
        <w:jc w:val="both"/>
        <w:rPr>
          <w:sz w:val="20"/>
          <w:szCs w:val="20"/>
        </w:rPr>
      </w:pPr>
      <w:bookmarkStart w:id="1071" w:name="bookmark1071"/>
      <w:bookmarkStart w:id="1072" w:name="bookmark1072"/>
      <w:bookmarkStart w:id="1073" w:name="bookmark1073"/>
      <w:bookmarkStart w:id="1074" w:name="bookmark1074"/>
      <w:r>
        <w:rPr>
          <w:b/>
          <w:bCs/>
          <w:color w:val="000000"/>
          <w:spacing w:val="0"/>
          <w:w w:val="100"/>
          <w:position w:val="0"/>
          <w:sz w:val="20"/>
          <w:szCs w:val="20"/>
        </w:rPr>
        <w:t>（</w:t>
      </w:r>
      <w:bookmarkEnd w:id="1073"/>
      <w:r>
        <w:rPr>
          <w:b/>
          <w:bCs/>
          <w:color w:val="000000"/>
          <w:spacing w:val="0"/>
          <w:w w:val="100"/>
          <w:position w:val="0"/>
          <w:sz w:val="20"/>
          <w:szCs w:val="20"/>
        </w:rPr>
        <w:t>2）内部研究开发支出会计政策</w:t>
      </w:r>
      <w:bookmarkEnd w:id="1071"/>
      <w:bookmarkEnd w:id="1072"/>
      <w:bookmarkEnd w:id="1074"/>
    </w:p>
    <w:p>
      <w:pPr>
        <w:pStyle w:val="Style41"/>
        <w:keepNext w:val="0"/>
        <w:keepLines w:val="0"/>
        <w:widowControl w:val="0"/>
        <w:shd w:val="clear" w:color="auto" w:fill="auto"/>
        <w:tabs>
          <w:tab w:pos="354" w:val="left"/>
        </w:tabs>
        <w:bidi w:val="0"/>
        <w:spacing w:before="0" w:after="0" w:line="240" w:lineRule="auto"/>
        <w:ind w:left="0" w:right="0" w:firstLine="0"/>
        <w:jc w:val="both"/>
      </w:pPr>
      <w:bookmarkStart w:id="1075" w:name="bookmark1075"/>
      <w:r>
        <w:rPr>
          <w:rFonts w:ascii="Times New Roman" w:eastAsia="Times New Roman" w:hAnsi="Times New Roman" w:cs="Times New Roman"/>
          <w:b/>
          <w:bCs/>
          <w:color w:val="000000"/>
          <w:spacing w:val="0"/>
          <w:w w:val="100"/>
          <w:position w:val="0"/>
          <w:sz w:val="18"/>
          <w:szCs w:val="18"/>
        </w:rPr>
        <w:t>1</w:t>
      </w:r>
      <w:bookmarkEnd w:id="1075"/>
      <w:r>
        <w:rPr>
          <w:b/>
          <w:bCs/>
          <w:color w:val="000000"/>
          <w:spacing w:val="0"/>
          <w:w w:val="100"/>
          <w:position w:val="0"/>
        </w:rPr>
        <w:t>）</w:t>
        <w:tab/>
        <w:t>划分研究阶段和开发阶段的具体标准</w:t>
      </w:r>
    </w:p>
    <w:p>
      <w:pPr>
        <w:pStyle w:val="Style41"/>
        <w:keepNext w:val="0"/>
        <w:keepLines w:val="0"/>
        <w:widowControl w:val="0"/>
        <w:shd w:val="clear" w:color="auto" w:fill="auto"/>
        <w:bidi w:val="0"/>
        <w:spacing w:before="0" w:after="0" w:line="470" w:lineRule="exact"/>
        <w:ind w:left="0" w:right="0"/>
        <w:jc w:val="both"/>
      </w:pPr>
      <w:r>
        <w:rPr>
          <w:color w:val="000000"/>
          <w:spacing w:val="0"/>
          <w:w w:val="100"/>
          <w:position w:val="0"/>
        </w:rPr>
        <w:t>公司内部研究开发项目的支出分为研究阶段支出和开发阶段支出。</w:t>
      </w:r>
    </w:p>
    <w:p>
      <w:pPr>
        <w:pStyle w:val="Style41"/>
        <w:keepNext w:val="0"/>
        <w:keepLines w:val="0"/>
        <w:widowControl w:val="0"/>
        <w:shd w:val="clear" w:color="auto" w:fill="auto"/>
        <w:bidi w:val="0"/>
        <w:spacing w:before="0" w:after="0" w:line="470" w:lineRule="exact"/>
        <w:ind w:left="0" w:right="0"/>
        <w:jc w:val="both"/>
      </w:pPr>
      <w:r>
        <w:rPr>
          <w:color w:val="000000"/>
          <w:spacing w:val="0"/>
          <w:w w:val="100"/>
          <w:position w:val="0"/>
        </w:rPr>
        <w:t>研究阶段：为获取并理解新的科学或技术知识等而进行的独创性的有计划调查、研究活动的阶段。</w:t>
      </w:r>
    </w:p>
    <w:p>
      <w:pPr>
        <w:pStyle w:val="Style41"/>
        <w:keepNext w:val="0"/>
        <w:keepLines w:val="0"/>
        <w:widowControl w:val="0"/>
        <w:shd w:val="clear" w:color="auto" w:fill="auto"/>
        <w:bidi w:val="0"/>
        <w:spacing w:before="0" w:after="180" w:line="470" w:lineRule="exact"/>
        <w:ind w:left="0" w:right="0"/>
        <w:jc w:val="both"/>
      </w:pPr>
      <w:r>
        <w:rPr>
          <w:color w:val="000000"/>
          <w:spacing w:val="0"/>
          <w:w w:val="100"/>
          <w:position w:val="0"/>
        </w:rPr>
        <w:t>开发阶段：在进行商业性生产或使用前，将研究成果或其他知识应用于某项计划或设计，以生产出新的或具有实质性改 进的材料、装置、产品等活动的阶段。</w:t>
      </w:r>
    </w:p>
    <w:p>
      <w:pPr>
        <w:pStyle w:val="Style41"/>
        <w:keepNext w:val="0"/>
        <w:keepLines w:val="0"/>
        <w:widowControl w:val="0"/>
        <w:shd w:val="clear" w:color="auto" w:fill="auto"/>
        <w:tabs>
          <w:tab w:pos="368" w:val="left"/>
        </w:tabs>
        <w:bidi w:val="0"/>
        <w:spacing w:before="0" w:after="0" w:line="240" w:lineRule="auto"/>
        <w:ind w:left="0" w:right="0" w:firstLine="0"/>
        <w:jc w:val="both"/>
      </w:pPr>
      <w:bookmarkStart w:id="1076" w:name="bookmark1076"/>
      <w:r>
        <w:rPr>
          <w:rFonts w:ascii="Times New Roman" w:eastAsia="Times New Roman" w:hAnsi="Times New Roman" w:cs="Times New Roman"/>
          <w:b/>
          <w:bCs/>
          <w:color w:val="000000"/>
          <w:spacing w:val="0"/>
          <w:w w:val="100"/>
          <w:position w:val="0"/>
          <w:sz w:val="18"/>
          <w:szCs w:val="18"/>
        </w:rPr>
        <w:t>2</w:t>
      </w:r>
      <w:bookmarkEnd w:id="1076"/>
      <w:r>
        <w:rPr>
          <w:b/>
          <w:bCs/>
          <w:color w:val="000000"/>
          <w:spacing w:val="0"/>
          <w:w w:val="100"/>
          <w:position w:val="0"/>
        </w:rPr>
        <w:t>）</w:t>
        <w:tab/>
        <w:t>开发阶段支出资本化的具体条件</w:t>
      </w:r>
    </w:p>
    <w:p>
      <w:pPr>
        <w:pStyle w:val="Style41"/>
        <w:keepNext w:val="0"/>
        <w:keepLines w:val="0"/>
        <w:widowControl w:val="0"/>
        <w:shd w:val="clear" w:color="auto" w:fill="auto"/>
        <w:bidi w:val="0"/>
        <w:spacing w:before="0" w:after="0" w:line="468" w:lineRule="exact"/>
        <w:ind w:left="0" w:right="0"/>
        <w:jc w:val="both"/>
      </w:pPr>
      <w:r>
        <w:rPr>
          <w:color w:val="000000"/>
          <w:spacing w:val="0"/>
          <w:w w:val="100"/>
          <w:position w:val="0"/>
        </w:rPr>
        <w:t>研究阶段的支出，于发生时计入当期损益。开发阶段的支出同时满足下列条件的，确认为无形资产，不能满足下述条件 的开发阶段的支出计入当期损益：</w:t>
      </w:r>
    </w:p>
    <w:p>
      <w:pPr>
        <w:pStyle w:val="Style41"/>
        <w:keepNext w:val="0"/>
        <w:keepLines w:val="0"/>
        <w:widowControl w:val="0"/>
        <w:numPr>
          <w:ilvl w:val="0"/>
          <w:numId w:val="25"/>
        </w:numPr>
        <w:shd w:val="clear" w:color="auto" w:fill="auto"/>
        <w:tabs>
          <w:tab w:pos="753" w:val="left"/>
        </w:tabs>
        <w:bidi w:val="0"/>
        <w:spacing w:before="0" w:after="0" w:line="468" w:lineRule="exact"/>
        <w:ind w:left="0" w:right="0"/>
        <w:jc w:val="both"/>
      </w:pPr>
      <w:bookmarkStart w:id="1077" w:name="bookmark1077"/>
      <w:bookmarkEnd w:id="1077"/>
      <w:r>
        <w:rPr>
          <w:color w:val="000000"/>
          <w:spacing w:val="0"/>
          <w:w w:val="100"/>
          <w:position w:val="0"/>
        </w:rPr>
        <w:t>完成该无形资产以使其能够使用或出售在技术上具有可行性；</w:t>
      </w:r>
    </w:p>
    <w:p>
      <w:pPr>
        <w:pStyle w:val="Style41"/>
        <w:keepNext w:val="0"/>
        <w:keepLines w:val="0"/>
        <w:widowControl w:val="0"/>
        <w:numPr>
          <w:ilvl w:val="0"/>
          <w:numId w:val="25"/>
        </w:numPr>
        <w:shd w:val="clear" w:color="auto" w:fill="auto"/>
        <w:tabs>
          <w:tab w:pos="753" w:val="left"/>
        </w:tabs>
        <w:bidi w:val="0"/>
        <w:spacing w:before="0" w:after="0" w:line="468" w:lineRule="exact"/>
        <w:ind w:left="0" w:right="0"/>
        <w:jc w:val="both"/>
      </w:pPr>
      <w:bookmarkStart w:id="1078" w:name="bookmark1078"/>
      <w:bookmarkEnd w:id="1078"/>
      <w:r>
        <w:rPr>
          <w:color w:val="000000"/>
          <w:spacing w:val="0"/>
          <w:w w:val="100"/>
          <w:position w:val="0"/>
        </w:rPr>
        <w:t>具有完成该无形资产并使用或出售的意图；</w:t>
      </w:r>
    </w:p>
    <w:p>
      <w:pPr>
        <w:pStyle w:val="Style41"/>
        <w:keepNext w:val="0"/>
        <w:keepLines w:val="0"/>
        <w:widowControl w:val="0"/>
        <w:numPr>
          <w:ilvl w:val="0"/>
          <w:numId w:val="25"/>
        </w:numPr>
        <w:shd w:val="clear" w:color="auto" w:fill="auto"/>
        <w:tabs>
          <w:tab w:pos="728" w:val="left"/>
        </w:tabs>
        <w:bidi w:val="0"/>
        <w:spacing w:before="0" w:after="0" w:line="468" w:lineRule="exact"/>
        <w:ind w:left="0" w:right="0"/>
        <w:jc w:val="both"/>
      </w:pPr>
      <w:bookmarkStart w:id="1079" w:name="bookmark1079"/>
      <w:bookmarkEnd w:id="1079"/>
      <w:r>
        <w:rPr>
          <w:color w:val="000000"/>
          <w:spacing w:val="0"/>
          <w:w w:val="100"/>
          <w:position w:val="0"/>
        </w:rPr>
        <w:t>无形资产产生经济利益的方式，包括能够证明运用该无形资产生产的产品存在市场或无形资产自身存在市场，无形资 产将在内部使用的，能够证明其有用性；</w:t>
      </w:r>
    </w:p>
    <w:p>
      <w:pPr>
        <w:pStyle w:val="Style41"/>
        <w:keepNext w:val="0"/>
        <w:keepLines w:val="0"/>
        <w:widowControl w:val="0"/>
        <w:numPr>
          <w:ilvl w:val="0"/>
          <w:numId w:val="25"/>
        </w:numPr>
        <w:shd w:val="clear" w:color="auto" w:fill="auto"/>
        <w:tabs>
          <w:tab w:pos="753" w:val="left"/>
        </w:tabs>
        <w:bidi w:val="0"/>
        <w:spacing w:before="0" w:after="0" w:line="468" w:lineRule="exact"/>
        <w:ind w:left="0" w:right="0"/>
        <w:jc w:val="both"/>
      </w:pPr>
      <w:bookmarkStart w:id="1080" w:name="bookmark1080"/>
      <w:bookmarkEnd w:id="1080"/>
      <w:r>
        <w:rPr>
          <w:color w:val="000000"/>
          <w:spacing w:val="0"/>
          <w:w w:val="100"/>
          <w:position w:val="0"/>
        </w:rPr>
        <w:t>有足够的技术、财务资源和其他资源支持，以完成该无形资产的开发，并有能力使用或出售该无形资产；</w:t>
      </w:r>
    </w:p>
    <w:p>
      <w:pPr>
        <w:pStyle w:val="Style41"/>
        <w:keepNext w:val="0"/>
        <w:keepLines w:val="0"/>
        <w:widowControl w:val="0"/>
        <w:numPr>
          <w:ilvl w:val="0"/>
          <w:numId w:val="25"/>
        </w:numPr>
        <w:shd w:val="clear" w:color="auto" w:fill="auto"/>
        <w:tabs>
          <w:tab w:pos="753" w:val="left"/>
        </w:tabs>
        <w:bidi w:val="0"/>
        <w:spacing w:before="0" w:after="0" w:line="468" w:lineRule="exact"/>
        <w:ind w:left="0" w:right="0"/>
        <w:jc w:val="both"/>
      </w:pPr>
      <w:bookmarkStart w:id="1081" w:name="bookmark1081"/>
      <w:bookmarkEnd w:id="1081"/>
      <w:r>
        <w:rPr>
          <w:color w:val="000000"/>
          <w:spacing w:val="0"/>
          <w:w w:val="100"/>
          <w:position w:val="0"/>
        </w:rPr>
        <w:t>归属于该无形资产开发阶段的支出能够可靠地计量。</w:t>
      </w:r>
    </w:p>
    <w:p>
      <w:pPr>
        <w:pStyle w:val="Style41"/>
        <w:keepNext w:val="0"/>
        <w:keepLines w:val="0"/>
        <w:widowControl w:val="0"/>
        <w:shd w:val="clear" w:color="auto" w:fill="auto"/>
        <w:bidi w:val="0"/>
        <w:spacing w:before="0" w:after="440" w:line="468" w:lineRule="exact"/>
        <w:ind w:left="0" w:right="0"/>
        <w:jc w:val="both"/>
      </w:pPr>
      <w:r>
        <w:rPr>
          <w:color w:val="000000"/>
          <w:spacing w:val="0"/>
          <w:w w:val="100"/>
          <w:position w:val="0"/>
        </w:rPr>
        <w:t>无法区分研究阶段支出和开发阶段支出的，将发生的研发支出全部计入当期损益。</w:t>
      </w:r>
    </w:p>
    <w:p>
      <w:pPr>
        <w:pStyle w:val="Style47"/>
        <w:keepNext/>
        <w:keepLines/>
        <w:widowControl w:val="0"/>
        <w:shd w:val="clear" w:color="auto" w:fill="auto"/>
        <w:bidi w:val="0"/>
        <w:spacing w:before="0" w:after="220" w:line="240" w:lineRule="auto"/>
        <w:ind w:left="0" w:right="0" w:firstLine="0"/>
        <w:jc w:val="both"/>
      </w:pPr>
      <w:bookmarkStart w:id="1082" w:name="bookmark1082"/>
      <w:bookmarkStart w:id="1083" w:name="bookmark1083"/>
      <w:bookmarkStart w:id="1084" w:name="bookmark1084"/>
      <w:bookmarkStart w:id="1085" w:name="bookmark1085"/>
      <w:r>
        <w:rPr>
          <w:color w:val="000000"/>
          <w:spacing w:val="0"/>
          <w:w w:val="100"/>
          <w:position w:val="0"/>
        </w:rPr>
        <w:t>3</w:t>
      </w:r>
      <w:bookmarkEnd w:id="1084"/>
      <w:r>
        <w:rPr>
          <w:color w:val="000000"/>
          <w:spacing w:val="0"/>
          <w:w w:val="100"/>
          <w:position w:val="0"/>
        </w:rPr>
        <w:t>1、长期资产减值</w:t>
      </w:r>
      <w:bookmarkEnd w:id="1082"/>
      <w:bookmarkEnd w:id="1083"/>
      <w:bookmarkEnd w:id="1085"/>
    </w:p>
    <w:p>
      <w:pPr>
        <w:pStyle w:val="Style41"/>
        <w:keepNext w:val="0"/>
        <w:keepLines w:val="0"/>
        <w:widowControl w:val="0"/>
        <w:shd w:val="clear" w:color="auto" w:fill="auto"/>
        <w:bidi w:val="0"/>
        <w:spacing w:before="0" w:after="320" w:line="467" w:lineRule="exact"/>
        <w:ind w:left="0" w:right="0"/>
        <w:jc w:val="both"/>
        <w:sectPr>
          <w:headerReference w:type="default" r:id="rId321"/>
          <w:footerReference w:type="default" r:id="rId322"/>
          <w:headerReference w:type="even" r:id="rId323"/>
          <w:footerReference w:type="even" r:id="rId324"/>
          <w:footnotePr>
            <w:pos w:val="pageBottom"/>
            <w:numFmt w:val="decimal"/>
            <w:numRestart w:val="continuous"/>
          </w:footnotePr>
          <w:pgSz w:w="11904" w:h="17375"/>
          <w:pgMar w:top="1636" w:right="1104" w:bottom="1636" w:left="1104" w:header="0" w:footer="3" w:gutter="0"/>
          <w:cols w:space="720"/>
          <w:noEndnote/>
          <w:rtlGutter w:val="0"/>
          <w:docGrid w:linePitch="360"/>
        </w:sectPr>
      </w:pPr>
      <w:r>
        <w:rPr>
          <w:color w:val="000000"/>
          <w:spacing w:val="0"/>
          <w:w w:val="100"/>
          <w:position w:val="0"/>
        </w:rPr>
        <w:t>长期股权投资、采用成本模式计量的投资性房地产、固定资产、在建工程、使用寿命有限的无形资产、油气资产等长期 资产，于资产负债表日存在减值迹象的，进行减值测试。减值测试结果表明资产的可收回金额低于其账面价值的，按其差额 计提减值准备并计入减值损失。可收回金额为资产的公允价值减去处置费用后的净额与资产预计未来现金流量的现值两者之 间的较高者。资产减值准备按单项资产为基础计算并确认，如果难以对单项资产的可收回金额进行估计的，以该资产所属的</w:t>
      </w:r>
    </w:p>
    <w:p>
      <w:pPr>
        <w:pStyle w:val="Style212"/>
        <w:keepNext w:val="0"/>
        <w:keepLines w:val="0"/>
        <w:widowControl w:val="0"/>
        <w:shd w:val="clear" w:color="auto" w:fill="auto"/>
        <w:bidi w:val="0"/>
        <w:spacing w:before="0" w:after="0" w:line="240" w:lineRule="auto"/>
        <w:ind w:left="0" w:right="0" w:firstLine="0"/>
        <w:jc w:val="left"/>
      </w:pPr>
      <w:r>
        <w:rPr>
          <w:spacing w:val="0"/>
          <w:w w:val="100"/>
          <w:position w:val="0"/>
        </w:rPr>
        <w:t>Ultrapoiuer</w:t>
      </w:r>
    </w:p>
    <w:p>
      <w:pPr>
        <w:pStyle w:val="Style41"/>
        <w:keepNext w:val="0"/>
        <w:keepLines w:val="0"/>
        <w:widowControl w:val="0"/>
        <w:pBdr>
          <w:top w:val="single" w:sz="4" w:space="0" w:color="auto"/>
        </w:pBdr>
        <w:shd w:val="clear" w:color="auto" w:fill="auto"/>
        <w:bidi w:val="0"/>
        <w:spacing w:before="0" w:after="0" w:line="467" w:lineRule="exact"/>
        <w:ind w:left="0" w:right="0" w:firstLine="820"/>
        <w:jc w:val="both"/>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 资产组确定资产组的可收回金额。资产组是能够独立产生现金流入的最小资产组合。</w:t>
      </w:r>
    </w:p>
    <w:p>
      <w:pPr>
        <w:pStyle w:val="Style41"/>
        <w:keepNext w:val="0"/>
        <w:keepLines w:val="0"/>
        <w:widowControl w:val="0"/>
        <w:shd w:val="clear" w:color="auto" w:fill="auto"/>
        <w:bidi w:val="0"/>
        <w:spacing w:before="0" w:after="0" w:line="467" w:lineRule="exact"/>
        <w:ind w:left="0" w:right="0"/>
        <w:jc w:val="left"/>
      </w:pPr>
      <w:r>
        <w:rPr>
          <w:color w:val="000000"/>
          <w:spacing w:val="0"/>
          <w:w w:val="100"/>
          <w:position w:val="0"/>
        </w:rPr>
        <w:t>对于因企业合并形成的商誉、使用寿命不确定的无形资产、尚未达到可使用状态的无形资产，无论是否存在减值迹象， 至少在每年年度终了进行减值测试。</w:t>
      </w:r>
    </w:p>
    <w:p>
      <w:pPr>
        <w:pStyle w:val="Style41"/>
        <w:keepNext w:val="0"/>
        <w:keepLines w:val="0"/>
        <w:widowControl w:val="0"/>
        <w:shd w:val="clear" w:color="auto" w:fill="auto"/>
        <w:bidi w:val="0"/>
        <w:spacing w:before="0" w:after="0" w:line="467" w:lineRule="exact"/>
        <w:ind w:left="0" w:right="0"/>
        <w:jc w:val="left"/>
      </w:pPr>
      <w:r>
        <w:rPr>
          <w:color w:val="000000"/>
          <w:spacing w:val="0"/>
          <w:w w:val="100"/>
          <w:position w:val="0"/>
        </w:rPr>
        <w:t>本公司进行商誉减值测试，对于因企业合并形成的商誉的账面价值，自购买日起按照合理的方法分摊至相关的资产组； 难以分摊至相关的资产组的，将其分摊至相关的资产组组合。相关的资产组或者资产组组合，是能够从企业合并的协同效应 中受益的资产组或者资产组组合。</w:t>
      </w:r>
    </w:p>
    <w:p>
      <w:pPr>
        <w:pStyle w:val="Style41"/>
        <w:keepNext w:val="0"/>
        <w:keepLines w:val="0"/>
        <w:widowControl w:val="0"/>
        <w:shd w:val="clear" w:color="auto" w:fill="auto"/>
        <w:bidi w:val="0"/>
        <w:spacing w:before="0" w:after="0" w:line="467" w:lineRule="exact"/>
        <w:ind w:left="0" w:right="0"/>
        <w:jc w:val="left"/>
      </w:pPr>
      <w:r>
        <w:rPr>
          <w:color w:val="000000"/>
          <w:spacing w:val="0"/>
          <w:w w:val="100"/>
          <w:position w:val="0"/>
        </w:rPr>
        <w:t>在对包含商誉的相关资产组或者资产组组合进行减值测试时，如与商誉相关的资产组或者资产组组合存在减值迹象的， 先对不包含商誉的资产组或者资产组组合进行减值测试，计算可收回金额，并与相关账面价值相比较，确认相应的减值损失。 然后对包含商誉的资产组或者资产组组合进行减值测试，比较其账面价值与可收回金额，如可收回金额低于账面价值的，减 值损失金额首先抵减分摊至资产组或者资产组组合中商誉的账面价值，再根据资产组或者资产组组合中除商誉之外的其他各 项资产的账面价值所占比重，按比例抵减其他各项资产的账面价值。</w:t>
      </w:r>
    </w:p>
    <w:p>
      <w:pPr>
        <w:pStyle w:val="Style41"/>
        <w:keepNext w:val="0"/>
        <w:keepLines w:val="0"/>
        <w:widowControl w:val="0"/>
        <w:shd w:val="clear" w:color="auto" w:fill="auto"/>
        <w:bidi w:val="0"/>
        <w:spacing w:before="0" w:after="460" w:line="467" w:lineRule="exact"/>
        <w:ind w:left="0" w:right="0"/>
        <w:jc w:val="both"/>
      </w:pPr>
      <w:r>
        <w:rPr>
          <w:color w:val="000000"/>
          <w:spacing w:val="0"/>
          <w:w w:val="100"/>
          <w:position w:val="0"/>
        </w:rPr>
        <w:t>上述资产减值损失一经确认，在以后会计期间不予转回。</w:t>
      </w:r>
    </w:p>
    <w:p>
      <w:pPr>
        <w:pStyle w:val="Style47"/>
        <w:keepNext/>
        <w:keepLines/>
        <w:widowControl w:val="0"/>
        <w:shd w:val="clear" w:color="auto" w:fill="auto"/>
        <w:tabs>
          <w:tab w:pos="483" w:val="left"/>
        </w:tabs>
        <w:bidi w:val="0"/>
        <w:spacing w:before="0" w:after="200" w:line="240" w:lineRule="auto"/>
        <w:ind w:left="0" w:right="0" w:firstLine="0"/>
        <w:jc w:val="left"/>
      </w:pPr>
      <w:bookmarkStart w:id="1086" w:name="bookmark1086"/>
      <w:bookmarkStart w:id="1087" w:name="bookmark1087"/>
      <w:bookmarkStart w:id="1088" w:name="bookmark1088"/>
      <w:bookmarkStart w:id="1089" w:name="bookmark1089"/>
      <w:r>
        <w:rPr>
          <w:color w:val="000000"/>
          <w:spacing w:val="0"/>
          <w:w w:val="100"/>
          <w:position w:val="0"/>
        </w:rPr>
        <w:t>3</w:t>
      </w:r>
      <w:bookmarkEnd w:id="1088"/>
      <w:r>
        <w:rPr>
          <w:color w:val="000000"/>
          <w:spacing w:val="0"/>
          <w:w w:val="100"/>
          <w:position w:val="0"/>
        </w:rPr>
        <w:t>2、</w:t>
        <w:tab/>
        <w:t>长期待摊费用</w:t>
      </w:r>
      <w:bookmarkEnd w:id="1086"/>
      <w:bookmarkEnd w:id="1087"/>
      <w:bookmarkEnd w:id="1089"/>
    </w:p>
    <w:p>
      <w:pPr>
        <w:pStyle w:val="Style41"/>
        <w:keepNext w:val="0"/>
        <w:keepLines w:val="0"/>
        <w:widowControl w:val="0"/>
        <w:shd w:val="clear" w:color="auto" w:fill="auto"/>
        <w:bidi w:val="0"/>
        <w:spacing w:before="0" w:after="260" w:line="467" w:lineRule="exact"/>
        <w:ind w:left="0" w:right="0"/>
        <w:jc w:val="both"/>
      </w:pPr>
      <w:r>
        <w:rPr>
          <w:color w:val="000000"/>
          <w:spacing w:val="0"/>
          <w:w w:val="100"/>
          <w:position w:val="0"/>
        </w:rPr>
        <w:t>长期待摊费用为已经发生但应由本期和以后各期负担的分摊期限在一年以上的各项费用。</w:t>
      </w:r>
    </w:p>
    <w:p>
      <w:pPr>
        <w:pStyle w:val="Style41"/>
        <w:keepNext w:val="0"/>
        <w:keepLines w:val="0"/>
        <w:widowControl w:val="0"/>
        <w:shd w:val="clear" w:color="auto" w:fill="auto"/>
        <w:bidi w:val="0"/>
        <w:spacing w:before="0" w:after="200" w:line="240" w:lineRule="auto"/>
        <w:ind w:left="0" w:right="0"/>
        <w:jc w:val="both"/>
      </w:pPr>
      <w:r>
        <w:rPr>
          <w:color w:val="000000"/>
          <w:spacing w:val="0"/>
          <w:w w:val="100"/>
          <w:position w:val="0"/>
        </w:rPr>
        <w:t>本公司长期待摊费用包括租入办公场所装修和游戏版权金。</w:t>
      </w:r>
    </w:p>
    <w:p>
      <w:pPr>
        <w:pStyle w:val="Style41"/>
        <w:keepNext w:val="0"/>
        <w:keepLines w:val="0"/>
        <w:widowControl w:val="0"/>
        <w:shd w:val="clear" w:color="auto" w:fill="auto"/>
        <w:tabs>
          <w:tab w:pos="450" w:val="left"/>
        </w:tabs>
        <w:bidi w:val="0"/>
        <w:spacing w:before="0" w:after="200" w:line="240" w:lineRule="auto"/>
        <w:ind w:left="0" w:right="0" w:firstLine="0"/>
        <w:jc w:val="left"/>
      </w:pPr>
      <w:bookmarkStart w:id="1090" w:name="bookmark1090"/>
      <w:r>
        <w:rPr>
          <w:b/>
          <w:bCs/>
          <w:color w:val="000000"/>
          <w:spacing w:val="0"/>
          <w:w w:val="100"/>
          <w:position w:val="0"/>
        </w:rPr>
        <w:t>（</w:t>
      </w:r>
      <w:bookmarkEnd w:id="1090"/>
      <w:r>
        <w:rPr>
          <w:rFonts w:ascii="Times New Roman" w:eastAsia="Times New Roman" w:hAnsi="Times New Roman" w:cs="Times New Roman"/>
          <w:b/>
          <w:bCs/>
          <w:color w:val="000000"/>
          <w:spacing w:val="0"/>
          <w:w w:val="100"/>
          <w:position w:val="0"/>
          <w:sz w:val="18"/>
          <w:szCs w:val="18"/>
        </w:rPr>
        <w:t>1</w:t>
      </w:r>
      <w:r>
        <w:rPr>
          <w:b/>
          <w:bCs/>
          <w:color w:val="000000"/>
          <w:spacing w:val="0"/>
          <w:w w:val="100"/>
          <w:position w:val="0"/>
        </w:rPr>
        <w:t>）</w:t>
        <w:tab/>
        <w:t>摊销方法</w:t>
      </w:r>
    </w:p>
    <w:p>
      <w:pPr>
        <w:pStyle w:val="Style41"/>
        <w:keepNext w:val="0"/>
        <w:keepLines w:val="0"/>
        <w:widowControl w:val="0"/>
        <w:shd w:val="clear" w:color="auto" w:fill="auto"/>
        <w:bidi w:val="0"/>
        <w:spacing w:before="0" w:after="200" w:line="240" w:lineRule="auto"/>
        <w:ind w:left="0" w:right="0"/>
        <w:jc w:val="both"/>
      </w:pPr>
      <w:r>
        <w:rPr>
          <w:color w:val="000000"/>
          <w:spacing w:val="0"/>
          <w:w w:val="100"/>
          <w:position w:val="0"/>
        </w:rPr>
        <w:t>长期待摊费用在受益期内平均摊销。</w:t>
      </w:r>
    </w:p>
    <w:p>
      <w:pPr>
        <w:pStyle w:val="Style41"/>
        <w:keepNext w:val="0"/>
        <w:keepLines w:val="0"/>
        <w:widowControl w:val="0"/>
        <w:shd w:val="clear" w:color="auto" w:fill="auto"/>
        <w:tabs>
          <w:tab w:pos="450" w:val="left"/>
        </w:tabs>
        <w:bidi w:val="0"/>
        <w:spacing w:before="0" w:after="200" w:line="240" w:lineRule="auto"/>
        <w:ind w:left="0" w:right="0" w:firstLine="0"/>
        <w:jc w:val="left"/>
      </w:pPr>
      <w:bookmarkStart w:id="1091" w:name="bookmark1091"/>
      <w:r>
        <w:rPr>
          <w:b/>
          <w:bCs/>
          <w:color w:val="000000"/>
          <w:spacing w:val="0"/>
          <w:w w:val="100"/>
          <w:position w:val="0"/>
        </w:rPr>
        <w:t>（</w:t>
      </w:r>
      <w:bookmarkEnd w:id="1091"/>
      <w:r>
        <w:rPr>
          <w:rFonts w:ascii="Times New Roman" w:eastAsia="Times New Roman" w:hAnsi="Times New Roman" w:cs="Times New Roman"/>
          <w:b/>
          <w:bCs/>
          <w:color w:val="000000"/>
          <w:spacing w:val="0"/>
          <w:w w:val="100"/>
          <w:position w:val="0"/>
          <w:sz w:val="18"/>
          <w:szCs w:val="18"/>
        </w:rPr>
        <w:t>2</w:t>
      </w:r>
      <w:r>
        <w:rPr>
          <w:b/>
          <w:bCs/>
          <w:color w:val="000000"/>
          <w:spacing w:val="0"/>
          <w:w w:val="100"/>
          <w:position w:val="0"/>
        </w:rPr>
        <w:t>）</w:t>
        <w:tab/>
        <w:t>摊销年限</w:t>
      </w:r>
    </w:p>
    <w:p>
      <w:pPr>
        <w:pStyle w:val="Style41"/>
        <w:keepNext w:val="0"/>
        <w:keepLines w:val="0"/>
        <w:widowControl w:val="0"/>
        <w:shd w:val="clear" w:color="auto" w:fill="auto"/>
        <w:bidi w:val="0"/>
        <w:spacing w:before="0" w:after="0" w:line="240" w:lineRule="auto"/>
        <w:ind w:left="0" w:right="0"/>
        <w:jc w:val="both"/>
      </w:pPr>
      <w:r>
        <w:rPr>
          <w:color w:val="000000"/>
          <w:spacing w:val="0"/>
          <w:w w:val="100"/>
          <w:position w:val="0"/>
        </w:rPr>
        <w:t>经营租赁方式租入的办公场所装修，按最佳预期经济利益实现方式合理摊销。</w:t>
      </w:r>
    </w:p>
    <w:p>
      <w:pPr>
        <w:pStyle w:val="Style41"/>
        <w:keepNext w:val="0"/>
        <w:keepLines w:val="0"/>
        <w:widowControl w:val="0"/>
        <w:shd w:val="clear" w:color="auto" w:fill="auto"/>
        <w:bidi w:val="0"/>
        <w:spacing w:before="0" w:after="460" w:line="467" w:lineRule="exact"/>
        <w:ind w:left="0" w:right="0"/>
        <w:jc w:val="both"/>
      </w:pPr>
      <w:r>
        <w:rPr>
          <w:color w:val="000000"/>
          <w:spacing w:val="0"/>
          <w:w w:val="100"/>
          <w:position w:val="0"/>
        </w:rPr>
        <w:t>购入游戏版权金，在授权期内合理摊销。</w:t>
      </w:r>
    </w:p>
    <w:p>
      <w:pPr>
        <w:pStyle w:val="Style47"/>
        <w:keepNext/>
        <w:keepLines/>
        <w:widowControl w:val="0"/>
        <w:shd w:val="clear" w:color="auto" w:fill="auto"/>
        <w:tabs>
          <w:tab w:pos="483" w:val="left"/>
        </w:tabs>
        <w:bidi w:val="0"/>
        <w:spacing w:before="0" w:after="380" w:line="240" w:lineRule="auto"/>
        <w:ind w:left="0" w:right="0" w:firstLine="0"/>
        <w:jc w:val="left"/>
      </w:pPr>
      <w:bookmarkStart w:id="1092" w:name="bookmark1092"/>
      <w:bookmarkStart w:id="1093" w:name="bookmark1093"/>
      <w:bookmarkStart w:id="1094" w:name="bookmark1094"/>
      <w:bookmarkStart w:id="1095" w:name="bookmark1095"/>
      <w:r>
        <w:rPr>
          <w:color w:val="000000"/>
          <w:spacing w:val="0"/>
          <w:w w:val="100"/>
          <w:position w:val="0"/>
        </w:rPr>
        <w:t>3</w:t>
      </w:r>
      <w:bookmarkEnd w:id="1094"/>
      <w:r>
        <w:rPr>
          <w:color w:val="000000"/>
          <w:spacing w:val="0"/>
          <w:w w:val="100"/>
          <w:position w:val="0"/>
        </w:rPr>
        <w:t>3、</w:t>
        <w:tab/>
        <w:t>合同负债</w:t>
      </w:r>
      <w:bookmarkEnd w:id="1092"/>
      <w:bookmarkEnd w:id="1093"/>
      <w:bookmarkEnd w:id="1095"/>
    </w:p>
    <w:p>
      <w:pPr>
        <w:pStyle w:val="Style41"/>
        <w:keepNext w:val="0"/>
        <w:keepLines w:val="0"/>
        <w:widowControl w:val="0"/>
        <w:shd w:val="clear" w:color="auto" w:fill="auto"/>
        <w:bidi w:val="0"/>
        <w:spacing w:before="0" w:after="0" w:line="240" w:lineRule="auto"/>
        <w:ind w:left="0" w:right="0"/>
        <w:jc w:val="left"/>
      </w:pPr>
      <w:r>
        <w:rPr>
          <w:b/>
          <w:bCs/>
          <w:color w:val="000000"/>
          <w:spacing w:val="0"/>
          <w:w w:val="100"/>
          <w:position w:val="0"/>
        </w:rPr>
        <w:t>自</w:t>
      </w:r>
      <w:r>
        <w:rPr>
          <w:rFonts w:ascii="Times New Roman" w:eastAsia="Times New Roman" w:hAnsi="Times New Roman" w:cs="Times New Roman"/>
          <w:b/>
          <w:bCs/>
          <w:color w:val="000000"/>
          <w:spacing w:val="0"/>
          <w:w w:val="100"/>
          <w:position w:val="0"/>
          <w:sz w:val="18"/>
          <w:szCs w:val="18"/>
        </w:rPr>
        <w:t>2020</w:t>
      </w:r>
      <w:r>
        <w:rPr>
          <w:b/>
          <w:bCs/>
          <w:color w:val="000000"/>
          <w:spacing w:val="0"/>
          <w:w w:val="100"/>
          <w:position w:val="0"/>
        </w:rPr>
        <w:t>年</w:t>
      </w:r>
      <w:r>
        <w:rPr>
          <w:rFonts w:ascii="Times New Roman" w:eastAsia="Times New Roman" w:hAnsi="Times New Roman" w:cs="Times New Roman"/>
          <w:b/>
          <w:bCs/>
          <w:color w:val="000000"/>
          <w:spacing w:val="0"/>
          <w:w w:val="100"/>
          <w:position w:val="0"/>
          <w:sz w:val="18"/>
          <w:szCs w:val="18"/>
        </w:rPr>
        <w:t>1</w:t>
      </w:r>
      <w:r>
        <w:rPr>
          <w:b/>
          <w:bCs/>
          <w:color w:val="000000"/>
          <w:spacing w:val="0"/>
          <w:w w:val="100"/>
          <w:position w:val="0"/>
        </w:rPr>
        <w:t>月</w:t>
      </w:r>
      <w:r>
        <w:rPr>
          <w:rFonts w:ascii="Times New Roman" w:eastAsia="Times New Roman" w:hAnsi="Times New Roman" w:cs="Times New Roman"/>
          <w:b/>
          <w:bCs/>
          <w:color w:val="000000"/>
          <w:spacing w:val="0"/>
          <w:w w:val="100"/>
          <w:position w:val="0"/>
          <w:sz w:val="18"/>
          <w:szCs w:val="18"/>
        </w:rPr>
        <w:t>1</w:t>
      </w:r>
      <w:r>
        <w:rPr>
          <w:b/>
          <w:bCs/>
          <w:color w:val="000000"/>
          <w:spacing w:val="0"/>
          <w:w w:val="100"/>
          <w:position w:val="0"/>
        </w:rPr>
        <w:t>日起的会计政策</w:t>
      </w:r>
    </w:p>
    <w:p>
      <w:pPr>
        <w:pStyle w:val="Style41"/>
        <w:keepNext w:val="0"/>
        <w:keepLines w:val="0"/>
        <w:widowControl w:val="0"/>
        <w:shd w:val="clear" w:color="auto" w:fill="auto"/>
        <w:bidi w:val="0"/>
        <w:spacing w:before="0" w:after="460" w:line="470" w:lineRule="exact"/>
        <w:ind w:left="0" w:right="0"/>
        <w:jc w:val="left"/>
      </w:pPr>
      <w:r>
        <w:rPr>
          <w:color w:val="000000"/>
          <w:spacing w:val="0"/>
          <w:w w:val="100"/>
          <w:position w:val="0"/>
        </w:rPr>
        <w:t>本公司根据履行履约义务与客户付款之间的关系在资产负债表中列示合同资产或合同负债。本公司已收或应收客户对价 而应向客户转让商品或提供服务的义务列示为合同负债。同一合同下的合同资产和合同负债以净额列示。</w:t>
      </w:r>
    </w:p>
    <w:p>
      <w:pPr>
        <w:pStyle w:val="Style47"/>
        <w:keepNext/>
        <w:keepLines/>
        <w:widowControl w:val="0"/>
        <w:shd w:val="clear" w:color="auto" w:fill="auto"/>
        <w:tabs>
          <w:tab w:pos="483" w:val="left"/>
        </w:tabs>
        <w:bidi w:val="0"/>
        <w:spacing w:before="0" w:after="380" w:line="240" w:lineRule="auto"/>
        <w:ind w:left="0" w:right="0" w:firstLine="0"/>
        <w:jc w:val="left"/>
      </w:pPr>
      <w:bookmarkStart w:id="1096" w:name="bookmark1096"/>
      <w:bookmarkStart w:id="1097" w:name="bookmark1097"/>
      <w:bookmarkStart w:id="1098" w:name="bookmark1098"/>
      <w:bookmarkStart w:id="1099" w:name="bookmark1099"/>
      <w:r>
        <w:rPr>
          <w:color w:val="000000"/>
          <w:spacing w:val="0"/>
          <w:w w:val="100"/>
          <w:position w:val="0"/>
        </w:rPr>
        <w:t>3</w:t>
      </w:r>
      <w:bookmarkEnd w:id="1098"/>
      <w:r>
        <w:rPr>
          <w:color w:val="000000"/>
          <w:spacing w:val="0"/>
          <w:w w:val="100"/>
          <w:position w:val="0"/>
        </w:rPr>
        <w:t>4、</w:t>
        <w:tab/>
        <w:t>职工薪酬</w:t>
      </w:r>
      <w:bookmarkEnd w:id="1096"/>
      <w:bookmarkEnd w:id="1097"/>
      <w:bookmarkEnd w:id="1099"/>
    </w:p>
    <w:p>
      <w:pPr>
        <w:pStyle w:val="Style58"/>
        <w:keepNext/>
        <w:keepLines/>
        <w:widowControl w:val="0"/>
        <w:shd w:val="clear" w:color="auto" w:fill="auto"/>
        <w:bidi w:val="0"/>
        <w:spacing w:before="0" w:after="200" w:line="240" w:lineRule="auto"/>
        <w:ind w:left="0" w:right="0" w:firstLine="0"/>
        <w:jc w:val="left"/>
        <w:rPr>
          <w:sz w:val="20"/>
          <w:szCs w:val="20"/>
        </w:rPr>
      </w:pPr>
      <w:bookmarkStart w:id="1100" w:name="bookmark1100"/>
      <w:bookmarkStart w:id="1101" w:name="bookmark1101"/>
      <w:bookmarkStart w:id="1102" w:name="bookmark1102"/>
      <w:bookmarkStart w:id="1103" w:name="bookmark1103"/>
      <w:r>
        <w:rPr>
          <w:b/>
          <w:bCs/>
          <w:color w:val="000000"/>
          <w:spacing w:val="0"/>
          <w:w w:val="100"/>
          <w:position w:val="0"/>
          <w:sz w:val="20"/>
          <w:szCs w:val="20"/>
        </w:rPr>
        <w:t>（</w:t>
      </w:r>
      <w:bookmarkEnd w:id="1102"/>
      <w:r>
        <w:rPr>
          <w:b/>
          <w:bCs/>
          <w:color w:val="000000"/>
          <w:spacing w:val="0"/>
          <w:w w:val="100"/>
          <w:position w:val="0"/>
          <w:sz w:val="20"/>
          <w:szCs w:val="20"/>
        </w:rPr>
        <w:t>1）短期薪酬的会计处理方法</w:t>
      </w:r>
      <w:bookmarkEnd w:id="1100"/>
      <w:bookmarkEnd w:id="1101"/>
      <w:bookmarkEnd w:id="1103"/>
    </w:p>
    <w:p>
      <w:pPr>
        <w:pStyle w:val="Style41"/>
        <w:keepNext w:val="0"/>
        <w:keepLines w:val="0"/>
        <w:widowControl w:val="0"/>
        <w:shd w:val="clear" w:color="auto" w:fill="auto"/>
        <w:bidi w:val="0"/>
        <w:spacing w:before="0" w:after="220" w:line="467" w:lineRule="exact"/>
        <w:ind w:left="0" w:right="0"/>
        <w:jc w:val="both"/>
      </w:pPr>
      <w:r>
        <w:rPr>
          <w:color w:val="000000"/>
          <w:spacing w:val="0"/>
          <w:w w:val="100"/>
          <w:position w:val="0"/>
        </w:rPr>
        <w:t>本公司在职工为本公司提供服务的会计期间，将实际发生的短期薪酬确认为负债，并计入当期损益或相关资产成本。</w:t>
      </w:r>
    </w:p>
    <w:p>
      <w:pPr>
        <w:pStyle w:val="Style212"/>
        <w:keepNext w:val="0"/>
        <w:keepLines w:val="0"/>
        <w:widowControl w:val="0"/>
        <w:shd w:val="clear" w:color="auto" w:fill="auto"/>
        <w:bidi w:val="0"/>
        <w:spacing w:before="0" w:after="0" w:line="240" w:lineRule="auto"/>
        <w:ind w:left="0" w:right="0" w:firstLine="0"/>
        <w:jc w:val="left"/>
      </w:pPr>
      <w:r>
        <w:rPr>
          <w:spacing w:val="0"/>
          <w:w w:val="100"/>
          <w:position w:val="0"/>
        </w:rPr>
        <w:t>Ultrapoiuer</w:t>
      </w:r>
    </w:p>
    <w:p>
      <w:pPr>
        <w:pStyle w:val="Style41"/>
        <w:keepNext w:val="0"/>
        <w:keepLines w:val="0"/>
        <w:widowControl w:val="0"/>
        <w:shd w:val="clear" w:color="auto" w:fill="auto"/>
        <w:bidi w:val="0"/>
        <w:spacing w:before="0" w:after="0" w:line="464" w:lineRule="exact"/>
        <w:ind w:left="0" w:right="0" w:firstLine="820"/>
        <w:jc w:val="both"/>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 本公司为职工缴纳的社会保险费和住房公积金，以及按规定提取的工会经费和职工教育经费，在职工为本公司提供服务 的会计期间，根据规定的计提基础和计提比例计算确定相应的职工薪酬金额。</w:t>
      </w:r>
    </w:p>
    <w:p>
      <w:pPr>
        <w:pStyle w:val="Style41"/>
        <w:keepNext w:val="0"/>
        <w:keepLines w:val="0"/>
        <w:widowControl w:val="0"/>
        <w:shd w:val="clear" w:color="auto" w:fill="auto"/>
        <w:bidi w:val="0"/>
        <w:spacing w:before="0" w:after="460" w:line="464" w:lineRule="exact"/>
        <w:ind w:left="0" w:right="0"/>
        <w:jc w:val="both"/>
      </w:pPr>
      <w:r>
        <w:rPr>
          <w:color w:val="000000"/>
          <w:spacing w:val="0"/>
          <w:w w:val="100"/>
          <w:position w:val="0"/>
        </w:rPr>
        <w:t>本公司发生的职工福利费，在实际发生时根据实际发生额计入当期损益或相关资产成本，其中，非货币性福利按照公允 价值计量。</w:t>
      </w:r>
    </w:p>
    <w:p>
      <w:pPr>
        <w:pStyle w:val="Style58"/>
        <w:keepNext/>
        <w:keepLines/>
        <w:widowControl w:val="0"/>
        <w:numPr>
          <w:ilvl w:val="0"/>
          <w:numId w:val="27"/>
        </w:numPr>
        <w:shd w:val="clear" w:color="auto" w:fill="auto"/>
        <w:tabs>
          <w:tab w:pos="493" w:val="left"/>
        </w:tabs>
        <w:bidi w:val="0"/>
        <w:spacing w:before="0" w:after="460" w:line="240" w:lineRule="auto"/>
        <w:ind w:left="0" w:right="0" w:firstLine="0"/>
        <w:jc w:val="left"/>
        <w:rPr>
          <w:sz w:val="20"/>
          <w:szCs w:val="20"/>
        </w:rPr>
      </w:pPr>
      <w:bookmarkStart w:id="1104" w:name="bookmark1104"/>
      <w:bookmarkStart w:id="1105" w:name="bookmark1105"/>
      <w:bookmarkStart w:id="1106" w:name="bookmark1106"/>
      <w:bookmarkStart w:id="1107" w:name="bookmark1107"/>
      <w:bookmarkEnd w:id="1106"/>
      <w:r>
        <w:rPr>
          <w:b/>
          <w:bCs/>
          <w:color w:val="000000"/>
          <w:spacing w:val="0"/>
          <w:w w:val="100"/>
          <w:position w:val="0"/>
          <w:sz w:val="20"/>
          <w:szCs w:val="20"/>
        </w:rPr>
        <w:t>离职后福利的会计处理方法</w:t>
      </w:r>
      <w:bookmarkEnd w:id="1104"/>
      <w:bookmarkEnd w:id="1105"/>
      <w:bookmarkEnd w:id="1107"/>
    </w:p>
    <w:p>
      <w:pPr>
        <w:pStyle w:val="Style41"/>
        <w:keepNext w:val="0"/>
        <w:keepLines w:val="0"/>
        <w:widowControl w:val="0"/>
        <w:numPr>
          <w:ilvl w:val="0"/>
          <w:numId w:val="29"/>
        </w:numPr>
        <w:shd w:val="clear" w:color="auto" w:fill="auto"/>
        <w:tabs>
          <w:tab w:pos="729" w:val="left"/>
        </w:tabs>
        <w:bidi w:val="0"/>
        <w:spacing w:before="0" w:after="0" w:line="545" w:lineRule="auto"/>
        <w:ind w:left="0" w:right="0"/>
        <w:jc w:val="both"/>
      </w:pPr>
      <w:bookmarkStart w:id="1108" w:name="bookmark1108"/>
      <w:bookmarkEnd w:id="1108"/>
      <w:r>
        <w:rPr>
          <w:color w:val="000000"/>
          <w:spacing w:val="0"/>
          <w:w w:val="100"/>
          <w:position w:val="0"/>
        </w:rPr>
        <w:t>设定提存计划</w:t>
      </w:r>
    </w:p>
    <w:p>
      <w:pPr>
        <w:pStyle w:val="Style41"/>
        <w:keepNext w:val="0"/>
        <w:keepLines w:val="0"/>
        <w:widowControl w:val="0"/>
        <w:shd w:val="clear" w:color="auto" w:fill="auto"/>
        <w:bidi w:val="0"/>
        <w:spacing w:before="0" w:after="260" w:line="470" w:lineRule="exact"/>
        <w:ind w:left="0" w:right="0"/>
        <w:jc w:val="both"/>
      </w:pPr>
      <w:r>
        <w:rPr>
          <w:color w:val="000000"/>
          <w:spacing w:val="0"/>
          <w:w w:val="100"/>
          <w:position w:val="0"/>
        </w:rPr>
        <w:t>本公司按当地政府的相关规定为职工缴纳基本养老保险和失业保险，在职工为本公司提供服务的会计期间，按以当地规 定的缴纳基数和比例计算应缴纳金额，确认为负债，并计入当期损益或相关资产成本。此外，本公司还参与了由国家相关部 门批准的企业年金计划</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补充养老保险基金。本公司按职工工资总额的一定比例向年金计划</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当地社会保险机构缴费，相应支 出计入当期损益或相关资产成本。</w:t>
      </w:r>
    </w:p>
    <w:p>
      <w:pPr>
        <w:pStyle w:val="Style41"/>
        <w:keepNext w:val="0"/>
        <w:keepLines w:val="0"/>
        <w:widowControl w:val="0"/>
        <w:numPr>
          <w:ilvl w:val="0"/>
          <w:numId w:val="29"/>
        </w:numPr>
        <w:shd w:val="clear" w:color="auto" w:fill="auto"/>
        <w:tabs>
          <w:tab w:pos="748" w:val="left"/>
        </w:tabs>
        <w:bidi w:val="0"/>
        <w:spacing w:before="0" w:after="0" w:line="545" w:lineRule="auto"/>
        <w:ind w:left="0" w:right="0"/>
        <w:jc w:val="both"/>
      </w:pPr>
      <w:bookmarkStart w:id="1109" w:name="bookmark1109"/>
      <w:bookmarkEnd w:id="1109"/>
      <w:r>
        <w:rPr>
          <w:color w:val="000000"/>
          <w:spacing w:val="0"/>
          <w:w w:val="100"/>
          <w:position w:val="0"/>
        </w:rPr>
        <w:t>设定受益计划</w:t>
      </w:r>
    </w:p>
    <w:p>
      <w:pPr>
        <w:pStyle w:val="Style41"/>
        <w:keepNext w:val="0"/>
        <w:keepLines w:val="0"/>
        <w:widowControl w:val="0"/>
        <w:shd w:val="clear" w:color="auto" w:fill="auto"/>
        <w:bidi w:val="0"/>
        <w:spacing w:before="0" w:after="0" w:line="470" w:lineRule="exact"/>
        <w:ind w:left="0" w:right="0"/>
        <w:jc w:val="both"/>
      </w:pPr>
      <w:r>
        <w:rPr>
          <w:color w:val="000000"/>
          <w:spacing w:val="0"/>
          <w:w w:val="100"/>
          <w:position w:val="0"/>
        </w:rPr>
        <w:t>本公司根据预期累计福利单位法确定的公式将设定受益计划产生的福利义务归属于职工提供服务的期间，并计入当期损 益或相关资产成本。</w:t>
      </w:r>
    </w:p>
    <w:p>
      <w:pPr>
        <w:pStyle w:val="Style41"/>
        <w:keepNext w:val="0"/>
        <w:keepLines w:val="0"/>
        <w:widowControl w:val="0"/>
        <w:shd w:val="clear" w:color="auto" w:fill="auto"/>
        <w:bidi w:val="0"/>
        <w:spacing w:before="0" w:after="0" w:line="470" w:lineRule="exact"/>
        <w:ind w:left="0" w:right="0"/>
        <w:jc w:val="both"/>
      </w:pPr>
      <w:r>
        <w:rPr>
          <w:color w:val="000000"/>
          <w:spacing w:val="0"/>
          <w:w w:val="100"/>
          <w:position w:val="0"/>
        </w:rPr>
        <w:t>设定受益计划义务现值减去设定受益计划资产公允价值所形成的赤字或盈余确认为一项设定受益计划净负债或净资产。 设定受益计划存在盈余的，本公司以设定受益计划的盈余和资产上限两项的孰低者计量设定受益计划净资产。</w:t>
      </w:r>
    </w:p>
    <w:p>
      <w:pPr>
        <w:pStyle w:val="Style41"/>
        <w:keepNext w:val="0"/>
        <w:keepLines w:val="0"/>
        <w:widowControl w:val="0"/>
        <w:shd w:val="clear" w:color="auto" w:fill="auto"/>
        <w:bidi w:val="0"/>
        <w:spacing w:before="0" w:after="0" w:line="470" w:lineRule="exact"/>
        <w:ind w:left="0" w:right="0"/>
        <w:jc w:val="both"/>
      </w:pPr>
      <w:r>
        <w:rPr>
          <w:color w:val="000000"/>
          <w:spacing w:val="0"/>
          <w:w w:val="100"/>
          <w:position w:val="0"/>
        </w:rPr>
        <w:t>所有设定受益计划义务，包括预期在职工提供服务的年度报告期间结束后的十二个月内支付的义务，根据资产负债表日 与设定受益计划义务期限和币种相匹配的国债或活跃市场上的高质量公司债券的市场收益率予以折现。</w:t>
      </w:r>
    </w:p>
    <w:p>
      <w:pPr>
        <w:pStyle w:val="Style41"/>
        <w:keepNext w:val="0"/>
        <w:keepLines w:val="0"/>
        <w:widowControl w:val="0"/>
        <w:shd w:val="clear" w:color="auto" w:fill="auto"/>
        <w:bidi w:val="0"/>
        <w:spacing w:before="0" w:after="0" w:line="470" w:lineRule="exact"/>
        <w:ind w:left="0" w:right="0"/>
        <w:jc w:val="both"/>
      </w:pPr>
      <w:r>
        <w:rPr>
          <w:color w:val="000000"/>
          <w:spacing w:val="0"/>
          <w:w w:val="100"/>
          <w:position w:val="0"/>
        </w:rPr>
        <w:t>设定受益计划产生的服务成本和设定受益计划净负债或净资产的利息净额计入当期损益或相关资产成本;重新计量设定 受益计划净负债或净资产所产生的变动计入其他综合收益，并且在后续会计期间不转回至损益，在原设定受益计划终止时在 权益范围内将原计入其他综合收益的部分全部结转至未分配利润。</w:t>
      </w:r>
    </w:p>
    <w:p>
      <w:pPr>
        <w:pStyle w:val="Style41"/>
        <w:keepNext w:val="0"/>
        <w:keepLines w:val="0"/>
        <w:widowControl w:val="0"/>
        <w:shd w:val="clear" w:color="auto" w:fill="auto"/>
        <w:bidi w:val="0"/>
        <w:spacing w:before="0" w:after="460" w:line="470" w:lineRule="exact"/>
        <w:ind w:left="0" w:right="0"/>
        <w:jc w:val="left"/>
      </w:pPr>
      <w:r>
        <w:rPr>
          <w:color w:val="000000"/>
          <w:spacing w:val="0"/>
          <w:w w:val="100"/>
          <w:position w:val="0"/>
        </w:rPr>
        <w:t>在设定受益计划结算时，按在结算日确定的设定受益计划义务现值和结算价格两者的差额，确认结算利得或损失。</w:t>
      </w:r>
    </w:p>
    <w:p>
      <w:pPr>
        <w:pStyle w:val="Style58"/>
        <w:keepNext/>
        <w:keepLines/>
        <w:widowControl w:val="0"/>
        <w:numPr>
          <w:ilvl w:val="0"/>
          <w:numId w:val="27"/>
        </w:numPr>
        <w:shd w:val="clear" w:color="auto" w:fill="auto"/>
        <w:tabs>
          <w:tab w:pos="493" w:val="left"/>
        </w:tabs>
        <w:bidi w:val="0"/>
        <w:spacing w:before="0" w:after="220" w:line="240" w:lineRule="auto"/>
        <w:ind w:left="0" w:right="0" w:firstLine="0"/>
        <w:jc w:val="left"/>
        <w:rPr>
          <w:sz w:val="20"/>
          <w:szCs w:val="20"/>
        </w:rPr>
      </w:pPr>
      <w:bookmarkStart w:id="1110" w:name="bookmark1110"/>
      <w:bookmarkStart w:id="1111" w:name="bookmark1111"/>
      <w:bookmarkStart w:id="1112" w:name="bookmark1112"/>
      <w:bookmarkStart w:id="1113" w:name="bookmark1113"/>
      <w:bookmarkEnd w:id="1112"/>
      <w:r>
        <w:rPr>
          <w:b/>
          <w:bCs/>
          <w:color w:val="000000"/>
          <w:spacing w:val="0"/>
          <w:w w:val="100"/>
          <w:position w:val="0"/>
          <w:sz w:val="20"/>
          <w:szCs w:val="20"/>
        </w:rPr>
        <w:t>辞退福利的会计处理方法</w:t>
      </w:r>
      <w:bookmarkEnd w:id="1110"/>
      <w:bookmarkEnd w:id="1111"/>
      <w:bookmarkEnd w:id="1113"/>
    </w:p>
    <w:p>
      <w:pPr>
        <w:pStyle w:val="Style41"/>
        <w:keepNext w:val="0"/>
        <w:keepLines w:val="0"/>
        <w:widowControl w:val="0"/>
        <w:shd w:val="clear" w:color="auto" w:fill="auto"/>
        <w:bidi w:val="0"/>
        <w:spacing w:before="0" w:after="460" w:line="466" w:lineRule="exact"/>
        <w:ind w:left="0" w:right="0"/>
        <w:jc w:val="both"/>
      </w:pPr>
      <w:r>
        <w:rPr>
          <w:color w:val="000000"/>
          <w:spacing w:val="0"/>
          <w:w w:val="100"/>
          <w:position w:val="0"/>
        </w:rPr>
        <w:t>本公司向职工提供辞退福利的，在下列两者孰早日确认辞退福利产生的职工薪酬负债，并计入当期损益：公司不能单方 面撤回因解除劳动关系计划或裁减建议所提供的辞退福利时；公司确认与涉及支付辞退福利的重组相关的成本或费用时。</w:t>
      </w:r>
    </w:p>
    <w:p>
      <w:pPr>
        <w:pStyle w:val="Style58"/>
        <w:keepNext/>
        <w:keepLines/>
        <w:widowControl w:val="0"/>
        <w:numPr>
          <w:ilvl w:val="0"/>
          <w:numId w:val="27"/>
        </w:numPr>
        <w:shd w:val="clear" w:color="auto" w:fill="auto"/>
        <w:tabs>
          <w:tab w:pos="493" w:val="left"/>
        </w:tabs>
        <w:bidi w:val="0"/>
        <w:spacing w:before="0" w:after="400" w:line="240" w:lineRule="auto"/>
        <w:ind w:left="0" w:right="0" w:firstLine="0"/>
        <w:jc w:val="left"/>
        <w:rPr>
          <w:sz w:val="20"/>
          <w:szCs w:val="20"/>
        </w:rPr>
      </w:pPr>
      <w:bookmarkStart w:id="1114" w:name="bookmark1114"/>
      <w:bookmarkStart w:id="1115" w:name="bookmark1115"/>
      <w:bookmarkStart w:id="1116" w:name="bookmark1116"/>
      <w:bookmarkStart w:id="1117" w:name="bookmark1117"/>
      <w:bookmarkEnd w:id="1116"/>
      <w:r>
        <w:rPr>
          <w:b/>
          <w:bCs/>
          <w:color w:val="000000"/>
          <w:spacing w:val="0"/>
          <w:w w:val="100"/>
          <w:position w:val="0"/>
          <w:sz w:val="20"/>
          <w:szCs w:val="20"/>
        </w:rPr>
        <w:t>其他长期职工福利的会计处理方法</w:t>
      </w:r>
      <w:bookmarkEnd w:id="1114"/>
      <w:bookmarkEnd w:id="1115"/>
      <w:bookmarkEnd w:id="1117"/>
    </w:p>
    <w:p>
      <w:pPr>
        <w:pStyle w:val="Style41"/>
        <w:keepNext w:val="0"/>
        <w:keepLines w:val="0"/>
        <w:widowControl w:val="0"/>
        <w:shd w:val="clear" w:color="auto" w:fill="auto"/>
        <w:bidi w:val="0"/>
        <w:spacing w:before="0" w:after="460" w:line="470" w:lineRule="exact"/>
        <w:ind w:left="0" w:right="0"/>
        <w:jc w:val="both"/>
        <w:sectPr>
          <w:headerReference w:type="default" r:id="rId325"/>
          <w:footerReference w:type="default" r:id="rId326"/>
          <w:headerReference w:type="even" r:id="rId327"/>
          <w:footerReference w:type="even" r:id="rId328"/>
          <w:footnotePr>
            <w:pos w:val="pageBottom"/>
            <w:numFmt w:val="decimal"/>
            <w:numRestart w:val="continuous"/>
          </w:footnotePr>
          <w:pgSz w:w="11904" w:h="17375"/>
          <w:pgMar w:top="1070" w:right="1020" w:bottom="1926" w:left="1102" w:header="642" w:footer="3" w:gutter="0"/>
          <w:cols w:space="720"/>
          <w:noEndnote/>
          <w:rtlGutter w:val="0"/>
          <w:docGrid w:linePitch="360"/>
        </w:sectPr>
      </w:pPr>
      <w:r>
        <w:rPr>
          <w:color w:val="000000"/>
          <w:spacing w:val="0"/>
          <w:w w:val="100"/>
          <w:position w:val="0"/>
        </w:rPr>
        <w:t>无。</w:t>
      </w:r>
    </w:p>
    <w:p>
      <w:pPr>
        <w:pStyle w:val="Style47"/>
        <w:keepNext/>
        <w:keepLines/>
        <w:widowControl w:val="0"/>
        <w:shd w:val="clear" w:color="auto" w:fill="auto"/>
        <w:tabs>
          <w:tab w:pos="483" w:val="left"/>
        </w:tabs>
        <w:bidi w:val="0"/>
        <w:spacing w:before="0" w:after="400" w:line="240" w:lineRule="auto"/>
        <w:ind w:left="0" w:right="0" w:firstLine="0"/>
        <w:jc w:val="both"/>
      </w:pPr>
      <w:bookmarkStart w:id="1118" w:name="bookmark1118"/>
      <w:bookmarkStart w:id="1119" w:name="bookmark1119"/>
      <w:bookmarkStart w:id="1120" w:name="bookmark1120"/>
      <w:bookmarkStart w:id="1121" w:name="bookmark1121"/>
      <w:r>
        <w:rPr>
          <w:color w:val="000000"/>
          <w:spacing w:val="0"/>
          <w:w w:val="100"/>
          <w:position w:val="0"/>
        </w:rPr>
        <w:t>3</w:t>
      </w:r>
      <w:bookmarkEnd w:id="1120"/>
      <w:r>
        <w:rPr>
          <w:color w:val="000000"/>
          <w:spacing w:val="0"/>
          <w:w w:val="100"/>
          <w:position w:val="0"/>
        </w:rPr>
        <w:t>5、</w:t>
        <w:tab/>
        <w:t>租赁负债</w:t>
      </w:r>
      <w:bookmarkEnd w:id="1118"/>
      <w:bookmarkEnd w:id="1119"/>
      <w:bookmarkEnd w:id="1121"/>
    </w:p>
    <w:p>
      <w:pPr>
        <w:pStyle w:val="Style41"/>
        <w:keepNext w:val="0"/>
        <w:keepLines w:val="0"/>
        <w:widowControl w:val="0"/>
        <w:shd w:val="clear" w:color="auto" w:fill="auto"/>
        <w:bidi w:val="0"/>
        <w:spacing w:before="0" w:after="400" w:line="466" w:lineRule="exact"/>
        <w:ind w:left="0" w:right="0"/>
        <w:jc w:val="both"/>
      </w:pPr>
      <w:r>
        <w:rPr>
          <w:color w:val="000000"/>
          <w:spacing w:val="0"/>
          <w:w w:val="100"/>
          <w:position w:val="0"/>
        </w:rPr>
        <w:t>无。</w:t>
      </w:r>
    </w:p>
    <w:p>
      <w:pPr>
        <w:pStyle w:val="Style47"/>
        <w:keepNext/>
        <w:keepLines/>
        <w:widowControl w:val="0"/>
        <w:shd w:val="clear" w:color="auto" w:fill="auto"/>
        <w:tabs>
          <w:tab w:pos="483" w:val="left"/>
        </w:tabs>
        <w:bidi w:val="0"/>
        <w:spacing w:before="0" w:after="200" w:line="240" w:lineRule="auto"/>
        <w:ind w:left="0" w:right="0" w:firstLine="0"/>
        <w:jc w:val="both"/>
      </w:pPr>
      <w:bookmarkStart w:id="1122" w:name="bookmark1122"/>
      <w:bookmarkStart w:id="1123" w:name="bookmark1123"/>
      <w:bookmarkStart w:id="1124" w:name="bookmark1124"/>
      <w:bookmarkStart w:id="1125" w:name="bookmark1125"/>
      <w:r>
        <w:rPr>
          <w:color w:val="000000"/>
          <w:spacing w:val="0"/>
          <w:w w:val="100"/>
          <w:position w:val="0"/>
        </w:rPr>
        <w:t>3</w:t>
      </w:r>
      <w:bookmarkEnd w:id="1124"/>
      <w:r>
        <w:rPr>
          <w:color w:val="000000"/>
          <w:spacing w:val="0"/>
          <w:w w:val="100"/>
          <w:position w:val="0"/>
        </w:rPr>
        <w:t>6、</w:t>
        <w:tab/>
        <w:t>预计负债</w:t>
      </w:r>
      <w:bookmarkEnd w:id="1122"/>
      <w:bookmarkEnd w:id="1123"/>
      <w:bookmarkEnd w:id="1125"/>
    </w:p>
    <w:p>
      <w:pPr>
        <w:pStyle w:val="Style41"/>
        <w:keepNext w:val="0"/>
        <w:keepLines w:val="0"/>
        <w:widowControl w:val="0"/>
        <w:shd w:val="clear" w:color="auto" w:fill="auto"/>
        <w:bidi w:val="0"/>
        <w:spacing w:before="0" w:after="0" w:line="466" w:lineRule="exact"/>
        <w:ind w:left="0" w:right="0"/>
        <w:jc w:val="both"/>
      </w:pPr>
      <w:r>
        <w:rPr>
          <w:color w:val="000000"/>
          <w:spacing w:val="0"/>
          <w:w w:val="100"/>
          <w:position w:val="0"/>
        </w:rPr>
        <w:t>与或有事项相关的义务同时满足下列条件时，本公司将其确认为预计负债：</w:t>
      </w:r>
    </w:p>
    <w:p>
      <w:pPr>
        <w:pStyle w:val="Style41"/>
        <w:keepNext w:val="0"/>
        <w:keepLines w:val="0"/>
        <w:widowControl w:val="0"/>
        <w:shd w:val="clear" w:color="auto" w:fill="auto"/>
        <w:tabs>
          <w:tab w:pos="825" w:val="left"/>
        </w:tabs>
        <w:bidi w:val="0"/>
        <w:spacing w:before="0" w:after="0" w:line="466" w:lineRule="exact"/>
        <w:ind w:left="0" w:right="0"/>
        <w:jc w:val="both"/>
      </w:pPr>
      <w:bookmarkStart w:id="1126" w:name="bookmark1126"/>
      <w:r>
        <w:rPr>
          <w:color w:val="000000"/>
          <w:spacing w:val="0"/>
          <w:w w:val="100"/>
          <w:position w:val="0"/>
        </w:rPr>
        <w:t>（</w:t>
      </w:r>
      <w:bookmarkEnd w:id="1126"/>
      <w:r>
        <w:rPr>
          <w:rFonts w:ascii="Times New Roman" w:eastAsia="Times New Roman" w:hAnsi="Times New Roman" w:cs="Times New Roman"/>
          <w:color w:val="000000"/>
          <w:spacing w:val="0"/>
          <w:w w:val="100"/>
          <w:position w:val="0"/>
          <w:sz w:val="18"/>
          <w:szCs w:val="18"/>
        </w:rPr>
        <w:t>1</w:t>
      </w:r>
      <w:r>
        <w:rPr>
          <w:color w:val="000000"/>
          <w:spacing w:val="0"/>
          <w:w w:val="100"/>
          <w:position w:val="0"/>
        </w:rPr>
        <w:t>）</w:t>
        <w:tab/>
        <w:t>该义务是本公司承担的现时义务；</w:t>
      </w:r>
    </w:p>
    <w:p>
      <w:pPr>
        <w:pStyle w:val="Style41"/>
        <w:keepNext w:val="0"/>
        <w:keepLines w:val="0"/>
        <w:widowControl w:val="0"/>
        <w:shd w:val="clear" w:color="auto" w:fill="auto"/>
        <w:tabs>
          <w:tab w:pos="825" w:val="left"/>
        </w:tabs>
        <w:bidi w:val="0"/>
        <w:spacing w:before="0" w:after="0" w:line="466" w:lineRule="exact"/>
        <w:ind w:left="0" w:right="0"/>
        <w:jc w:val="both"/>
      </w:pPr>
      <w:bookmarkStart w:id="1127" w:name="bookmark1127"/>
      <w:r>
        <w:rPr>
          <w:color w:val="000000"/>
          <w:spacing w:val="0"/>
          <w:w w:val="100"/>
          <w:position w:val="0"/>
        </w:rPr>
        <w:t>（</w:t>
      </w:r>
      <w:bookmarkEnd w:id="1127"/>
      <w:r>
        <w:rPr>
          <w:rFonts w:ascii="Times New Roman" w:eastAsia="Times New Roman" w:hAnsi="Times New Roman" w:cs="Times New Roman"/>
          <w:color w:val="000000"/>
          <w:spacing w:val="0"/>
          <w:w w:val="100"/>
          <w:position w:val="0"/>
          <w:sz w:val="18"/>
          <w:szCs w:val="18"/>
        </w:rPr>
        <w:t>2</w:t>
      </w:r>
      <w:r>
        <w:rPr>
          <w:color w:val="000000"/>
          <w:spacing w:val="0"/>
          <w:w w:val="100"/>
          <w:position w:val="0"/>
        </w:rPr>
        <w:t>）</w:t>
        <w:tab/>
        <w:t>履行该义务很可能导致经济利益流出本公司；</w:t>
      </w:r>
    </w:p>
    <w:p>
      <w:pPr>
        <w:pStyle w:val="Style41"/>
        <w:keepNext w:val="0"/>
        <w:keepLines w:val="0"/>
        <w:widowControl w:val="0"/>
        <w:shd w:val="clear" w:color="auto" w:fill="auto"/>
        <w:tabs>
          <w:tab w:pos="825" w:val="left"/>
        </w:tabs>
        <w:bidi w:val="0"/>
        <w:spacing w:before="0" w:after="0" w:line="466" w:lineRule="exact"/>
        <w:ind w:left="0" w:right="0"/>
        <w:jc w:val="both"/>
      </w:pPr>
      <w:bookmarkStart w:id="1128" w:name="bookmark1128"/>
      <w:r>
        <w:rPr>
          <w:color w:val="000000"/>
          <w:spacing w:val="0"/>
          <w:w w:val="100"/>
          <w:position w:val="0"/>
        </w:rPr>
        <w:t>（</w:t>
      </w:r>
      <w:bookmarkEnd w:id="1128"/>
      <w:r>
        <w:rPr>
          <w:rFonts w:ascii="Times New Roman" w:eastAsia="Times New Roman" w:hAnsi="Times New Roman" w:cs="Times New Roman"/>
          <w:color w:val="000000"/>
          <w:spacing w:val="0"/>
          <w:w w:val="100"/>
          <w:position w:val="0"/>
          <w:sz w:val="18"/>
          <w:szCs w:val="18"/>
        </w:rPr>
        <w:t>3</w:t>
      </w:r>
      <w:r>
        <w:rPr>
          <w:color w:val="000000"/>
          <w:spacing w:val="0"/>
          <w:w w:val="100"/>
          <w:position w:val="0"/>
        </w:rPr>
        <w:t>）</w:t>
        <w:tab/>
        <w:t>该义务的金额能够可靠地计量。</w:t>
      </w:r>
    </w:p>
    <w:p>
      <w:pPr>
        <w:pStyle w:val="Style41"/>
        <w:keepNext w:val="0"/>
        <w:keepLines w:val="0"/>
        <w:widowControl w:val="0"/>
        <w:shd w:val="clear" w:color="auto" w:fill="auto"/>
        <w:bidi w:val="0"/>
        <w:spacing w:before="0" w:after="0" w:line="466" w:lineRule="exact"/>
        <w:ind w:left="0" w:right="0"/>
        <w:jc w:val="both"/>
      </w:pPr>
      <w:r>
        <w:rPr>
          <w:color w:val="000000"/>
          <w:spacing w:val="0"/>
          <w:w w:val="100"/>
          <w:position w:val="0"/>
        </w:rPr>
        <w:t>预计负债按履行相关现时义务所需的支出的最佳估计数进行初始计量。</w:t>
      </w:r>
    </w:p>
    <w:p>
      <w:pPr>
        <w:pStyle w:val="Style41"/>
        <w:keepNext w:val="0"/>
        <w:keepLines w:val="0"/>
        <w:widowControl w:val="0"/>
        <w:shd w:val="clear" w:color="auto" w:fill="auto"/>
        <w:bidi w:val="0"/>
        <w:spacing w:before="0" w:after="0" w:line="466" w:lineRule="exact"/>
        <w:ind w:left="0" w:right="0"/>
        <w:jc w:val="both"/>
      </w:pPr>
      <w:r>
        <w:rPr>
          <w:color w:val="000000"/>
          <w:spacing w:val="0"/>
          <w:w w:val="100"/>
          <w:position w:val="0"/>
        </w:rPr>
        <w:t>在确定最佳估计数时，综合考虑与或有事项有关的风险、不确定性和货币时间价值等因素。对于货币时间价值影响重大 的，通过对相关未来现金流出进行折现后确定最佳估计数。</w:t>
      </w:r>
    </w:p>
    <w:p>
      <w:pPr>
        <w:pStyle w:val="Style41"/>
        <w:keepNext w:val="0"/>
        <w:keepLines w:val="0"/>
        <w:widowControl w:val="0"/>
        <w:shd w:val="clear" w:color="auto" w:fill="auto"/>
        <w:bidi w:val="0"/>
        <w:spacing w:before="0" w:after="0" w:line="466" w:lineRule="exact"/>
        <w:ind w:left="0" w:right="0"/>
        <w:jc w:val="both"/>
      </w:pPr>
      <w:r>
        <w:rPr>
          <w:color w:val="000000"/>
          <w:spacing w:val="0"/>
          <w:w w:val="100"/>
          <w:position w:val="0"/>
        </w:rPr>
        <w:t>所需支出存在一个连续范围，且该范围内各种结果发生的可能性相同的，最佳估计数按照该范围内的中间值确定；在其 他情况下，最佳估计数分别下列情况处理：</w:t>
      </w:r>
    </w:p>
    <w:p>
      <w:pPr>
        <w:pStyle w:val="Style41"/>
        <w:keepNext w:val="0"/>
        <w:keepLines w:val="0"/>
        <w:widowControl w:val="0"/>
        <w:shd w:val="clear" w:color="auto" w:fill="auto"/>
        <w:bidi w:val="0"/>
        <w:spacing w:before="0" w:after="0" w:line="466" w:lineRule="exact"/>
        <w:ind w:left="0" w:right="0"/>
        <w:jc w:val="both"/>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或有事项涉及单个项目的，按照最可能发生金额确定。</w:t>
      </w:r>
    </w:p>
    <w:p>
      <w:pPr>
        <w:pStyle w:val="Style41"/>
        <w:keepNext w:val="0"/>
        <w:keepLines w:val="0"/>
        <w:widowControl w:val="0"/>
        <w:shd w:val="clear" w:color="auto" w:fill="auto"/>
        <w:bidi w:val="0"/>
        <w:spacing w:before="0" w:after="0" w:line="466" w:lineRule="exact"/>
        <w:ind w:left="0" w:right="0"/>
        <w:jc w:val="both"/>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或有事项涉及多个项目的，按照各种可能结果及相关概率计算确定。</w:t>
      </w:r>
    </w:p>
    <w:p>
      <w:pPr>
        <w:pStyle w:val="Style41"/>
        <w:keepNext w:val="0"/>
        <w:keepLines w:val="0"/>
        <w:widowControl w:val="0"/>
        <w:shd w:val="clear" w:color="auto" w:fill="auto"/>
        <w:bidi w:val="0"/>
        <w:spacing w:before="0" w:after="0" w:line="466" w:lineRule="exact"/>
        <w:ind w:left="0" w:right="0"/>
        <w:jc w:val="both"/>
      </w:pPr>
      <w:r>
        <w:rPr>
          <w:color w:val="000000"/>
          <w:spacing w:val="0"/>
          <w:w w:val="100"/>
          <w:position w:val="0"/>
        </w:rPr>
        <w:t>清偿预计负债所需支出全部或部分预期由第三方补偿的，补偿金额在基本确定能够收到时，作为资产单独确认，确认的 补偿金额不超过预计负债的账面价值。</w:t>
      </w:r>
    </w:p>
    <w:p>
      <w:pPr>
        <w:pStyle w:val="Style41"/>
        <w:keepNext w:val="0"/>
        <w:keepLines w:val="0"/>
        <w:widowControl w:val="0"/>
        <w:shd w:val="clear" w:color="auto" w:fill="auto"/>
        <w:bidi w:val="0"/>
        <w:spacing w:before="0" w:after="460" w:line="466" w:lineRule="exact"/>
        <w:ind w:left="0" w:right="0"/>
        <w:jc w:val="both"/>
      </w:pPr>
      <w:r>
        <w:rPr>
          <w:color w:val="000000"/>
          <w:spacing w:val="0"/>
          <w:w w:val="100"/>
          <w:position w:val="0"/>
        </w:rPr>
        <w:t>本公司在资产负债表日对预计负债的账面价值进行复核，有确凿证据表明该账面价值不能反映当前最佳估计数的，按照 当前最佳估计数对该账面价值进行调整。</w:t>
      </w:r>
    </w:p>
    <w:p>
      <w:pPr>
        <w:pStyle w:val="Style47"/>
        <w:keepNext/>
        <w:keepLines/>
        <w:widowControl w:val="0"/>
        <w:shd w:val="clear" w:color="auto" w:fill="auto"/>
        <w:tabs>
          <w:tab w:pos="483" w:val="left"/>
        </w:tabs>
        <w:bidi w:val="0"/>
        <w:spacing w:before="0" w:after="200" w:line="240" w:lineRule="auto"/>
        <w:ind w:left="0" w:right="0" w:firstLine="0"/>
        <w:jc w:val="both"/>
      </w:pPr>
      <w:bookmarkStart w:id="1129" w:name="bookmark1129"/>
      <w:bookmarkStart w:id="1130" w:name="bookmark1130"/>
      <w:bookmarkStart w:id="1131" w:name="bookmark1131"/>
      <w:bookmarkStart w:id="1132" w:name="bookmark1132"/>
      <w:r>
        <w:rPr>
          <w:color w:val="000000"/>
          <w:spacing w:val="0"/>
          <w:w w:val="100"/>
          <w:position w:val="0"/>
        </w:rPr>
        <w:t>3</w:t>
      </w:r>
      <w:bookmarkEnd w:id="1131"/>
      <w:r>
        <w:rPr>
          <w:color w:val="000000"/>
          <w:spacing w:val="0"/>
          <w:w w:val="100"/>
          <w:position w:val="0"/>
        </w:rPr>
        <w:t>7、</w:t>
        <w:tab/>
        <w:t>股份支付</w:t>
      </w:r>
      <w:bookmarkEnd w:id="1129"/>
      <w:bookmarkEnd w:id="1130"/>
      <w:bookmarkEnd w:id="1132"/>
    </w:p>
    <w:p>
      <w:pPr>
        <w:pStyle w:val="Style41"/>
        <w:keepNext w:val="0"/>
        <w:keepLines w:val="0"/>
        <w:widowControl w:val="0"/>
        <w:shd w:val="clear" w:color="auto" w:fill="auto"/>
        <w:bidi w:val="0"/>
        <w:spacing w:before="0" w:after="200" w:line="470" w:lineRule="exact"/>
        <w:ind w:left="0" w:right="0"/>
        <w:jc w:val="both"/>
      </w:pPr>
      <w:r>
        <w:rPr>
          <w:color w:val="000000"/>
          <w:spacing w:val="0"/>
          <w:w w:val="100"/>
          <w:position w:val="0"/>
        </w:rPr>
        <w:t>本公司的股份支付是为了获取职工或其他方提供服务而授予权益工具或者承担以权益工具为基础确定的负债的交易。本 公司的股份支付为以权益结算的股份支付。</w:t>
      </w:r>
    </w:p>
    <w:p>
      <w:pPr>
        <w:pStyle w:val="Style41"/>
        <w:keepNext w:val="0"/>
        <w:keepLines w:val="0"/>
        <w:widowControl w:val="0"/>
        <w:shd w:val="clear" w:color="auto" w:fill="auto"/>
        <w:bidi w:val="0"/>
        <w:spacing w:before="0" w:after="0" w:line="240" w:lineRule="auto"/>
        <w:ind w:left="0" w:right="0"/>
        <w:jc w:val="both"/>
      </w:pPr>
      <w:r>
        <w:rPr>
          <w:b/>
          <w:bCs/>
          <w:color w:val="000000"/>
          <w:spacing w:val="0"/>
          <w:w w:val="100"/>
          <w:position w:val="0"/>
        </w:rPr>
        <w:t>以权益结算的股份支付及权益工具</w:t>
      </w:r>
    </w:p>
    <w:p>
      <w:pPr>
        <w:pStyle w:val="Style41"/>
        <w:keepNext w:val="0"/>
        <w:keepLines w:val="0"/>
        <w:widowControl w:val="0"/>
        <w:shd w:val="clear" w:color="auto" w:fill="auto"/>
        <w:bidi w:val="0"/>
        <w:spacing w:before="0" w:after="0" w:line="468" w:lineRule="exact"/>
        <w:ind w:left="0" w:right="0"/>
        <w:jc w:val="both"/>
      </w:pPr>
      <w:r>
        <w:rPr>
          <w:color w:val="000000"/>
          <w:spacing w:val="0"/>
          <w:w w:val="100"/>
          <w:position w:val="0"/>
        </w:rPr>
        <w:t>以权益结算的股份支付换取职工提供服务的，以授予职工权益工具的公允价值计量。对于授予后立即可行权的股份支付 交易，在授予日按照权益工具的公允价值计入相关成本或费用，相应增加资本公积。对于授予后完成等待期内的服务或达到 规定业绩条件才可行权的股份支付交易，在等待期内每个资产负债表日，本公司根据对可行权权益工具数量的最佳估计，按 照授予日公允价值，将当期取得的服务计入相关成本或费用，相应增加资本公积。</w:t>
      </w:r>
    </w:p>
    <w:p>
      <w:pPr>
        <w:pStyle w:val="Style41"/>
        <w:keepNext w:val="0"/>
        <w:keepLines w:val="0"/>
        <w:widowControl w:val="0"/>
        <w:shd w:val="clear" w:color="auto" w:fill="auto"/>
        <w:bidi w:val="0"/>
        <w:spacing w:before="0" w:after="100" w:line="468" w:lineRule="exact"/>
        <w:ind w:left="0" w:right="0"/>
        <w:jc w:val="both"/>
        <w:sectPr>
          <w:headerReference w:type="default" r:id="rId329"/>
          <w:footerReference w:type="default" r:id="rId330"/>
          <w:headerReference w:type="even" r:id="rId331"/>
          <w:footerReference w:type="even" r:id="rId332"/>
          <w:footnotePr>
            <w:pos w:val="pageBottom"/>
            <w:numFmt w:val="decimal"/>
            <w:numRestart w:val="continuous"/>
          </w:footnotePr>
          <w:pgSz w:w="11904" w:h="17375"/>
          <w:pgMar w:top="1766" w:right="1109" w:bottom="1766" w:left="1104" w:header="0" w:footer="3" w:gutter="0"/>
          <w:cols w:space="720"/>
          <w:noEndnote/>
          <w:rtlGutter w:val="0"/>
          <w:docGrid w:linePitch="360"/>
        </w:sectPr>
      </w:pPr>
      <w:r>
        <w:rPr>
          <w:color w:val="000000"/>
          <w:spacing w:val="0"/>
          <w:w w:val="100"/>
          <w:position w:val="0"/>
        </w:rPr>
        <w:t>如果修改了以权益结算的股份支付的条款，至少按照未修改条款的情况确认取得的服务。此外，任何增加所授予权益工 具公允价值的修改，或在修改日对职工有利的变更，均确认取得服务的增加。</w:t>
      </w:r>
    </w:p>
    <w:p>
      <w:pPr>
        <w:pStyle w:val="Style212"/>
        <w:keepNext w:val="0"/>
        <w:keepLines w:val="0"/>
        <w:widowControl w:val="0"/>
        <w:shd w:val="clear" w:color="auto" w:fill="auto"/>
        <w:bidi w:val="0"/>
        <w:spacing w:before="0" w:after="0" w:line="240" w:lineRule="auto"/>
        <w:ind w:left="0" w:right="0" w:firstLine="0"/>
        <w:jc w:val="left"/>
      </w:pPr>
      <w:r>
        <w:rPr>
          <w:spacing w:val="0"/>
          <w:w w:val="100"/>
          <w:position w:val="0"/>
        </w:rPr>
        <w:t>Ultrapoiuer</w:t>
      </w:r>
    </w:p>
    <w:p>
      <w:pPr>
        <w:pStyle w:val="Style41"/>
        <w:keepNext w:val="0"/>
        <w:keepLines w:val="0"/>
        <w:widowControl w:val="0"/>
        <w:shd w:val="clear" w:color="auto" w:fill="auto"/>
        <w:bidi w:val="0"/>
        <w:spacing w:before="0" w:after="460" w:line="463" w:lineRule="exact"/>
        <w:ind w:left="0" w:right="0" w:firstLine="820"/>
        <w:jc w:val="both"/>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 在等待期内，如果取消了授予的权益工具，则本公司对取消所授予的权益性工具作为加速行权处理，将剩余等待期内应 确认的金额立即计入当期损益，同时确认资本公积。但是，如果授予新的权益工具，并在新权益工具授予日认定所授予的新 权益工具是用于替代被取消的权益工具的，则以与处理原权益工具条款和条件修改相同的方式，对所授予的替代权益工具进 行处理。</w:t>
      </w:r>
    </w:p>
    <w:p>
      <w:pPr>
        <w:pStyle w:val="Style47"/>
        <w:keepNext/>
        <w:keepLines/>
        <w:widowControl w:val="0"/>
        <w:shd w:val="clear" w:color="auto" w:fill="auto"/>
        <w:tabs>
          <w:tab w:pos="471" w:val="left"/>
        </w:tabs>
        <w:bidi w:val="0"/>
        <w:spacing w:before="0" w:after="120" w:line="240" w:lineRule="auto"/>
        <w:ind w:left="0" w:right="0" w:firstLine="0"/>
        <w:jc w:val="left"/>
      </w:pPr>
      <w:bookmarkStart w:id="1133" w:name="bookmark1133"/>
      <w:bookmarkStart w:id="1134" w:name="bookmark1134"/>
      <w:bookmarkStart w:id="1135" w:name="bookmark1135"/>
      <w:bookmarkStart w:id="1136" w:name="bookmark1136"/>
      <w:r>
        <w:rPr>
          <w:color w:val="000000"/>
          <w:spacing w:val="0"/>
          <w:w w:val="100"/>
          <w:position w:val="0"/>
        </w:rPr>
        <w:t>3</w:t>
      </w:r>
      <w:bookmarkEnd w:id="1135"/>
      <w:r>
        <w:rPr>
          <w:color w:val="000000"/>
          <w:spacing w:val="0"/>
          <w:w w:val="100"/>
          <w:position w:val="0"/>
        </w:rPr>
        <w:t>8、</w:t>
        <w:tab/>
        <w:t>优先股、永续债等其他金融工具</w:t>
      </w:r>
      <w:bookmarkEnd w:id="1133"/>
      <w:bookmarkEnd w:id="1134"/>
      <w:bookmarkEnd w:id="1136"/>
    </w:p>
    <w:p>
      <w:pPr>
        <w:pStyle w:val="Style41"/>
        <w:keepNext w:val="0"/>
        <w:keepLines w:val="0"/>
        <w:widowControl w:val="0"/>
        <w:shd w:val="clear" w:color="auto" w:fill="auto"/>
        <w:bidi w:val="0"/>
        <w:spacing w:before="0" w:after="380" w:line="468" w:lineRule="exact"/>
        <w:ind w:left="0" w:right="0"/>
        <w:jc w:val="both"/>
      </w:pPr>
      <w:r>
        <w:rPr>
          <w:color w:val="000000"/>
          <w:spacing w:val="0"/>
          <w:w w:val="100"/>
          <w:position w:val="0"/>
        </w:rPr>
        <w:t>无。</w:t>
      </w:r>
    </w:p>
    <w:p>
      <w:pPr>
        <w:pStyle w:val="Style47"/>
        <w:keepNext/>
        <w:keepLines/>
        <w:widowControl w:val="0"/>
        <w:shd w:val="clear" w:color="auto" w:fill="auto"/>
        <w:tabs>
          <w:tab w:pos="471" w:val="left"/>
        </w:tabs>
        <w:bidi w:val="0"/>
        <w:spacing w:before="0" w:after="200" w:line="240" w:lineRule="auto"/>
        <w:ind w:left="0" w:right="0" w:firstLine="0"/>
        <w:jc w:val="left"/>
      </w:pPr>
      <w:bookmarkStart w:id="1137" w:name="bookmark1137"/>
      <w:bookmarkStart w:id="1138" w:name="bookmark1138"/>
      <w:bookmarkStart w:id="1139" w:name="bookmark1139"/>
      <w:bookmarkStart w:id="1140" w:name="bookmark1140"/>
      <w:r>
        <w:rPr>
          <w:color w:val="000000"/>
          <w:spacing w:val="0"/>
          <w:w w:val="100"/>
          <w:position w:val="0"/>
        </w:rPr>
        <w:t>3</w:t>
      </w:r>
      <w:bookmarkEnd w:id="1139"/>
      <w:r>
        <w:rPr>
          <w:color w:val="000000"/>
          <w:spacing w:val="0"/>
          <w:w w:val="100"/>
          <w:position w:val="0"/>
        </w:rPr>
        <w:t>9、</w:t>
        <w:tab/>
        <w:t>收入</w:t>
      </w:r>
      <w:bookmarkEnd w:id="1137"/>
      <w:bookmarkEnd w:id="1138"/>
      <w:bookmarkEnd w:id="1140"/>
    </w:p>
    <w:p>
      <w:pPr>
        <w:pStyle w:val="Style41"/>
        <w:keepNext w:val="0"/>
        <w:keepLines w:val="0"/>
        <w:widowControl w:val="0"/>
        <w:shd w:val="clear" w:color="auto" w:fill="auto"/>
        <w:bidi w:val="0"/>
        <w:spacing w:before="0" w:after="260" w:line="468" w:lineRule="exact"/>
        <w:ind w:left="0" w:right="0"/>
        <w:jc w:val="both"/>
      </w:pPr>
      <w:r>
        <w:rPr>
          <w:color w:val="000000"/>
          <w:spacing w:val="0"/>
          <w:w w:val="100"/>
          <w:position w:val="0"/>
        </w:rPr>
        <w:t>公司需遵守《深圳证券交易所创业板行业信息披露指引第</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号——上市公司从事互联网游戏业务》的披露要求：</w:t>
      </w:r>
    </w:p>
    <w:p>
      <w:pPr>
        <w:pStyle w:val="Style41"/>
        <w:keepNext w:val="0"/>
        <w:keepLines w:val="0"/>
        <w:widowControl w:val="0"/>
        <w:shd w:val="clear" w:color="auto" w:fill="auto"/>
        <w:bidi w:val="0"/>
        <w:spacing w:before="0" w:after="200" w:line="240" w:lineRule="auto"/>
        <w:ind w:left="0" w:right="0"/>
        <w:jc w:val="both"/>
      </w:pPr>
      <w:r>
        <w:rPr>
          <w:color w:val="000000"/>
          <w:spacing w:val="0"/>
          <w:w w:val="100"/>
          <w:position w:val="0"/>
        </w:rPr>
        <w:t>公司需遵守《深圳证券交易所行业信息披露指引第</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号——上市公司从事软件与信息技术服务业务》的披露要求</w:t>
      </w:r>
    </w:p>
    <w:p>
      <w:pPr>
        <w:pStyle w:val="Style41"/>
        <w:keepNext w:val="0"/>
        <w:keepLines w:val="0"/>
        <w:widowControl w:val="0"/>
        <w:shd w:val="clear" w:color="auto" w:fill="auto"/>
        <w:bidi w:val="0"/>
        <w:spacing w:before="0" w:after="120" w:line="240" w:lineRule="auto"/>
        <w:ind w:left="0" w:right="0"/>
        <w:jc w:val="both"/>
      </w:pPr>
      <w:r>
        <w:rPr>
          <w:b/>
          <w:bCs/>
          <w:color w:val="000000"/>
          <w:spacing w:val="0"/>
          <w:w w:val="100"/>
          <w:position w:val="0"/>
        </w:rPr>
        <w:t>自</w:t>
      </w:r>
      <w:r>
        <w:rPr>
          <w:rFonts w:ascii="Times New Roman" w:eastAsia="Times New Roman" w:hAnsi="Times New Roman" w:cs="Times New Roman"/>
          <w:b/>
          <w:bCs/>
          <w:color w:val="000000"/>
          <w:spacing w:val="0"/>
          <w:w w:val="100"/>
          <w:position w:val="0"/>
          <w:sz w:val="18"/>
          <w:szCs w:val="18"/>
        </w:rPr>
        <w:t>2020</w:t>
      </w:r>
      <w:r>
        <w:rPr>
          <w:b/>
          <w:bCs/>
          <w:color w:val="000000"/>
          <w:spacing w:val="0"/>
          <w:w w:val="100"/>
          <w:position w:val="0"/>
        </w:rPr>
        <w:t>年</w:t>
      </w:r>
      <w:r>
        <w:rPr>
          <w:rFonts w:ascii="Times New Roman" w:eastAsia="Times New Roman" w:hAnsi="Times New Roman" w:cs="Times New Roman"/>
          <w:b/>
          <w:bCs/>
          <w:color w:val="000000"/>
          <w:spacing w:val="0"/>
          <w:w w:val="100"/>
          <w:position w:val="0"/>
          <w:sz w:val="18"/>
          <w:szCs w:val="18"/>
        </w:rPr>
        <w:t>1</w:t>
      </w:r>
      <w:r>
        <w:rPr>
          <w:b/>
          <w:bCs/>
          <w:color w:val="000000"/>
          <w:spacing w:val="0"/>
          <w:w w:val="100"/>
          <w:position w:val="0"/>
        </w:rPr>
        <w:t>月</w:t>
      </w:r>
      <w:r>
        <w:rPr>
          <w:rFonts w:ascii="Times New Roman" w:eastAsia="Times New Roman" w:hAnsi="Times New Roman" w:cs="Times New Roman"/>
          <w:b/>
          <w:bCs/>
          <w:color w:val="000000"/>
          <w:spacing w:val="0"/>
          <w:w w:val="100"/>
          <w:position w:val="0"/>
          <w:sz w:val="18"/>
          <w:szCs w:val="18"/>
        </w:rPr>
        <w:t>1</w:t>
      </w:r>
      <w:r>
        <w:rPr>
          <w:b/>
          <w:bCs/>
          <w:color w:val="000000"/>
          <w:spacing w:val="0"/>
          <w:w w:val="100"/>
          <w:position w:val="0"/>
        </w:rPr>
        <w:t>日起的会计政策</w:t>
      </w:r>
    </w:p>
    <w:p>
      <w:pPr>
        <w:pStyle w:val="Style41"/>
        <w:keepNext w:val="0"/>
        <w:keepLines w:val="0"/>
        <w:widowControl w:val="0"/>
        <w:shd w:val="clear" w:color="auto" w:fill="auto"/>
        <w:bidi w:val="0"/>
        <w:spacing w:before="0" w:after="0" w:line="240" w:lineRule="auto"/>
        <w:ind w:left="0" w:right="0" w:firstLine="0"/>
        <w:jc w:val="left"/>
      </w:pPr>
      <w:bookmarkStart w:id="1141" w:name="bookmark1141"/>
      <w:r>
        <w:rPr>
          <w:b/>
          <w:bCs/>
          <w:color w:val="000000"/>
          <w:spacing w:val="0"/>
          <w:w w:val="100"/>
          <w:position w:val="0"/>
        </w:rPr>
        <w:t>（</w:t>
      </w:r>
      <w:bookmarkEnd w:id="1141"/>
      <w:r>
        <w:rPr>
          <w:rFonts w:ascii="Times New Roman" w:eastAsia="Times New Roman" w:hAnsi="Times New Roman" w:cs="Times New Roman"/>
          <w:b/>
          <w:bCs/>
          <w:color w:val="000000"/>
          <w:spacing w:val="0"/>
          <w:w w:val="100"/>
          <w:position w:val="0"/>
          <w:sz w:val="18"/>
          <w:szCs w:val="18"/>
        </w:rPr>
        <w:t>1</w:t>
      </w:r>
      <w:r>
        <w:rPr>
          <w:b/>
          <w:bCs/>
          <w:color w:val="000000"/>
          <w:spacing w:val="0"/>
          <w:w w:val="100"/>
          <w:position w:val="0"/>
        </w:rPr>
        <w:t>）收入确认和计量所采用的会计政策</w:t>
      </w:r>
    </w:p>
    <w:p>
      <w:pPr>
        <w:pStyle w:val="Style41"/>
        <w:keepNext w:val="0"/>
        <w:keepLines w:val="0"/>
        <w:widowControl w:val="0"/>
        <w:shd w:val="clear" w:color="auto" w:fill="auto"/>
        <w:bidi w:val="0"/>
        <w:spacing w:before="0" w:after="0" w:line="468" w:lineRule="exact"/>
        <w:ind w:left="0" w:right="0"/>
        <w:jc w:val="both"/>
      </w:pPr>
      <w:r>
        <w:rPr>
          <w:color w:val="000000"/>
          <w:spacing w:val="0"/>
          <w:w w:val="100"/>
          <w:position w:val="0"/>
        </w:rPr>
        <w:t>本公司在履行了合同中的履约义务，即在客户取得相关商品或服务控制权时确认收入。取得相关商品或服务控制权，是 指能够主导该商品或服务的使用并从中获得几乎全部的经济利益。</w:t>
      </w:r>
    </w:p>
    <w:p>
      <w:pPr>
        <w:pStyle w:val="Style41"/>
        <w:keepNext w:val="0"/>
        <w:keepLines w:val="0"/>
        <w:widowControl w:val="0"/>
        <w:shd w:val="clear" w:color="auto" w:fill="auto"/>
        <w:bidi w:val="0"/>
        <w:spacing w:before="0" w:after="0" w:line="468" w:lineRule="exact"/>
        <w:ind w:left="0" w:right="0"/>
        <w:jc w:val="both"/>
      </w:pPr>
      <w:r>
        <w:rPr>
          <w:color w:val="000000"/>
          <w:spacing w:val="0"/>
          <w:w w:val="100"/>
          <w:position w:val="0"/>
        </w:rPr>
        <w:t>合同中包含两项或多项履约义务的，本公司在合同开始日，按照各单项履约义务所承诺商品或服务的单独售价的相对比 例，将交易价格分摊至各单项履约义务。本公司按照分摊至各单项履约义务的交易价格计量收入。</w:t>
      </w:r>
    </w:p>
    <w:p>
      <w:pPr>
        <w:pStyle w:val="Style41"/>
        <w:keepNext w:val="0"/>
        <w:keepLines w:val="0"/>
        <w:widowControl w:val="0"/>
        <w:shd w:val="clear" w:color="auto" w:fill="auto"/>
        <w:bidi w:val="0"/>
        <w:spacing w:before="0" w:after="0" w:line="468" w:lineRule="exact"/>
        <w:ind w:left="0" w:right="0"/>
        <w:jc w:val="both"/>
      </w:pPr>
      <w:r>
        <w:rPr>
          <w:color w:val="000000"/>
          <w:spacing w:val="0"/>
          <w:w w:val="100"/>
          <w:position w:val="0"/>
        </w:rPr>
        <w:t>交易价格是指本公司因向客户转让商品或服务而预期有权收取的对价金额，不包括代第三方收取的款项以及预期将退还 给客户的款项。本公司根据合同条款，结合其以往的习惯做法确定交易价格，并在确定交易价格时，考虑可变对价、合同中 存在的重大融资成分、非现金对价、应付客户对价等因素的影响。本公司以不超过在相关不确定性消除时累计已确认收入极 可能不会发生重大转回的金额确定包含可变对价的交易价格。合同中存在重大融资成分的，本公司按照假定客户在取得商品 或服务控制权时即以现金支付的应付金额确定交易价格，并在合同期间内采用实际利率法摊销该交易价格与合同对价之间的 差额。</w:t>
      </w:r>
    </w:p>
    <w:p>
      <w:pPr>
        <w:pStyle w:val="Style41"/>
        <w:keepNext w:val="0"/>
        <w:keepLines w:val="0"/>
        <w:widowControl w:val="0"/>
        <w:shd w:val="clear" w:color="auto" w:fill="auto"/>
        <w:bidi w:val="0"/>
        <w:spacing w:before="0" w:after="0" w:line="468" w:lineRule="exact"/>
        <w:ind w:left="0" w:right="0"/>
        <w:jc w:val="both"/>
      </w:pPr>
      <w:r>
        <w:rPr>
          <w:color w:val="000000"/>
          <w:spacing w:val="0"/>
          <w:w w:val="100"/>
          <w:position w:val="0"/>
        </w:rPr>
        <w:t>满足下列条件之一的，属于在某一时段内履行履约义务，否则，属于在某一时点履行履约义务：</w:t>
      </w:r>
    </w:p>
    <w:p>
      <w:pPr>
        <w:pStyle w:val="Style41"/>
        <w:keepNext w:val="0"/>
        <w:keepLines w:val="0"/>
        <w:widowControl w:val="0"/>
        <w:shd w:val="clear" w:color="auto" w:fill="auto"/>
        <w:bidi w:val="0"/>
        <w:spacing w:before="0" w:after="0" w:line="468" w:lineRule="exact"/>
        <w:ind w:left="0" w:right="0"/>
        <w:jc w:val="both"/>
      </w:pPr>
      <w:r>
        <w:rPr>
          <w:color w:val="000000"/>
          <w:spacing w:val="0"/>
          <w:w w:val="100"/>
          <w:position w:val="0"/>
        </w:rPr>
        <w:t>客户在本公司履约的同时即取得并消耗本公司履约所带来的经济利益。</w:t>
      </w:r>
    </w:p>
    <w:p>
      <w:pPr>
        <w:pStyle w:val="Style41"/>
        <w:keepNext w:val="0"/>
        <w:keepLines w:val="0"/>
        <w:widowControl w:val="0"/>
        <w:shd w:val="clear" w:color="auto" w:fill="auto"/>
        <w:bidi w:val="0"/>
        <w:spacing w:before="0" w:after="0" w:line="470" w:lineRule="exact"/>
        <w:ind w:left="0" w:right="0"/>
        <w:jc w:val="both"/>
      </w:pPr>
      <w:r>
        <w:rPr>
          <w:color w:val="000000"/>
          <w:spacing w:val="0"/>
          <w:w w:val="100"/>
          <w:position w:val="0"/>
        </w:rPr>
        <w:t>客户能够控制本公司履约过程中在建的商品。</w:t>
      </w:r>
    </w:p>
    <w:p>
      <w:pPr>
        <w:pStyle w:val="Style41"/>
        <w:keepNext w:val="0"/>
        <w:keepLines w:val="0"/>
        <w:widowControl w:val="0"/>
        <w:shd w:val="clear" w:color="auto" w:fill="auto"/>
        <w:bidi w:val="0"/>
        <w:spacing w:before="0" w:after="0" w:line="470" w:lineRule="exact"/>
        <w:ind w:left="0" w:right="0"/>
        <w:jc w:val="both"/>
      </w:pPr>
      <w:r>
        <w:rPr>
          <w:color w:val="000000"/>
          <w:spacing w:val="0"/>
          <w:w w:val="100"/>
          <w:position w:val="0"/>
        </w:rPr>
        <w:t>本公司履约过程中所产出的商品具有不可替代用途，且本公司在整个合同期内有权就累计至今已完成的履约部分收取款 项。</w:t>
      </w:r>
    </w:p>
    <w:p>
      <w:pPr>
        <w:pStyle w:val="Style41"/>
        <w:keepNext w:val="0"/>
        <w:keepLines w:val="0"/>
        <w:widowControl w:val="0"/>
        <w:shd w:val="clear" w:color="auto" w:fill="auto"/>
        <w:bidi w:val="0"/>
        <w:spacing w:before="0" w:after="160" w:line="470" w:lineRule="exact"/>
        <w:ind w:left="0" w:right="0"/>
        <w:jc w:val="both"/>
      </w:pPr>
      <w:r>
        <w:rPr>
          <w:color w:val="000000"/>
          <w:spacing w:val="0"/>
          <w:w w:val="100"/>
          <w:position w:val="0"/>
        </w:rPr>
        <w:t>对于在某一时段内履行的履约义务，本公司在该段时间内按照履约进度确认收入，但是，履约进度不能合理确定的除外。 本公司考虑商品或服务的性质，采用产出法或投入法确定履约进度。当履约进度不能合理确定时，已经发生的成本预计能够 得到补偿的，本公司按照已经发生的成本金额确认收入，直到履约进度能够合理确定为止。</w:t>
      </w:r>
    </w:p>
    <w:p>
      <w:pPr>
        <w:pStyle w:val="Style212"/>
        <w:keepNext w:val="0"/>
        <w:keepLines w:val="0"/>
        <w:widowControl w:val="0"/>
        <w:shd w:val="clear" w:color="auto" w:fill="auto"/>
        <w:bidi w:val="0"/>
        <w:spacing w:before="0" w:after="0" w:line="240" w:lineRule="auto"/>
        <w:ind w:left="0" w:right="0" w:firstLine="0"/>
        <w:jc w:val="left"/>
      </w:pPr>
      <w:r>
        <w:rPr>
          <w:spacing w:val="0"/>
          <w:w w:val="100"/>
          <w:position w:val="0"/>
        </w:rPr>
        <w:t>Ultrapoiuer</w:t>
      </w:r>
    </w:p>
    <w:p>
      <w:pPr>
        <w:pStyle w:val="Style41"/>
        <w:keepNext w:val="0"/>
        <w:keepLines w:val="0"/>
        <w:widowControl w:val="0"/>
        <w:shd w:val="clear" w:color="auto" w:fill="auto"/>
        <w:bidi w:val="0"/>
        <w:spacing w:before="0" w:after="0" w:line="458" w:lineRule="exact"/>
        <w:ind w:left="0" w:right="0" w:firstLine="820"/>
        <w:jc w:val="both"/>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 对于在某一时点履行的履约义务，本公司在客户取得相关商品或服务控制权时点确认收入。在判断客户是否已取得商品 或服务控制权时，本公司考虑下列迹象：</w:t>
      </w:r>
    </w:p>
    <w:p>
      <w:pPr>
        <w:pStyle w:val="Style41"/>
        <w:keepNext w:val="0"/>
        <w:keepLines w:val="0"/>
        <w:widowControl w:val="0"/>
        <w:shd w:val="clear" w:color="auto" w:fill="auto"/>
        <w:bidi w:val="0"/>
        <w:spacing w:before="0" w:after="0" w:line="458" w:lineRule="exact"/>
        <w:ind w:left="0" w:right="0"/>
        <w:jc w:val="left"/>
      </w:pPr>
      <w:r>
        <w:rPr>
          <w:color w:val="000000"/>
          <w:spacing w:val="0"/>
          <w:w w:val="100"/>
          <w:position w:val="0"/>
        </w:rPr>
        <w:t>本公司就该商品或服务享有现时收款权利，即客户就该商品或服务负有现时付款义务。</w:t>
      </w:r>
    </w:p>
    <w:p>
      <w:pPr>
        <w:pStyle w:val="Style41"/>
        <w:keepNext w:val="0"/>
        <w:keepLines w:val="0"/>
        <w:widowControl w:val="0"/>
        <w:shd w:val="clear" w:color="auto" w:fill="auto"/>
        <w:bidi w:val="0"/>
        <w:spacing w:before="0" w:after="0" w:line="458" w:lineRule="exact"/>
        <w:ind w:left="0" w:right="0"/>
        <w:jc w:val="left"/>
      </w:pPr>
      <w:r>
        <w:rPr>
          <w:color w:val="000000"/>
          <w:spacing w:val="0"/>
          <w:w w:val="100"/>
          <w:position w:val="0"/>
        </w:rPr>
        <w:t>本公司已将该商品的法定所有权转移给客户，即客户已拥有该商品的法定所有权。</w:t>
      </w:r>
    </w:p>
    <w:p>
      <w:pPr>
        <w:pStyle w:val="Style41"/>
        <w:keepNext w:val="0"/>
        <w:keepLines w:val="0"/>
        <w:widowControl w:val="0"/>
        <w:shd w:val="clear" w:color="auto" w:fill="auto"/>
        <w:bidi w:val="0"/>
        <w:spacing w:before="0" w:after="0" w:line="458" w:lineRule="exact"/>
        <w:ind w:left="0" w:right="0"/>
        <w:jc w:val="left"/>
      </w:pPr>
      <w:r>
        <w:rPr>
          <w:color w:val="000000"/>
          <w:spacing w:val="0"/>
          <w:w w:val="100"/>
          <w:position w:val="0"/>
        </w:rPr>
        <w:t>本公司已将该商品实物转移给客户，即客户已实物占有该商品。</w:t>
      </w:r>
    </w:p>
    <w:p>
      <w:pPr>
        <w:pStyle w:val="Style41"/>
        <w:keepNext w:val="0"/>
        <w:keepLines w:val="0"/>
        <w:widowControl w:val="0"/>
        <w:shd w:val="clear" w:color="auto" w:fill="auto"/>
        <w:bidi w:val="0"/>
        <w:spacing w:before="0" w:after="0" w:line="458" w:lineRule="exact"/>
        <w:ind w:left="0" w:right="0"/>
        <w:jc w:val="left"/>
      </w:pPr>
      <w:r>
        <w:rPr>
          <w:color w:val="000000"/>
          <w:spacing w:val="0"/>
          <w:w w:val="100"/>
          <w:position w:val="0"/>
        </w:rPr>
        <w:t>本公司已将该商品所有权上的主要风险和报酬转移给客户，即客户已取得该商品所有权上的主要风险和报酬。</w:t>
      </w:r>
    </w:p>
    <w:p>
      <w:pPr>
        <w:pStyle w:val="Style41"/>
        <w:keepNext w:val="0"/>
        <w:keepLines w:val="0"/>
        <w:widowControl w:val="0"/>
        <w:shd w:val="clear" w:color="auto" w:fill="auto"/>
        <w:bidi w:val="0"/>
        <w:spacing w:before="0" w:after="480" w:line="458" w:lineRule="exact"/>
        <w:ind w:left="0" w:right="0"/>
        <w:jc w:val="both"/>
      </w:pPr>
      <w:r>
        <w:rPr>
          <w:color w:val="000000"/>
          <w:spacing w:val="0"/>
          <w:w w:val="100"/>
          <w:position w:val="0"/>
        </w:rPr>
        <w:t>客户已接受该商品或服务等。</w:t>
      </w:r>
    </w:p>
    <w:p>
      <w:pPr>
        <w:pStyle w:val="Style41"/>
        <w:keepNext w:val="0"/>
        <w:keepLines w:val="0"/>
        <w:widowControl w:val="0"/>
        <w:shd w:val="clear" w:color="auto" w:fill="auto"/>
        <w:bidi w:val="0"/>
        <w:spacing w:before="0" w:after="0" w:line="240" w:lineRule="auto"/>
        <w:ind w:left="0" w:right="0" w:firstLine="0"/>
        <w:jc w:val="left"/>
      </w:pPr>
      <w:bookmarkStart w:id="1142" w:name="bookmark1142"/>
      <w:r>
        <w:rPr>
          <w:b/>
          <w:bCs/>
          <w:color w:val="000000"/>
          <w:spacing w:val="0"/>
          <w:w w:val="100"/>
          <w:position w:val="0"/>
        </w:rPr>
        <w:t>（</w:t>
      </w:r>
      <w:bookmarkEnd w:id="1142"/>
      <w:r>
        <w:rPr>
          <w:rFonts w:ascii="Times New Roman" w:eastAsia="Times New Roman" w:hAnsi="Times New Roman" w:cs="Times New Roman"/>
          <w:b/>
          <w:bCs/>
          <w:color w:val="000000"/>
          <w:spacing w:val="0"/>
          <w:w w:val="100"/>
          <w:position w:val="0"/>
          <w:sz w:val="18"/>
          <w:szCs w:val="18"/>
        </w:rPr>
        <w:t>2</w:t>
      </w:r>
      <w:r>
        <w:rPr>
          <w:b/>
          <w:bCs/>
          <w:color w:val="000000"/>
          <w:spacing w:val="0"/>
          <w:w w:val="100"/>
          <w:position w:val="0"/>
        </w:rPr>
        <w:t>）收入确认的具体方法</w:t>
      </w:r>
    </w:p>
    <w:p>
      <w:pPr>
        <w:pStyle w:val="Style41"/>
        <w:keepNext w:val="0"/>
        <w:keepLines w:val="0"/>
        <w:widowControl w:val="0"/>
        <w:shd w:val="clear" w:color="auto" w:fill="auto"/>
        <w:tabs>
          <w:tab w:pos="729" w:val="left"/>
        </w:tabs>
        <w:bidi w:val="0"/>
        <w:spacing w:before="0" w:after="0" w:line="468" w:lineRule="exact"/>
        <w:ind w:left="0" w:right="0"/>
        <w:jc w:val="both"/>
      </w:pPr>
      <w:bookmarkStart w:id="1143" w:name="bookmark1143"/>
      <w:r>
        <w:rPr>
          <w:rFonts w:ascii="Times New Roman" w:eastAsia="Times New Roman" w:hAnsi="Times New Roman" w:cs="Times New Roman"/>
          <w:color w:val="000000"/>
          <w:spacing w:val="0"/>
          <w:w w:val="100"/>
          <w:position w:val="0"/>
          <w:sz w:val="18"/>
          <w:szCs w:val="18"/>
        </w:rPr>
        <w:t>1</w:t>
      </w:r>
      <w:bookmarkEnd w:id="1143"/>
      <w:r>
        <w:rPr>
          <w:color w:val="000000"/>
          <w:spacing w:val="0"/>
          <w:w w:val="100"/>
          <w:position w:val="0"/>
        </w:rPr>
        <w:t>）</w:t>
        <w:tab/>
        <w:t>软件产品开发与销售</w:t>
      </w:r>
    </w:p>
    <w:p>
      <w:pPr>
        <w:pStyle w:val="Style41"/>
        <w:keepNext w:val="0"/>
        <w:keepLines w:val="0"/>
        <w:widowControl w:val="0"/>
        <w:shd w:val="clear" w:color="auto" w:fill="auto"/>
        <w:bidi w:val="0"/>
        <w:spacing w:before="0" w:after="260" w:line="468" w:lineRule="exact"/>
        <w:ind w:left="0" w:right="0"/>
        <w:jc w:val="both"/>
      </w:pPr>
      <w:r>
        <w:rPr>
          <w:color w:val="000000"/>
          <w:spacing w:val="0"/>
          <w:w w:val="100"/>
          <w:position w:val="0"/>
        </w:rPr>
        <w:t>公司对于提供软件产品开发与销售类业务，公司在履行履约义务的过程中若满足以下任一条件：客户能够控制公司履约 过程中在建的商品；或公司履约过程中所产出的商品具有不可替代用途，且公司在整个合同期间内有权就累计至今已完成的 履约部分收取款项（成本和合理利润）。满足上述条件之一的，该项履约义务属于在某一时段内履行履约义务，公司在服务 期内按照履约进度确认收入；履约进度不能合理确定且已经发生的成本预计能够得到补偿的，按照已经发生的成本金额确认 收入，直到履约进度能够合理确定为止。对不满足某一时段内履行的履约义务，公司在客户取得相关商品控制权时点确认收 入。</w:t>
      </w:r>
    </w:p>
    <w:p>
      <w:pPr>
        <w:pStyle w:val="Style41"/>
        <w:keepNext w:val="0"/>
        <w:keepLines w:val="0"/>
        <w:widowControl w:val="0"/>
        <w:shd w:val="clear" w:color="auto" w:fill="auto"/>
        <w:tabs>
          <w:tab w:pos="748" w:val="left"/>
        </w:tabs>
        <w:bidi w:val="0"/>
        <w:spacing w:before="0" w:after="0" w:line="542" w:lineRule="auto"/>
        <w:ind w:left="0" w:right="0"/>
        <w:jc w:val="both"/>
      </w:pPr>
      <w:bookmarkStart w:id="1144" w:name="bookmark1144"/>
      <w:r>
        <w:rPr>
          <w:rFonts w:ascii="Times New Roman" w:eastAsia="Times New Roman" w:hAnsi="Times New Roman" w:cs="Times New Roman"/>
          <w:color w:val="000000"/>
          <w:spacing w:val="0"/>
          <w:w w:val="100"/>
          <w:position w:val="0"/>
          <w:sz w:val="18"/>
          <w:szCs w:val="18"/>
        </w:rPr>
        <w:t>2</w:t>
      </w:r>
      <w:bookmarkEnd w:id="1144"/>
      <w:r>
        <w:rPr>
          <w:color w:val="000000"/>
          <w:spacing w:val="0"/>
          <w:w w:val="100"/>
          <w:position w:val="0"/>
        </w:rPr>
        <w:t>）</w:t>
        <w:tab/>
        <w:t>技术服务收入</w:t>
      </w:r>
    </w:p>
    <w:p>
      <w:pPr>
        <w:pStyle w:val="Style41"/>
        <w:keepNext w:val="0"/>
        <w:keepLines w:val="0"/>
        <w:widowControl w:val="0"/>
        <w:shd w:val="clear" w:color="auto" w:fill="auto"/>
        <w:bidi w:val="0"/>
        <w:spacing w:before="0" w:after="260" w:line="468" w:lineRule="exact"/>
        <w:ind w:left="0" w:right="0"/>
        <w:jc w:val="both"/>
      </w:pPr>
      <w:r>
        <w:rPr>
          <w:color w:val="000000"/>
          <w:spacing w:val="0"/>
          <w:w w:val="100"/>
          <w:position w:val="0"/>
        </w:rPr>
        <w:t>对公司提供技术服务类业务，收入确认满足下列条件：公司已根据服务合同约定提供了相关服务，且客户在本公司履约 的同时即取得并消耗本公司履约所带来的经济利益，与公司相关的经济利益很可能流入，服务成本能够可靠计量，公司按照 合同约定在服务期内分期确认收入。</w:t>
      </w:r>
    </w:p>
    <w:p>
      <w:pPr>
        <w:pStyle w:val="Style41"/>
        <w:keepNext w:val="0"/>
        <w:keepLines w:val="0"/>
        <w:widowControl w:val="0"/>
        <w:shd w:val="clear" w:color="auto" w:fill="auto"/>
        <w:tabs>
          <w:tab w:pos="748" w:val="left"/>
        </w:tabs>
        <w:bidi w:val="0"/>
        <w:spacing w:before="0" w:after="0" w:line="542" w:lineRule="auto"/>
        <w:ind w:left="0" w:right="0"/>
        <w:jc w:val="both"/>
      </w:pPr>
      <w:bookmarkStart w:id="1145" w:name="bookmark1145"/>
      <w:r>
        <w:rPr>
          <w:rFonts w:ascii="Times New Roman" w:eastAsia="Times New Roman" w:hAnsi="Times New Roman" w:cs="Times New Roman"/>
          <w:color w:val="000000"/>
          <w:spacing w:val="0"/>
          <w:w w:val="100"/>
          <w:position w:val="0"/>
          <w:sz w:val="18"/>
          <w:szCs w:val="18"/>
        </w:rPr>
        <w:t>3</w:t>
      </w:r>
      <w:bookmarkEnd w:id="1145"/>
      <w:r>
        <w:rPr>
          <w:color w:val="000000"/>
          <w:spacing w:val="0"/>
          <w:w w:val="100"/>
          <w:position w:val="0"/>
        </w:rPr>
        <w:t>）</w:t>
        <w:tab/>
        <w:t>系统集成收入</w:t>
      </w:r>
    </w:p>
    <w:p>
      <w:pPr>
        <w:pStyle w:val="Style41"/>
        <w:keepNext w:val="0"/>
        <w:keepLines w:val="0"/>
        <w:widowControl w:val="0"/>
        <w:shd w:val="clear" w:color="auto" w:fill="auto"/>
        <w:bidi w:val="0"/>
        <w:spacing w:before="0" w:after="0" w:line="468" w:lineRule="exact"/>
        <w:ind w:left="0" w:right="0"/>
        <w:jc w:val="both"/>
      </w:pPr>
      <w:r>
        <w:rPr>
          <w:color w:val="000000"/>
          <w:spacing w:val="0"/>
          <w:w w:val="100"/>
          <w:position w:val="0"/>
        </w:rPr>
        <w:t>系统集成包括外购软硬件产品和公司软件产品的销售及安装。</w:t>
      </w:r>
    </w:p>
    <w:p>
      <w:pPr>
        <w:pStyle w:val="Style41"/>
        <w:keepNext w:val="0"/>
        <w:keepLines w:val="0"/>
        <w:widowControl w:val="0"/>
        <w:shd w:val="clear" w:color="auto" w:fill="auto"/>
        <w:bidi w:val="0"/>
        <w:spacing w:before="0" w:after="260" w:line="468" w:lineRule="exact"/>
        <w:ind w:left="0" w:right="0"/>
        <w:jc w:val="both"/>
      </w:pPr>
      <w:r>
        <w:rPr>
          <w:color w:val="000000"/>
          <w:spacing w:val="0"/>
          <w:w w:val="100"/>
          <w:position w:val="0"/>
        </w:rPr>
        <w:t>本公司销售的商品在满足下列条件时，按从购货方已收或应收的合同或协议价款的金额确认销售商品收入：在商品交付 且客户取得相关商品的控制权时，确认相关收入。</w:t>
      </w:r>
    </w:p>
    <w:p>
      <w:pPr>
        <w:pStyle w:val="Style41"/>
        <w:keepNext w:val="0"/>
        <w:keepLines w:val="0"/>
        <w:widowControl w:val="0"/>
        <w:shd w:val="clear" w:color="auto" w:fill="auto"/>
        <w:tabs>
          <w:tab w:pos="748" w:val="left"/>
        </w:tabs>
        <w:bidi w:val="0"/>
        <w:spacing w:before="0" w:after="0" w:line="542" w:lineRule="auto"/>
        <w:ind w:left="0" w:right="0"/>
        <w:jc w:val="both"/>
      </w:pPr>
      <w:bookmarkStart w:id="1146" w:name="bookmark1146"/>
      <w:r>
        <w:rPr>
          <w:rFonts w:ascii="Times New Roman" w:eastAsia="Times New Roman" w:hAnsi="Times New Roman" w:cs="Times New Roman"/>
          <w:color w:val="000000"/>
          <w:spacing w:val="0"/>
          <w:w w:val="100"/>
          <w:position w:val="0"/>
          <w:sz w:val="18"/>
          <w:szCs w:val="18"/>
        </w:rPr>
        <w:t>4</w:t>
      </w:r>
      <w:bookmarkEnd w:id="1146"/>
      <w:r>
        <w:rPr>
          <w:color w:val="000000"/>
          <w:spacing w:val="0"/>
          <w:w w:val="100"/>
          <w:position w:val="0"/>
        </w:rPr>
        <w:t>）</w:t>
        <w:tab/>
        <w:t>移动端游戏收入</w:t>
      </w:r>
    </w:p>
    <w:p>
      <w:pPr>
        <w:pStyle w:val="Style41"/>
        <w:keepNext w:val="0"/>
        <w:keepLines w:val="0"/>
        <w:widowControl w:val="0"/>
        <w:shd w:val="clear" w:color="auto" w:fill="auto"/>
        <w:bidi w:val="0"/>
        <w:spacing w:before="0" w:after="0" w:line="468" w:lineRule="exact"/>
        <w:ind w:left="0" w:right="0"/>
        <w:jc w:val="both"/>
      </w:pPr>
      <w:r>
        <w:rPr>
          <w:color w:val="000000"/>
          <w:spacing w:val="0"/>
          <w:w w:val="100"/>
          <w:position w:val="0"/>
        </w:rPr>
        <w:t>公司目前的移动游戏为联机游戏。</w:t>
      </w:r>
    </w:p>
    <w:p>
      <w:pPr>
        <w:pStyle w:val="Style41"/>
        <w:keepNext w:val="0"/>
        <w:keepLines w:val="0"/>
        <w:widowControl w:val="0"/>
        <w:shd w:val="clear" w:color="auto" w:fill="auto"/>
        <w:bidi w:val="0"/>
        <w:spacing w:before="0" w:after="0" w:line="468" w:lineRule="exact"/>
        <w:ind w:left="0" w:right="0"/>
        <w:jc w:val="both"/>
      </w:pPr>
      <w:r>
        <w:rPr>
          <w:color w:val="000000"/>
          <w:spacing w:val="0"/>
          <w:w w:val="100"/>
          <w:position w:val="0"/>
        </w:rPr>
        <w:t>联机游戏目前采用</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游戏基础功能免费、部分道具收费</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的运营模式。</w:t>
      </w:r>
    </w:p>
    <w:p>
      <w:pPr>
        <w:pStyle w:val="Style41"/>
        <w:keepNext w:val="0"/>
        <w:keepLines w:val="0"/>
        <w:widowControl w:val="0"/>
        <w:shd w:val="clear" w:color="auto" w:fill="auto"/>
        <w:bidi w:val="0"/>
        <w:spacing w:before="0" w:after="260" w:line="468" w:lineRule="exact"/>
        <w:ind w:left="0" w:right="0"/>
        <w:jc w:val="both"/>
      </w:pPr>
      <w:r>
        <w:rPr>
          <w:color w:val="000000"/>
          <w:spacing w:val="0"/>
          <w:w w:val="100"/>
          <w:position w:val="0"/>
        </w:rPr>
        <w:t>月末与合作方对账确认后，在玩家实际使用付费获得的游戏内货币购买道具及其他合理方式确认收入。</w:t>
      </w:r>
    </w:p>
    <w:p>
      <w:pPr>
        <w:pStyle w:val="Style41"/>
        <w:keepNext w:val="0"/>
        <w:keepLines w:val="0"/>
        <w:widowControl w:val="0"/>
        <w:shd w:val="clear" w:color="auto" w:fill="auto"/>
        <w:tabs>
          <w:tab w:pos="748" w:val="left"/>
        </w:tabs>
        <w:bidi w:val="0"/>
        <w:spacing w:before="0" w:after="0" w:line="542" w:lineRule="auto"/>
        <w:ind w:left="0" w:right="0"/>
        <w:jc w:val="both"/>
      </w:pPr>
      <w:bookmarkStart w:id="1147" w:name="bookmark1147"/>
      <w:r>
        <w:rPr>
          <w:rFonts w:ascii="Times New Roman" w:eastAsia="Times New Roman" w:hAnsi="Times New Roman" w:cs="Times New Roman"/>
          <w:color w:val="000000"/>
          <w:spacing w:val="0"/>
          <w:w w:val="100"/>
          <w:position w:val="0"/>
          <w:sz w:val="18"/>
          <w:szCs w:val="18"/>
        </w:rPr>
        <w:t>5</w:t>
      </w:r>
      <w:bookmarkEnd w:id="1147"/>
      <w:r>
        <w:rPr>
          <w:color w:val="000000"/>
          <w:spacing w:val="0"/>
          <w:w w:val="100"/>
          <w:position w:val="0"/>
        </w:rPr>
        <w:t>）</w:t>
        <w:tab/>
        <w:t>让渡资产使用权</w:t>
      </w:r>
    </w:p>
    <w:p>
      <w:pPr>
        <w:pStyle w:val="Style41"/>
        <w:keepNext w:val="0"/>
        <w:keepLines w:val="0"/>
        <w:widowControl w:val="0"/>
        <w:shd w:val="clear" w:color="auto" w:fill="auto"/>
        <w:bidi w:val="0"/>
        <w:spacing w:before="0" w:after="260" w:line="468" w:lineRule="exact"/>
        <w:ind w:left="0" w:right="0"/>
        <w:jc w:val="left"/>
        <w:sectPr>
          <w:headerReference w:type="default" r:id="rId333"/>
          <w:footerReference w:type="default" r:id="rId334"/>
          <w:headerReference w:type="even" r:id="rId335"/>
          <w:footerReference w:type="even" r:id="rId336"/>
          <w:footnotePr>
            <w:pos w:val="pageBottom"/>
            <w:numFmt w:val="decimal"/>
            <w:numRestart w:val="continuous"/>
          </w:footnotePr>
          <w:pgSz w:w="11904" w:h="17375"/>
          <w:pgMar w:top="1070" w:right="1043" w:bottom="1614" w:left="1084" w:header="642" w:footer="3" w:gutter="0"/>
          <w:cols w:space="720"/>
          <w:noEndnote/>
          <w:rtlGutter w:val="0"/>
          <w:docGrid w:linePitch="360"/>
        </w:sectPr>
      </w:pPr>
      <w:r>
        <w:rPr>
          <w:color w:val="000000"/>
          <w:spacing w:val="0"/>
          <w:w w:val="100"/>
          <w:position w:val="0"/>
        </w:rPr>
        <w:t>本公司在相关资产使用权让渡时按照合同或协议约定的使用期限及金额确认收入。</w:t>
      </w:r>
    </w:p>
    <w:p>
      <w:pPr>
        <w:pStyle w:val="Style47"/>
        <w:keepNext/>
        <w:keepLines/>
        <w:widowControl w:val="0"/>
        <w:shd w:val="clear" w:color="auto" w:fill="auto"/>
        <w:tabs>
          <w:tab w:pos="448" w:val="left"/>
        </w:tabs>
        <w:bidi w:val="0"/>
        <w:spacing w:before="0" w:after="400" w:line="240" w:lineRule="auto"/>
        <w:ind w:left="0" w:right="0" w:firstLine="0"/>
        <w:jc w:val="left"/>
      </w:pPr>
      <w:bookmarkStart w:id="1148" w:name="bookmark1148"/>
      <w:bookmarkStart w:id="1149" w:name="bookmark1149"/>
      <w:bookmarkStart w:id="1150" w:name="bookmark1150"/>
      <w:bookmarkStart w:id="1151" w:name="bookmark1151"/>
      <w:r>
        <w:rPr>
          <w:color w:val="000000"/>
          <w:spacing w:val="0"/>
          <w:w w:val="100"/>
          <w:position w:val="0"/>
        </w:rPr>
        <w:t>4</w:t>
      </w:r>
      <w:bookmarkEnd w:id="1150"/>
      <w:r>
        <w:rPr>
          <w:color w:val="000000"/>
          <w:spacing w:val="0"/>
          <w:w w:val="100"/>
          <w:position w:val="0"/>
        </w:rPr>
        <w:t>0、</w:t>
        <w:tab/>
        <w:t>政府补助</w:t>
      </w:r>
      <w:bookmarkEnd w:id="1148"/>
      <w:bookmarkEnd w:id="1149"/>
      <w:bookmarkEnd w:id="1151"/>
    </w:p>
    <w:p>
      <w:pPr>
        <w:pStyle w:val="Style41"/>
        <w:keepNext w:val="0"/>
        <w:keepLines w:val="0"/>
        <w:widowControl w:val="0"/>
        <w:shd w:val="clear" w:color="auto" w:fill="auto"/>
        <w:tabs>
          <w:tab w:pos="414" w:val="left"/>
        </w:tabs>
        <w:bidi w:val="0"/>
        <w:spacing w:before="0" w:after="0" w:line="240" w:lineRule="auto"/>
        <w:ind w:left="0" w:right="0" w:firstLine="0"/>
        <w:jc w:val="left"/>
      </w:pPr>
      <w:bookmarkStart w:id="1152" w:name="bookmark1152"/>
      <w:r>
        <w:rPr>
          <w:b/>
          <w:bCs/>
          <w:color w:val="000000"/>
          <w:spacing w:val="0"/>
          <w:w w:val="100"/>
          <w:position w:val="0"/>
        </w:rPr>
        <w:t>（</w:t>
      </w:r>
      <w:bookmarkEnd w:id="1152"/>
      <w:r>
        <w:rPr>
          <w:rFonts w:ascii="Times New Roman" w:eastAsia="Times New Roman" w:hAnsi="Times New Roman" w:cs="Times New Roman"/>
          <w:b/>
          <w:bCs/>
          <w:color w:val="000000"/>
          <w:spacing w:val="0"/>
          <w:w w:val="100"/>
          <w:position w:val="0"/>
          <w:sz w:val="18"/>
          <w:szCs w:val="18"/>
        </w:rPr>
        <w:t>1</w:t>
      </w:r>
      <w:r>
        <w:rPr>
          <w:b/>
          <w:bCs/>
          <w:color w:val="000000"/>
          <w:spacing w:val="0"/>
          <w:w w:val="100"/>
          <w:position w:val="0"/>
        </w:rPr>
        <w:t>）</w:t>
        <w:tab/>
        <w:t>类型</w:t>
      </w:r>
    </w:p>
    <w:p>
      <w:pPr>
        <w:pStyle w:val="Style41"/>
        <w:keepNext w:val="0"/>
        <w:keepLines w:val="0"/>
        <w:widowControl w:val="0"/>
        <w:shd w:val="clear" w:color="auto" w:fill="auto"/>
        <w:bidi w:val="0"/>
        <w:spacing w:before="0" w:after="0" w:line="468" w:lineRule="exact"/>
        <w:ind w:left="0" w:right="0"/>
        <w:jc w:val="left"/>
      </w:pPr>
      <w:r>
        <w:rPr>
          <w:color w:val="000000"/>
          <w:spacing w:val="0"/>
          <w:w w:val="100"/>
          <w:position w:val="0"/>
        </w:rPr>
        <w:t>政府补助，是本公司从政府无偿取得的货币性资产或非货币性资产，分为与资产相关的政府补助和与收益相关的政府补 助。</w:t>
      </w:r>
    </w:p>
    <w:p>
      <w:pPr>
        <w:pStyle w:val="Style41"/>
        <w:keepNext w:val="0"/>
        <w:keepLines w:val="0"/>
        <w:widowControl w:val="0"/>
        <w:shd w:val="clear" w:color="auto" w:fill="auto"/>
        <w:bidi w:val="0"/>
        <w:spacing w:before="0" w:after="0" w:line="468" w:lineRule="exact"/>
        <w:ind w:left="0" w:right="0"/>
        <w:jc w:val="left"/>
      </w:pPr>
      <w:r>
        <w:rPr>
          <w:color w:val="000000"/>
          <w:spacing w:val="0"/>
          <w:w w:val="100"/>
          <w:position w:val="0"/>
        </w:rPr>
        <w:t>与资产相关的政府补助，是指本公司取得的、用于购建或以其他方式形成长期资产的政府补助。与收益相关的政府补助， 是指除与资产相关的政府补助之外的政府补助。</w:t>
      </w:r>
    </w:p>
    <w:p>
      <w:pPr>
        <w:pStyle w:val="Style41"/>
        <w:keepNext w:val="0"/>
        <w:keepLines w:val="0"/>
        <w:widowControl w:val="0"/>
        <w:shd w:val="clear" w:color="auto" w:fill="auto"/>
        <w:bidi w:val="0"/>
        <w:spacing w:before="0" w:after="0" w:line="468" w:lineRule="exact"/>
        <w:ind w:left="0" w:right="0"/>
        <w:jc w:val="left"/>
      </w:pPr>
      <w:r>
        <w:rPr>
          <w:color w:val="000000"/>
          <w:spacing w:val="0"/>
          <w:w w:val="100"/>
          <w:position w:val="0"/>
        </w:rPr>
        <w:t>本公司将政府补助划分为与资产相关的具体标准为：公司取得的、用于购建或以其他方式形成长期资产的政府补助属于 与资产相关的政府补助。</w:t>
      </w:r>
    </w:p>
    <w:p>
      <w:pPr>
        <w:pStyle w:val="Style41"/>
        <w:keepNext w:val="0"/>
        <w:keepLines w:val="0"/>
        <w:widowControl w:val="0"/>
        <w:shd w:val="clear" w:color="auto" w:fill="auto"/>
        <w:bidi w:val="0"/>
        <w:spacing w:before="0" w:after="180" w:line="468" w:lineRule="exact"/>
        <w:ind w:left="0" w:right="0"/>
        <w:jc w:val="left"/>
      </w:pPr>
      <w:r>
        <w:rPr>
          <w:color w:val="000000"/>
          <w:spacing w:val="0"/>
          <w:w w:val="100"/>
          <w:position w:val="0"/>
        </w:rPr>
        <w:t>本公司将政府补助划分为与收益相关的具体标准为：除与资产相关的政府补助之外的政府补助为与收益相关的政府补 助。资产相关的政府补助，是指本公司取得的、用于购建或以其他方式形成长期资产的政府补助。与收益相关的政府补助， 是指除与资产相关的政府补助之外的政府补助。</w:t>
      </w:r>
    </w:p>
    <w:p>
      <w:pPr>
        <w:pStyle w:val="Style41"/>
        <w:keepNext w:val="0"/>
        <w:keepLines w:val="0"/>
        <w:widowControl w:val="0"/>
        <w:shd w:val="clear" w:color="auto" w:fill="auto"/>
        <w:tabs>
          <w:tab w:pos="414" w:val="left"/>
        </w:tabs>
        <w:bidi w:val="0"/>
        <w:spacing w:before="0" w:after="0" w:line="240" w:lineRule="auto"/>
        <w:ind w:left="0" w:right="0" w:firstLine="0"/>
        <w:jc w:val="left"/>
      </w:pPr>
      <w:bookmarkStart w:id="1153" w:name="bookmark1153"/>
      <w:r>
        <w:rPr>
          <w:b/>
          <w:bCs/>
          <w:color w:val="000000"/>
          <w:spacing w:val="0"/>
          <w:w w:val="100"/>
          <w:position w:val="0"/>
        </w:rPr>
        <w:t>（</w:t>
      </w:r>
      <w:bookmarkEnd w:id="1153"/>
      <w:r>
        <w:rPr>
          <w:rFonts w:ascii="Times New Roman" w:eastAsia="Times New Roman" w:hAnsi="Times New Roman" w:cs="Times New Roman"/>
          <w:b/>
          <w:bCs/>
          <w:color w:val="000000"/>
          <w:spacing w:val="0"/>
          <w:w w:val="100"/>
          <w:position w:val="0"/>
          <w:sz w:val="18"/>
          <w:szCs w:val="18"/>
        </w:rPr>
        <w:t>2</w:t>
      </w:r>
      <w:r>
        <w:rPr>
          <w:b/>
          <w:bCs/>
          <w:color w:val="000000"/>
          <w:spacing w:val="0"/>
          <w:w w:val="100"/>
          <w:position w:val="0"/>
        </w:rPr>
        <w:t>）</w:t>
        <w:tab/>
        <w:t>确认时点</w:t>
      </w:r>
    </w:p>
    <w:p>
      <w:pPr>
        <w:pStyle w:val="Style41"/>
        <w:keepNext w:val="0"/>
        <w:keepLines w:val="0"/>
        <w:widowControl w:val="0"/>
        <w:shd w:val="clear" w:color="auto" w:fill="auto"/>
        <w:bidi w:val="0"/>
        <w:spacing w:before="0" w:after="0" w:line="468" w:lineRule="exact"/>
        <w:ind w:left="0" w:right="0"/>
        <w:jc w:val="both"/>
      </w:pPr>
      <w:r>
        <w:rPr>
          <w:color w:val="000000"/>
          <w:spacing w:val="0"/>
          <w:w w:val="100"/>
          <w:position w:val="0"/>
        </w:rPr>
        <w:t>与资产相关的政府补助，在实际收到或者获得了收取政府补助的权利并基本确定能收到时冲减相关资产账面价值或确认 为递延收益。确认为递延收益的，按照所建造或购买的资产使用年限分期计入当期损益（与本公司日常活动相关的，计入其 他收益；与本公司日常活动无关的，计入营业外收入）。</w:t>
      </w:r>
    </w:p>
    <w:p>
      <w:pPr>
        <w:pStyle w:val="Style41"/>
        <w:keepNext w:val="0"/>
        <w:keepLines w:val="0"/>
        <w:widowControl w:val="0"/>
        <w:shd w:val="clear" w:color="auto" w:fill="auto"/>
        <w:bidi w:val="0"/>
        <w:spacing w:before="0" w:after="180" w:line="468" w:lineRule="exact"/>
        <w:ind w:left="0" w:right="0"/>
        <w:jc w:val="both"/>
      </w:pPr>
      <w:r>
        <w:rPr>
          <w:color w:val="000000"/>
          <w:spacing w:val="0"/>
          <w:w w:val="100"/>
          <w:position w:val="0"/>
        </w:rPr>
        <w:t>与收益相关的政府补助，在实际收到或者获得了收取政府补助的权利并基本确定能收到时予以确认。其中：</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）用于补 偿企业以后期间的相关费用或损失的，取得时确认为递延收益，在确认相关费用的期间计入当期损益（与本公司日常活动相 关的，计入其他收益；与本公司日常活动无关的，计入营业外收入）或冲减相关成本费用或损失；</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）用于补偿企业已发生 的相关费用或损失的，取得时直接计入当期损益（与本公司日常活动相关的，计入其他收益；与本公司日常活动无关的，计 入营业外收入）或冲减相关成本费用或损失。</w:t>
      </w:r>
    </w:p>
    <w:p>
      <w:pPr>
        <w:pStyle w:val="Style41"/>
        <w:keepNext w:val="0"/>
        <w:keepLines w:val="0"/>
        <w:widowControl w:val="0"/>
        <w:shd w:val="clear" w:color="auto" w:fill="auto"/>
        <w:tabs>
          <w:tab w:pos="414" w:val="left"/>
        </w:tabs>
        <w:bidi w:val="0"/>
        <w:spacing w:before="0" w:after="0" w:line="240" w:lineRule="auto"/>
        <w:ind w:left="0" w:right="0" w:firstLine="0"/>
        <w:jc w:val="left"/>
      </w:pPr>
      <w:bookmarkStart w:id="1154" w:name="bookmark1154"/>
      <w:r>
        <w:rPr>
          <w:b/>
          <w:bCs/>
          <w:color w:val="000000"/>
          <w:spacing w:val="0"/>
          <w:w w:val="100"/>
          <w:position w:val="0"/>
        </w:rPr>
        <w:t>（</w:t>
      </w:r>
      <w:bookmarkEnd w:id="1154"/>
      <w:r>
        <w:rPr>
          <w:rFonts w:ascii="Times New Roman" w:eastAsia="Times New Roman" w:hAnsi="Times New Roman" w:cs="Times New Roman"/>
          <w:b/>
          <w:bCs/>
          <w:color w:val="000000"/>
          <w:spacing w:val="0"/>
          <w:w w:val="100"/>
          <w:position w:val="0"/>
          <w:sz w:val="18"/>
          <w:szCs w:val="18"/>
        </w:rPr>
        <w:t>3</w:t>
      </w:r>
      <w:r>
        <w:rPr>
          <w:b/>
          <w:bCs/>
          <w:color w:val="000000"/>
          <w:spacing w:val="0"/>
          <w:w w:val="100"/>
          <w:position w:val="0"/>
        </w:rPr>
        <w:t>）</w:t>
        <w:tab/>
        <w:t>会计处理</w:t>
      </w:r>
    </w:p>
    <w:p>
      <w:pPr>
        <w:pStyle w:val="Style41"/>
        <w:keepNext w:val="0"/>
        <w:keepLines w:val="0"/>
        <w:widowControl w:val="0"/>
        <w:shd w:val="clear" w:color="auto" w:fill="auto"/>
        <w:bidi w:val="0"/>
        <w:spacing w:before="0" w:after="0" w:line="473" w:lineRule="exact"/>
        <w:ind w:left="0" w:right="0"/>
        <w:jc w:val="both"/>
      </w:pPr>
      <w:r>
        <w:rPr>
          <w:color w:val="000000"/>
          <w:spacing w:val="0"/>
          <w:w w:val="100"/>
          <w:position w:val="0"/>
        </w:rPr>
        <w:t>与资产相关的政府补助，冲减相关资产账面价值或确认为递延收益。确认为递延收益的，在相关资产使用寿命内按照合 理、系统的方法分期计入当期损益（与本公司日常活动相关的，计入其他收益；与本公司日常活动无关的，计入营业外收入）；</w:t>
      </w:r>
    </w:p>
    <w:p>
      <w:pPr>
        <w:pStyle w:val="Style41"/>
        <w:keepNext w:val="0"/>
        <w:keepLines w:val="0"/>
        <w:widowControl w:val="0"/>
        <w:shd w:val="clear" w:color="auto" w:fill="auto"/>
        <w:bidi w:val="0"/>
        <w:spacing w:before="0" w:after="460" w:line="473" w:lineRule="exact"/>
        <w:ind w:left="0" w:right="0"/>
        <w:jc w:val="both"/>
      </w:pPr>
      <w:r>
        <w:rPr>
          <w:color w:val="000000"/>
          <w:spacing w:val="0"/>
          <w:w w:val="100"/>
          <w:position w:val="0"/>
        </w:rPr>
        <w:t>与收益相关的政府补助，用于补偿本公司以后期间的相关成本费用或损失的，确认为递延收益，并在确认相关成本费用 或损失的期间，计入当期损益（与本公司日常活动相关的，计入其他收益；与本公司日常活动无关的，计入营业外收入）或 冲减相关成本费用或损失；用于补偿本公司已发生的相关成本费用或损失的，直接计入当期损益（与本公司日常活动相关的， 计入其他收益；与本公司日常活动无关的，计入营业外收入）或冲减相关成本费用或损失。</w:t>
      </w:r>
    </w:p>
    <w:p>
      <w:pPr>
        <w:pStyle w:val="Style47"/>
        <w:keepNext/>
        <w:keepLines/>
        <w:widowControl w:val="0"/>
        <w:shd w:val="clear" w:color="auto" w:fill="auto"/>
        <w:tabs>
          <w:tab w:pos="448" w:val="left"/>
        </w:tabs>
        <w:bidi w:val="0"/>
        <w:spacing w:before="0" w:after="220" w:line="240" w:lineRule="auto"/>
        <w:ind w:left="0" w:right="0" w:firstLine="0"/>
        <w:jc w:val="left"/>
      </w:pPr>
      <w:bookmarkStart w:id="1155" w:name="bookmark1155"/>
      <w:bookmarkStart w:id="1156" w:name="bookmark1156"/>
      <w:bookmarkStart w:id="1157" w:name="bookmark1157"/>
      <w:bookmarkStart w:id="1158" w:name="bookmark1158"/>
      <w:r>
        <w:rPr>
          <w:color w:val="000000"/>
          <w:spacing w:val="0"/>
          <w:w w:val="100"/>
          <w:position w:val="0"/>
        </w:rPr>
        <w:t>4</w:t>
      </w:r>
      <w:bookmarkEnd w:id="1157"/>
      <w:r>
        <w:rPr>
          <w:color w:val="000000"/>
          <w:spacing w:val="0"/>
          <w:w w:val="100"/>
          <w:position w:val="0"/>
        </w:rPr>
        <w:t>1、</w:t>
        <w:tab/>
        <w:t>递延所得税资产/递延所得税负债</w:t>
      </w:r>
      <w:bookmarkEnd w:id="1155"/>
      <w:bookmarkEnd w:id="1156"/>
      <w:bookmarkEnd w:id="1158"/>
    </w:p>
    <w:p>
      <w:pPr>
        <w:pStyle w:val="Style41"/>
        <w:keepNext w:val="0"/>
        <w:keepLines w:val="0"/>
        <w:widowControl w:val="0"/>
        <w:shd w:val="clear" w:color="auto" w:fill="auto"/>
        <w:bidi w:val="0"/>
        <w:spacing w:before="0" w:after="300" w:line="468" w:lineRule="exact"/>
        <w:ind w:left="0" w:right="0"/>
        <w:jc w:val="both"/>
        <w:sectPr>
          <w:headerReference w:type="default" r:id="rId337"/>
          <w:footerReference w:type="default" r:id="rId338"/>
          <w:headerReference w:type="even" r:id="rId339"/>
          <w:footerReference w:type="even" r:id="rId340"/>
          <w:footnotePr>
            <w:pos w:val="pageBottom"/>
            <w:numFmt w:val="decimal"/>
            <w:numRestart w:val="continuous"/>
          </w:footnotePr>
          <w:pgSz w:w="11904" w:h="17375"/>
          <w:pgMar w:top="1766" w:right="1018" w:bottom="1766" w:left="1104" w:header="0" w:footer="3" w:gutter="0"/>
          <w:cols w:space="720"/>
          <w:noEndnote/>
          <w:rtlGutter w:val="0"/>
          <w:docGrid w:linePitch="360"/>
        </w:sectPr>
      </w:pPr>
      <w:r>
        <w:rPr>
          <w:color w:val="000000"/>
          <w:spacing w:val="0"/>
          <w:w w:val="100"/>
          <w:position w:val="0"/>
        </w:rPr>
        <w:t>所得税包括当期所得税和递延所得税。除因企业合并和直接计入所有者权益</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包括其他综合收益</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的交易或者事项产生的</w:t>
      </w:r>
    </w:p>
    <w:p>
      <w:pPr>
        <w:pStyle w:val="Style212"/>
        <w:keepNext w:val="0"/>
        <w:keepLines w:val="0"/>
        <w:widowControl w:val="0"/>
        <w:shd w:val="clear" w:color="auto" w:fill="auto"/>
        <w:bidi w:val="0"/>
        <w:spacing w:before="0" w:after="0" w:line="240" w:lineRule="auto"/>
        <w:ind w:left="0" w:right="0" w:firstLine="0"/>
        <w:jc w:val="left"/>
      </w:pPr>
      <w:r>
        <w:rPr>
          <w:spacing w:val="0"/>
          <w:w w:val="100"/>
          <w:position w:val="0"/>
        </w:rPr>
        <w:t>Ultrapoiuer</w:t>
      </w:r>
    </w:p>
    <w:p>
      <w:pPr>
        <w:pStyle w:val="Style41"/>
        <w:keepNext w:val="0"/>
        <w:keepLines w:val="0"/>
        <w:widowControl w:val="0"/>
        <w:pBdr>
          <w:top w:val="single" w:sz="4" w:space="0" w:color="auto"/>
        </w:pBdr>
        <w:shd w:val="clear" w:color="auto" w:fill="auto"/>
        <w:bidi w:val="0"/>
        <w:spacing w:before="0" w:after="0" w:line="467" w:lineRule="exact"/>
        <w:ind w:left="0" w:right="0" w:firstLine="820"/>
        <w:jc w:val="both"/>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 所得税外，本公司将当期所得税和递延所得税计入当期损益。</w:t>
      </w:r>
    </w:p>
    <w:p>
      <w:pPr>
        <w:pStyle w:val="Style41"/>
        <w:keepNext w:val="0"/>
        <w:keepLines w:val="0"/>
        <w:widowControl w:val="0"/>
        <w:shd w:val="clear" w:color="auto" w:fill="auto"/>
        <w:bidi w:val="0"/>
        <w:spacing w:before="0" w:after="0" w:line="467" w:lineRule="exact"/>
        <w:ind w:left="0" w:right="0"/>
        <w:jc w:val="both"/>
      </w:pPr>
      <w:r>
        <w:rPr>
          <w:color w:val="000000"/>
          <w:spacing w:val="0"/>
          <w:w w:val="100"/>
          <w:position w:val="0"/>
        </w:rPr>
        <w:t>递延所得税资产和递延所得税负债根据资产和负债的计税基础与其账面价值的差额</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暂时性差异</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计算确认。</w:t>
      </w:r>
    </w:p>
    <w:p>
      <w:pPr>
        <w:pStyle w:val="Style41"/>
        <w:keepNext w:val="0"/>
        <w:keepLines w:val="0"/>
        <w:widowControl w:val="0"/>
        <w:shd w:val="clear" w:color="auto" w:fill="auto"/>
        <w:bidi w:val="0"/>
        <w:spacing w:before="0" w:after="0" w:line="467" w:lineRule="exact"/>
        <w:ind w:left="0" w:right="0"/>
        <w:jc w:val="both"/>
      </w:pPr>
      <w:r>
        <w:rPr>
          <w:color w:val="000000"/>
          <w:spacing w:val="0"/>
          <w:w w:val="100"/>
          <w:position w:val="0"/>
        </w:rPr>
        <w:t>对于可抵扣暂时性差异确认递延所得税资产，以未来期间很可能取得的用来抵扣可抵扣暂时性差异的应纳税所得额为 限。对于能够结转以后年度的可抵扣亏损和税款抵减，以很可能获得用来抵扣可抵扣亏损和税款抵减的未来应纳税所得额为 限，确认相应的递延所得税资产。</w:t>
      </w:r>
    </w:p>
    <w:p>
      <w:pPr>
        <w:pStyle w:val="Style41"/>
        <w:keepNext w:val="0"/>
        <w:keepLines w:val="0"/>
        <w:widowControl w:val="0"/>
        <w:shd w:val="clear" w:color="auto" w:fill="auto"/>
        <w:bidi w:val="0"/>
        <w:spacing w:before="0" w:after="0" w:line="467" w:lineRule="exact"/>
        <w:ind w:left="0" w:right="0"/>
        <w:jc w:val="both"/>
      </w:pPr>
      <w:r>
        <w:rPr>
          <w:color w:val="000000"/>
          <w:spacing w:val="0"/>
          <w:w w:val="100"/>
          <w:position w:val="0"/>
        </w:rPr>
        <w:t>对于应纳税暂时性差异，除特殊情况外，确认递延所得税负债。</w:t>
      </w:r>
    </w:p>
    <w:p>
      <w:pPr>
        <w:pStyle w:val="Style41"/>
        <w:keepNext w:val="0"/>
        <w:keepLines w:val="0"/>
        <w:widowControl w:val="0"/>
        <w:shd w:val="clear" w:color="auto" w:fill="auto"/>
        <w:bidi w:val="0"/>
        <w:spacing w:before="0" w:after="260" w:line="467" w:lineRule="exact"/>
        <w:ind w:left="0" w:right="0"/>
        <w:jc w:val="both"/>
      </w:pPr>
      <w:r>
        <w:rPr>
          <w:color w:val="000000"/>
          <w:spacing w:val="0"/>
          <w:w w:val="100"/>
          <w:position w:val="0"/>
        </w:rPr>
        <w:t>不确认递延所得税资产或递延所得税负债的特殊情况包括：</w:t>
      </w:r>
    </w:p>
    <w:p>
      <w:pPr>
        <w:pStyle w:val="Style41"/>
        <w:keepNext w:val="0"/>
        <w:keepLines w:val="0"/>
        <w:widowControl w:val="0"/>
        <w:shd w:val="clear" w:color="auto" w:fill="auto"/>
        <w:bidi w:val="0"/>
        <w:spacing w:before="0" w:after="0" w:line="542" w:lineRule="auto"/>
        <w:ind w:left="0" w:right="0"/>
        <w:jc w:val="both"/>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商誉的初始确认；</w:t>
      </w:r>
    </w:p>
    <w:p>
      <w:pPr>
        <w:pStyle w:val="Style41"/>
        <w:keepNext w:val="0"/>
        <w:keepLines w:val="0"/>
        <w:widowControl w:val="0"/>
        <w:shd w:val="clear" w:color="auto" w:fill="auto"/>
        <w:bidi w:val="0"/>
        <w:spacing w:before="0" w:after="0" w:line="467" w:lineRule="exact"/>
        <w:ind w:left="0" w:right="0"/>
        <w:jc w:val="both"/>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既不是企业合并、发生时也不影响会计利润和应纳税所得额</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或可抵扣亏损</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的交易或事项。</w:t>
      </w:r>
    </w:p>
    <w:p>
      <w:pPr>
        <w:pStyle w:val="Style41"/>
        <w:keepNext w:val="0"/>
        <w:keepLines w:val="0"/>
        <w:widowControl w:val="0"/>
        <w:shd w:val="clear" w:color="auto" w:fill="auto"/>
        <w:bidi w:val="0"/>
        <w:spacing w:before="0" w:after="0" w:line="467" w:lineRule="exact"/>
        <w:ind w:left="0" w:right="0"/>
        <w:jc w:val="both"/>
      </w:pPr>
      <w:r>
        <w:rPr>
          <w:color w:val="000000"/>
          <w:spacing w:val="0"/>
          <w:w w:val="100"/>
          <w:position w:val="0"/>
        </w:rPr>
        <w:t>对与子公司、联营企业及合营企业投资相关的应纳税暂时性差异，确认递延所得税负债，除非本公司能够控制该暂时性 差异转回的时间且该暂时性差异在可预见的未来很可能不会转回。对与子公司、联营企业及合营企业投资相关的可抵扣暂时 性差异，当该暂时性差异在可预见的未来很可能转回且未来很可能获得用来抵扣可抵扣暂时性差异的应纳税所得额时，确认 递延所得税资产。</w:t>
      </w:r>
    </w:p>
    <w:p>
      <w:pPr>
        <w:pStyle w:val="Style41"/>
        <w:keepNext w:val="0"/>
        <w:keepLines w:val="0"/>
        <w:widowControl w:val="0"/>
        <w:shd w:val="clear" w:color="auto" w:fill="auto"/>
        <w:bidi w:val="0"/>
        <w:spacing w:before="0" w:after="0" w:line="467" w:lineRule="exact"/>
        <w:ind w:left="0" w:right="0"/>
        <w:jc w:val="both"/>
      </w:pPr>
      <w:r>
        <w:rPr>
          <w:color w:val="000000"/>
          <w:spacing w:val="0"/>
          <w:w w:val="100"/>
          <w:position w:val="0"/>
        </w:rPr>
        <w:t>资产负债表日，对于递延所得税资产和递延所得税负债，根据税法规定，按照预期收回相关资产或清偿相关负债期间的 适用税率计量。</w:t>
      </w:r>
    </w:p>
    <w:p>
      <w:pPr>
        <w:pStyle w:val="Style41"/>
        <w:keepNext w:val="0"/>
        <w:keepLines w:val="0"/>
        <w:widowControl w:val="0"/>
        <w:shd w:val="clear" w:color="auto" w:fill="auto"/>
        <w:bidi w:val="0"/>
        <w:spacing w:before="0" w:after="0" w:line="467" w:lineRule="exact"/>
        <w:ind w:left="0" w:right="0"/>
        <w:jc w:val="both"/>
      </w:pPr>
      <w:r>
        <w:rPr>
          <w:color w:val="000000"/>
          <w:spacing w:val="0"/>
          <w:w w:val="100"/>
          <w:position w:val="0"/>
        </w:rPr>
        <w:t>资产负债表日，本公司对递延所得税资产的账面价值进行复核。如果未来期间很可能无法获得足够的应纳税所得额用以 抵扣递延所得税资产的利益，则减记递延所得税资产的账面价值。在很可能获得足够的应纳税所得额时，减记的金额予以转 回。</w:t>
      </w:r>
    </w:p>
    <w:p>
      <w:pPr>
        <w:pStyle w:val="Style41"/>
        <w:keepNext w:val="0"/>
        <w:keepLines w:val="0"/>
        <w:widowControl w:val="0"/>
        <w:shd w:val="clear" w:color="auto" w:fill="auto"/>
        <w:bidi w:val="0"/>
        <w:spacing w:before="0" w:after="0" w:line="467" w:lineRule="exact"/>
        <w:ind w:left="0" w:right="0"/>
        <w:jc w:val="both"/>
      </w:pPr>
      <w:r>
        <w:rPr>
          <w:color w:val="000000"/>
          <w:spacing w:val="0"/>
          <w:w w:val="100"/>
          <w:position w:val="0"/>
        </w:rPr>
        <w:t>当拥有以净额结算的法定权利，且意图以净额结算或取得资产、清偿负债同时进行时，当期所得税资产及当期所得税负 债以抵销后的净额列报。</w:t>
      </w:r>
    </w:p>
    <w:p>
      <w:pPr>
        <w:pStyle w:val="Style41"/>
        <w:keepNext w:val="0"/>
        <w:keepLines w:val="0"/>
        <w:widowControl w:val="0"/>
        <w:shd w:val="clear" w:color="auto" w:fill="auto"/>
        <w:bidi w:val="0"/>
        <w:spacing w:before="0" w:after="0" w:line="467" w:lineRule="exact"/>
        <w:ind w:left="0" w:right="0"/>
        <w:jc w:val="both"/>
      </w:pPr>
      <w:r>
        <w:rPr>
          <w:color w:val="000000"/>
          <w:spacing w:val="0"/>
          <w:w w:val="100"/>
          <w:position w:val="0"/>
        </w:rPr>
        <w:t>资产负债表日，递延所得税资产及递延所得税负债在同时满足以下条件时以抵销后的净额列示：</w:t>
      </w:r>
    </w:p>
    <w:p>
      <w:pPr>
        <w:pStyle w:val="Style41"/>
        <w:keepNext w:val="0"/>
        <w:keepLines w:val="0"/>
        <w:widowControl w:val="0"/>
        <w:shd w:val="clear" w:color="auto" w:fill="auto"/>
        <w:bidi w:val="0"/>
        <w:spacing w:before="0" w:after="0" w:line="467" w:lineRule="exact"/>
        <w:ind w:left="0" w:right="0"/>
        <w:jc w:val="both"/>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纳税主体拥有以净额结算当期所得税资产及当期所得税负债的法定权利；</w:t>
      </w:r>
    </w:p>
    <w:p>
      <w:pPr>
        <w:pStyle w:val="Style41"/>
        <w:keepNext w:val="0"/>
        <w:keepLines w:val="0"/>
        <w:widowControl w:val="0"/>
        <w:shd w:val="clear" w:color="auto" w:fill="auto"/>
        <w:bidi w:val="0"/>
        <w:spacing w:before="0" w:after="440" w:line="467" w:lineRule="exact"/>
        <w:ind w:left="0" w:right="0"/>
        <w:jc w:val="both"/>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递延所得税资产及递延所得税负债是与同一税收征管部门对同一纳税主体征收的所得税相关或者是对不同的纳税主 体相关，但在未来每一具有重要性的递延所得税资产及负债转回的期间内，涉及的纳税主体意图以净额结算当期所得税资产 和负债或是同时取得资产、清偿负债。</w:t>
      </w:r>
    </w:p>
    <w:p>
      <w:pPr>
        <w:pStyle w:val="Style47"/>
        <w:keepNext/>
        <w:keepLines/>
        <w:widowControl w:val="0"/>
        <w:shd w:val="clear" w:color="auto" w:fill="auto"/>
        <w:bidi w:val="0"/>
        <w:spacing w:before="0" w:after="380" w:line="240" w:lineRule="auto"/>
        <w:ind w:left="0" w:right="0" w:firstLine="0"/>
        <w:jc w:val="left"/>
      </w:pPr>
      <w:bookmarkStart w:id="1159" w:name="bookmark1159"/>
      <w:bookmarkStart w:id="1160" w:name="bookmark1160"/>
      <w:bookmarkStart w:id="1161" w:name="bookmark1161"/>
      <w:bookmarkStart w:id="1162" w:name="bookmark1162"/>
      <w:r>
        <w:rPr>
          <w:color w:val="000000"/>
          <w:spacing w:val="0"/>
          <w:w w:val="100"/>
          <w:position w:val="0"/>
        </w:rPr>
        <w:t>4</w:t>
      </w:r>
      <w:bookmarkEnd w:id="1161"/>
      <w:r>
        <w:rPr>
          <w:color w:val="000000"/>
          <w:spacing w:val="0"/>
          <w:w w:val="100"/>
          <w:position w:val="0"/>
        </w:rPr>
        <w:t>2、租赁</w:t>
      </w:r>
      <w:bookmarkEnd w:id="1159"/>
      <w:bookmarkEnd w:id="1160"/>
      <w:bookmarkEnd w:id="1162"/>
    </w:p>
    <w:p>
      <w:pPr>
        <w:pStyle w:val="Style58"/>
        <w:keepNext/>
        <w:keepLines/>
        <w:widowControl w:val="0"/>
        <w:shd w:val="clear" w:color="auto" w:fill="auto"/>
        <w:bidi w:val="0"/>
        <w:spacing w:before="0" w:after="220" w:line="240" w:lineRule="auto"/>
        <w:ind w:left="0" w:right="0" w:firstLine="0"/>
        <w:jc w:val="left"/>
        <w:rPr>
          <w:sz w:val="20"/>
          <w:szCs w:val="20"/>
        </w:rPr>
      </w:pPr>
      <w:bookmarkStart w:id="1163" w:name="bookmark1163"/>
      <w:bookmarkStart w:id="1164" w:name="bookmark1164"/>
      <w:bookmarkStart w:id="1165" w:name="bookmark1165"/>
      <w:bookmarkStart w:id="1166" w:name="bookmark1166"/>
      <w:r>
        <w:rPr>
          <w:b/>
          <w:bCs/>
          <w:color w:val="000000"/>
          <w:spacing w:val="0"/>
          <w:w w:val="100"/>
          <w:position w:val="0"/>
          <w:sz w:val="20"/>
          <w:szCs w:val="20"/>
        </w:rPr>
        <w:t>（</w:t>
      </w:r>
      <w:bookmarkEnd w:id="1165"/>
      <w:r>
        <w:rPr>
          <w:b/>
          <w:bCs/>
          <w:color w:val="000000"/>
          <w:spacing w:val="0"/>
          <w:w w:val="100"/>
          <w:position w:val="0"/>
          <w:sz w:val="20"/>
          <w:szCs w:val="20"/>
        </w:rPr>
        <w:t>1）经营租赁的会计处理方法</w:t>
      </w:r>
      <w:bookmarkEnd w:id="1163"/>
      <w:bookmarkEnd w:id="1164"/>
      <w:bookmarkEnd w:id="1166"/>
    </w:p>
    <w:p>
      <w:pPr>
        <w:pStyle w:val="Style41"/>
        <w:keepNext w:val="0"/>
        <w:keepLines w:val="0"/>
        <w:widowControl w:val="0"/>
        <w:shd w:val="clear" w:color="auto" w:fill="auto"/>
        <w:bidi w:val="0"/>
        <w:spacing w:before="0" w:after="0" w:line="467" w:lineRule="exact"/>
        <w:ind w:left="0" w:right="0"/>
        <w:jc w:val="both"/>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）公司租入资产所支付的租赁费，在不扣除免租期的整个租赁期内，按直线法进行分摊，计入当期费用。公司支付的</w:t>
      </w:r>
    </w:p>
    <w:p>
      <w:pPr>
        <w:pStyle w:val="Style212"/>
        <w:keepNext w:val="0"/>
        <w:keepLines w:val="0"/>
        <w:widowControl w:val="0"/>
        <w:shd w:val="clear" w:color="auto" w:fill="auto"/>
        <w:bidi w:val="0"/>
        <w:spacing w:before="0" w:after="0" w:line="240" w:lineRule="auto"/>
        <w:ind w:left="0" w:right="0" w:firstLine="0"/>
        <w:jc w:val="left"/>
      </w:pPr>
      <w:r>
        <w:rPr>
          <w:spacing w:val="0"/>
          <w:w w:val="100"/>
          <w:position w:val="0"/>
        </w:rPr>
        <w:t>Ultrapoiuer</w:t>
      </w:r>
    </w:p>
    <w:p>
      <w:pPr>
        <w:pStyle w:val="Style41"/>
        <w:keepNext w:val="0"/>
        <w:keepLines w:val="0"/>
        <w:widowControl w:val="0"/>
        <w:pBdr>
          <w:top w:val="single" w:sz="4" w:space="0" w:color="auto"/>
        </w:pBdr>
        <w:shd w:val="clear" w:color="auto" w:fill="auto"/>
        <w:bidi w:val="0"/>
        <w:spacing w:before="0" w:after="0" w:line="471" w:lineRule="exact"/>
        <w:ind w:left="0" w:right="0" w:firstLine="820"/>
        <w:jc w:val="both"/>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 与租赁交易相关的初始直接费用，计入当期费用。</w:t>
      </w:r>
    </w:p>
    <w:p>
      <w:pPr>
        <w:pStyle w:val="Style41"/>
        <w:keepNext w:val="0"/>
        <w:keepLines w:val="0"/>
        <w:widowControl w:val="0"/>
        <w:shd w:val="clear" w:color="auto" w:fill="auto"/>
        <w:bidi w:val="0"/>
        <w:spacing w:before="0" w:after="0" w:line="471" w:lineRule="exact"/>
        <w:ind w:left="0" w:right="0"/>
        <w:jc w:val="both"/>
      </w:pPr>
      <w:r>
        <w:rPr>
          <w:color w:val="000000"/>
          <w:spacing w:val="0"/>
          <w:w w:val="100"/>
          <w:position w:val="0"/>
        </w:rPr>
        <w:t>资产出租方承担了应由公司承担的与租赁相关的费用时，公司将该部分费用从租金总额中扣除，按扣除后的租金费用在 租赁期内分摊，计入当期费用。</w:t>
      </w:r>
    </w:p>
    <w:p>
      <w:pPr>
        <w:pStyle w:val="Style41"/>
        <w:keepNext w:val="0"/>
        <w:keepLines w:val="0"/>
        <w:widowControl w:val="0"/>
        <w:shd w:val="clear" w:color="auto" w:fill="auto"/>
        <w:bidi w:val="0"/>
        <w:spacing w:before="0" w:after="0" w:line="471" w:lineRule="exact"/>
        <w:ind w:left="0" w:right="0"/>
        <w:jc w:val="both"/>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）公司出租资产所收取的租赁费，在不扣除免租期的整个租赁期内，按直线法进行分摊，确认为租赁相关收入。公司 支付的与租赁交易相关的初始直接费用，计入当期费用；如金额较大的，则予以资本化，在整个租赁期间内按照与租赁相关 收入确认相同的基础分期计入当期收益。</w:t>
      </w:r>
    </w:p>
    <w:p>
      <w:pPr>
        <w:pStyle w:val="Style41"/>
        <w:keepNext w:val="0"/>
        <w:keepLines w:val="0"/>
        <w:widowControl w:val="0"/>
        <w:shd w:val="clear" w:color="auto" w:fill="auto"/>
        <w:bidi w:val="0"/>
        <w:spacing w:before="0" w:after="440" w:line="471" w:lineRule="exact"/>
        <w:ind w:left="0" w:right="0"/>
        <w:jc w:val="both"/>
      </w:pPr>
      <w:r>
        <w:rPr>
          <w:color w:val="000000"/>
          <w:spacing w:val="0"/>
          <w:w w:val="100"/>
          <w:position w:val="0"/>
        </w:rPr>
        <w:t>公司承担了应由承租方承担的与租赁相关的费用时，公司将该部分费用从租金收入总额中扣除，按扣除后的租金费用在 租赁期内分配。</w:t>
      </w:r>
    </w:p>
    <w:p>
      <w:pPr>
        <w:pStyle w:val="Style58"/>
        <w:keepNext/>
        <w:keepLines/>
        <w:widowControl w:val="0"/>
        <w:shd w:val="clear" w:color="auto" w:fill="auto"/>
        <w:bidi w:val="0"/>
        <w:spacing w:before="0" w:after="220" w:line="240" w:lineRule="auto"/>
        <w:ind w:left="0" w:right="0" w:firstLine="0"/>
        <w:jc w:val="left"/>
        <w:rPr>
          <w:sz w:val="20"/>
          <w:szCs w:val="20"/>
        </w:rPr>
      </w:pPr>
      <w:bookmarkStart w:id="1167" w:name="bookmark1167"/>
      <w:bookmarkStart w:id="1168" w:name="bookmark1168"/>
      <w:bookmarkStart w:id="1169" w:name="bookmark1169"/>
      <w:bookmarkStart w:id="1170" w:name="bookmark1170"/>
      <w:r>
        <w:rPr>
          <w:b/>
          <w:bCs/>
          <w:color w:val="000000"/>
          <w:spacing w:val="0"/>
          <w:w w:val="100"/>
          <w:position w:val="0"/>
          <w:sz w:val="20"/>
          <w:szCs w:val="20"/>
        </w:rPr>
        <w:t>（</w:t>
      </w:r>
      <w:bookmarkEnd w:id="1169"/>
      <w:r>
        <w:rPr>
          <w:b/>
          <w:bCs/>
          <w:color w:val="000000"/>
          <w:spacing w:val="0"/>
          <w:w w:val="100"/>
          <w:position w:val="0"/>
          <w:sz w:val="20"/>
          <w:szCs w:val="20"/>
        </w:rPr>
        <w:t>2）融资租赁的会计处理方法</w:t>
      </w:r>
      <w:bookmarkEnd w:id="1167"/>
      <w:bookmarkEnd w:id="1168"/>
      <w:bookmarkEnd w:id="1170"/>
    </w:p>
    <w:p>
      <w:pPr>
        <w:pStyle w:val="Style41"/>
        <w:keepNext w:val="0"/>
        <w:keepLines w:val="0"/>
        <w:widowControl w:val="0"/>
        <w:shd w:val="clear" w:color="auto" w:fill="auto"/>
        <w:tabs>
          <w:tab w:pos="693" w:val="left"/>
        </w:tabs>
        <w:bidi w:val="0"/>
        <w:spacing w:before="0" w:after="0" w:line="470" w:lineRule="exact"/>
        <w:ind w:left="0" w:right="0"/>
        <w:jc w:val="both"/>
      </w:pPr>
      <w:bookmarkStart w:id="1171" w:name="bookmark1171"/>
      <w:r>
        <w:rPr>
          <w:rFonts w:ascii="Times New Roman" w:eastAsia="Times New Roman" w:hAnsi="Times New Roman" w:cs="Times New Roman"/>
          <w:color w:val="000000"/>
          <w:spacing w:val="0"/>
          <w:w w:val="100"/>
          <w:position w:val="0"/>
          <w:sz w:val="18"/>
          <w:szCs w:val="18"/>
        </w:rPr>
        <w:t>1</w:t>
      </w:r>
      <w:bookmarkEnd w:id="1171"/>
      <w:r>
        <w:rPr>
          <w:color w:val="000000"/>
          <w:spacing w:val="0"/>
          <w:w w:val="100"/>
          <w:position w:val="0"/>
        </w:rPr>
        <w:t>）</w:t>
        <w:tab/>
        <w:t>融资租入资产：公司在承租开始日，将租赁资产公允价值与最低租赁付款额现值两者中较低者作为租入资产的入账 价值，将最低租赁付款额作为长期应付款的入账价值，其差额作为未确认的融资费用。公司采用实际利率法对未确认的融资 费用，在资产租赁期间内摊销，计入财务费用。公司发生的初始直接费用，计入租入资产价值。</w:t>
      </w:r>
    </w:p>
    <w:p>
      <w:pPr>
        <w:pStyle w:val="Style41"/>
        <w:keepNext w:val="0"/>
        <w:keepLines w:val="0"/>
        <w:widowControl w:val="0"/>
        <w:shd w:val="clear" w:color="auto" w:fill="auto"/>
        <w:tabs>
          <w:tab w:pos="698" w:val="left"/>
        </w:tabs>
        <w:bidi w:val="0"/>
        <w:spacing w:before="0" w:after="440" w:line="470" w:lineRule="exact"/>
        <w:ind w:left="0" w:right="0"/>
        <w:jc w:val="both"/>
      </w:pPr>
      <w:bookmarkStart w:id="1172" w:name="bookmark1172"/>
      <w:r>
        <w:rPr>
          <w:rFonts w:ascii="Times New Roman" w:eastAsia="Times New Roman" w:hAnsi="Times New Roman" w:cs="Times New Roman"/>
          <w:color w:val="000000"/>
          <w:spacing w:val="0"/>
          <w:w w:val="100"/>
          <w:position w:val="0"/>
          <w:sz w:val="18"/>
          <w:szCs w:val="18"/>
        </w:rPr>
        <w:t>2</w:t>
      </w:r>
      <w:bookmarkEnd w:id="1172"/>
      <w:r>
        <w:rPr>
          <w:color w:val="000000"/>
          <w:spacing w:val="0"/>
          <w:w w:val="100"/>
          <w:position w:val="0"/>
        </w:rPr>
        <w:t>）</w:t>
        <w:tab/>
        <w:t>融资租出资产：公司在租赁开始日，将应收融资租赁款，未担保余值之和与其现值的差额确认为未实现融资收益， 在将来收到租金的各期间内确认为租赁收入。公司发生的与出租交易相关的初始直接费用，计入应收融资租赁款的初始计量 中，并减少租赁期内确认的收益金额。</w:t>
      </w:r>
    </w:p>
    <w:p>
      <w:pPr>
        <w:pStyle w:val="Style47"/>
        <w:keepNext/>
        <w:keepLines/>
        <w:widowControl w:val="0"/>
        <w:shd w:val="clear" w:color="auto" w:fill="auto"/>
        <w:bidi w:val="0"/>
        <w:spacing w:before="0" w:after="440" w:line="240" w:lineRule="auto"/>
        <w:ind w:left="0" w:right="0" w:firstLine="0"/>
        <w:jc w:val="left"/>
      </w:pPr>
      <w:bookmarkStart w:id="1173" w:name="bookmark1173"/>
      <w:bookmarkStart w:id="1174" w:name="bookmark1174"/>
      <w:bookmarkStart w:id="1175" w:name="bookmark1175"/>
      <w:bookmarkStart w:id="1176" w:name="bookmark1176"/>
      <w:r>
        <w:rPr>
          <w:color w:val="000000"/>
          <w:spacing w:val="0"/>
          <w:w w:val="100"/>
          <w:position w:val="0"/>
        </w:rPr>
        <w:t>4</w:t>
      </w:r>
      <w:bookmarkEnd w:id="1175"/>
      <w:r>
        <w:rPr>
          <w:color w:val="000000"/>
          <w:spacing w:val="0"/>
          <w:w w:val="100"/>
          <w:position w:val="0"/>
        </w:rPr>
        <w:t>3、其他重要的会计政策和会计估计</w:t>
      </w:r>
      <w:bookmarkEnd w:id="1173"/>
      <w:bookmarkEnd w:id="1174"/>
      <w:bookmarkEnd w:id="1176"/>
    </w:p>
    <w:p>
      <w:pPr>
        <w:pStyle w:val="Style41"/>
        <w:keepNext w:val="0"/>
        <w:keepLines w:val="0"/>
        <w:widowControl w:val="0"/>
        <w:shd w:val="clear" w:color="auto" w:fill="auto"/>
        <w:tabs>
          <w:tab w:pos="424" w:val="left"/>
        </w:tabs>
        <w:bidi w:val="0"/>
        <w:spacing w:before="0" w:after="0" w:line="240" w:lineRule="auto"/>
        <w:ind w:left="0" w:right="0" w:firstLine="0"/>
        <w:jc w:val="left"/>
      </w:pPr>
      <w:bookmarkStart w:id="1177" w:name="bookmark1177"/>
      <w:r>
        <w:rPr>
          <w:b/>
          <w:bCs/>
          <w:color w:val="000000"/>
          <w:spacing w:val="0"/>
          <w:w w:val="100"/>
          <w:position w:val="0"/>
        </w:rPr>
        <w:t>（</w:t>
      </w:r>
      <w:bookmarkEnd w:id="1177"/>
      <w:r>
        <w:rPr>
          <w:rFonts w:ascii="Times New Roman" w:eastAsia="Times New Roman" w:hAnsi="Times New Roman" w:cs="Times New Roman"/>
          <w:b/>
          <w:bCs/>
          <w:color w:val="000000"/>
          <w:spacing w:val="0"/>
          <w:w w:val="100"/>
          <w:position w:val="0"/>
          <w:sz w:val="18"/>
          <w:szCs w:val="18"/>
        </w:rPr>
        <w:t>1</w:t>
      </w:r>
      <w:r>
        <w:rPr>
          <w:b/>
          <w:bCs/>
          <w:color w:val="000000"/>
          <w:spacing w:val="0"/>
          <w:w w:val="100"/>
          <w:position w:val="0"/>
        </w:rPr>
        <w:t>）</w:t>
        <w:tab/>
        <w:t>回购本公司股份</w:t>
      </w:r>
    </w:p>
    <w:p>
      <w:pPr>
        <w:pStyle w:val="Style41"/>
        <w:keepNext w:val="0"/>
        <w:keepLines w:val="0"/>
        <w:widowControl w:val="0"/>
        <w:shd w:val="clear" w:color="auto" w:fill="auto"/>
        <w:bidi w:val="0"/>
        <w:spacing w:before="0" w:after="180" w:line="466" w:lineRule="exact"/>
        <w:ind w:left="0" w:right="0"/>
        <w:jc w:val="both"/>
      </w:pPr>
      <w:r>
        <w:rPr>
          <w:color w:val="000000"/>
          <w:spacing w:val="0"/>
          <w:w w:val="100"/>
          <w:position w:val="0"/>
        </w:rPr>
        <w:t>回购自身权益工具支付的对价和交易费用，减少股东权益。除股份支付之外，发行（含再融资）、回购、出售或注销自 身权益工具，作为权益的变动处理。</w:t>
      </w:r>
    </w:p>
    <w:p>
      <w:pPr>
        <w:pStyle w:val="Style41"/>
        <w:keepNext w:val="0"/>
        <w:keepLines w:val="0"/>
        <w:widowControl w:val="0"/>
        <w:shd w:val="clear" w:color="auto" w:fill="auto"/>
        <w:tabs>
          <w:tab w:pos="424" w:val="left"/>
        </w:tabs>
        <w:bidi w:val="0"/>
        <w:spacing w:before="0" w:after="0" w:line="240" w:lineRule="auto"/>
        <w:ind w:left="0" w:right="0" w:firstLine="0"/>
        <w:jc w:val="left"/>
      </w:pPr>
      <w:bookmarkStart w:id="1178" w:name="bookmark1178"/>
      <w:r>
        <w:rPr>
          <w:b/>
          <w:bCs/>
          <w:color w:val="000000"/>
          <w:spacing w:val="0"/>
          <w:w w:val="100"/>
          <w:position w:val="0"/>
        </w:rPr>
        <w:t>（</w:t>
      </w:r>
      <w:bookmarkEnd w:id="1178"/>
      <w:r>
        <w:rPr>
          <w:rFonts w:ascii="Times New Roman" w:eastAsia="Times New Roman" w:hAnsi="Times New Roman" w:cs="Times New Roman"/>
          <w:b/>
          <w:bCs/>
          <w:color w:val="000000"/>
          <w:spacing w:val="0"/>
          <w:w w:val="100"/>
          <w:position w:val="0"/>
          <w:sz w:val="18"/>
          <w:szCs w:val="18"/>
        </w:rPr>
        <w:t>2</w:t>
      </w:r>
      <w:r>
        <w:rPr>
          <w:b/>
          <w:bCs/>
          <w:color w:val="000000"/>
          <w:spacing w:val="0"/>
          <w:w w:val="100"/>
          <w:position w:val="0"/>
        </w:rPr>
        <w:t>）</w:t>
        <w:tab/>
        <w:t>分部报告</w:t>
      </w:r>
    </w:p>
    <w:p>
      <w:pPr>
        <w:pStyle w:val="Style41"/>
        <w:keepNext w:val="0"/>
        <w:keepLines w:val="0"/>
        <w:widowControl w:val="0"/>
        <w:shd w:val="clear" w:color="auto" w:fill="auto"/>
        <w:bidi w:val="0"/>
        <w:spacing w:before="0" w:after="0" w:line="464" w:lineRule="exact"/>
        <w:ind w:left="0" w:right="0"/>
        <w:jc w:val="both"/>
      </w:pPr>
      <w:r>
        <w:rPr>
          <w:color w:val="000000"/>
          <w:spacing w:val="0"/>
          <w:w w:val="100"/>
          <w:position w:val="0"/>
        </w:rPr>
        <w:t>本公司以内部组织结构、管理要求、内部报告制度为依据确定经营分部，以经营分部为基础确定报告分部并披露分部信 息。</w:t>
      </w:r>
    </w:p>
    <w:p>
      <w:pPr>
        <w:pStyle w:val="Style41"/>
        <w:keepNext w:val="0"/>
        <w:keepLines w:val="0"/>
        <w:widowControl w:val="0"/>
        <w:shd w:val="clear" w:color="auto" w:fill="auto"/>
        <w:bidi w:val="0"/>
        <w:spacing w:before="0" w:after="320" w:line="464" w:lineRule="exact"/>
        <w:ind w:left="0" w:right="0"/>
        <w:jc w:val="both"/>
        <w:sectPr>
          <w:headerReference w:type="default" r:id="rId341"/>
          <w:footerReference w:type="default" r:id="rId342"/>
          <w:headerReference w:type="even" r:id="rId343"/>
          <w:footerReference w:type="even" r:id="rId344"/>
          <w:footnotePr>
            <w:pos w:val="pageBottom"/>
            <w:numFmt w:val="decimal"/>
            <w:numRestart w:val="continuous"/>
          </w:footnotePr>
          <w:pgSz w:w="11904" w:h="17375"/>
          <w:pgMar w:top="1070" w:right="1105" w:bottom="1864" w:left="1103" w:header="642" w:footer="3" w:gutter="0"/>
          <w:cols w:space="720"/>
          <w:noEndnote/>
          <w:rtlGutter w:val="0"/>
          <w:docGrid w:linePitch="360"/>
        </w:sectPr>
      </w:pPr>
      <w:r>
        <w:rPr>
          <w:color w:val="000000"/>
          <w:spacing w:val="0"/>
          <w:w w:val="100"/>
          <w:position w:val="0"/>
        </w:rPr>
        <w:t>经营分部是指本公司内同时满足下列条件的组成部分：</w:t>
      </w: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该组成部分能够在日常活动中产生收入、发生费用；</w:t>
      </w: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本 公司管理层能够定期评价该组成部分的经营成果，以决定向其配置资源、评价其业绩；</w:t>
      </w: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本公司能够取得该组成部分的财 务状况、经营成果和现金流量等有关会计信息。两个或多个经营分部具有相似的经济特征，并且满足一定条件的，则可合并 为一个经营分部。</w:t>
      </w:r>
    </w:p>
    <w:p>
      <w:pPr>
        <w:pStyle w:val="Style47"/>
        <w:keepNext/>
        <w:keepLines/>
        <w:widowControl w:val="0"/>
        <w:shd w:val="clear" w:color="auto" w:fill="auto"/>
        <w:bidi w:val="0"/>
        <w:spacing w:before="0" w:after="380" w:line="240" w:lineRule="auto"/>
        <w:ind w:left="0" w:right="0" w:firstLine="0"/>
        <w:jc w:val="left"/>
      </w:pPr>
      <w:bookmarkStart w:id="1179" w:name="bookmark1179"/>
      <w:bookmarkStart w:id="1180" w:name="bookmark1180"/>
      <w:bookmarkStart w:id="1181" w:name="bookmark1181"/>
      <w:bookmarkStart w:id="1182" w:name="bookmark1182"/>
      <w:r>
        <w:rPr>
          <w:color w:val="000000"/>
          <w:spacing w:val="0"/>
          <w:w w:val="100"/>
          <w:position w:val="0"/>
        </w:rPr>
        <w:t>4</w:t>
      </w:r>
      <w:bookmarkEnd w:id="1181"/>
      <w:r>
        <w:rPr>
          <w:color w:val="000000"/>
          <w:spacing w:val="0"/>
          <w:w w:val="100"/>
          <w:position w:val="0"/>
        </w:rPr>
        <w:t>4、重要会计政策和会计估计变更</w:t>
      </w:r>
      <w:bookmarkEnd w:id="1179"/>
      <w:bookmarkEnd w:id="1180"/>
      <w:bookmarkEnd w:id="1182"/>
    </w:p>
    <w:p>
      <w:pPr>
        <w:pStyle w:val="Style58"/>
        <w:keepNext/>
        <w:keepLines/>
        <w:widowControl w:val="0"/>
        <w:shd w:val="clear" w:color="auto" w:fill="auto"/>
        <w:bidi w:val="0"/>
        <w:spacing w:before="0" w:after="380" w:line="240" w:lineRule="auto"/>
        <w:ind w:left="0" w:right="0" w:firstLine="0"/>
        <w:jc w:val="left"/>
        <w:rPr>
          <w:sz w:val="20"/>
          <w:szCs w:val="20"/>
        </w:rPr>
      </w:pPr>
      <w:bookmarkStart w:id="1183" w:name="bookmark1183"/>
      <w:bookmarkStart w:id="1184" w:name="bookmark1184"/>
      <w:bookmarkStart w:id="1185" w:name="bookmark1185"/>
      <w:bookmarkStart w:id="1186" w:name="bookmark1186"/>
      <w:r>
        <w:rPr>
          <w:b/>
          <w:bCs/>
          <w:color w:val="000000"/>
          <w:spacing w:val="0"/>
          <w:w w:val="100"/>
          <w:position w:val="0"/>
          <w:sz w:val="20"/>
          <w:szCs w:val="20"/>
        </w:rPr>
        <w:t>（</w:t>
      </w:r>
      <w:bookmarkEnd w:id="1185"/>
      <w:r>
        <w:rPr>
          <w:b/>
          <w:bCs/>
          <w:color w:val="000000"/>
          <w:spacing w:val="0"/>
          <w:w w:val="100"/>
          <w:position w:val="0"/>
          <w:sz w:val="20"/>
          <w:szCs w:val="20"/>
        </w:rPr>
        <w:t>1）重要会计政策变更</w:t>
      </w:r>
      <w:bookmarkEnd w:id="1183"/>
      <w:bookmarkEnd w:id="1184"/>
      <w:bookmarkEnd w:id="1186"/>
    </w:p>
    <w:p>
      <w:pPr>
        <w:pStyle w:val="Style20"/>
        <w:keepNext w:val="0"/>
        <w:keepLines w:val="0"/>
        <w:widowControl w:val="0"/>
        <w:shd w:val="clear" w:color="auto" w:fill="auto"/>
        <w:bidi w:val="0"/>
        <w:spacing w:before="0" w:after="0" w:line="240" w:lineRule="auto"/>
        <w:ind w:left="14" w:right="0" w:firstLine="0"/>
        <w:jc w:val="left"/>
        <w:rPr>
          <w:sz w:val="17"/>
          <w:szCs w:val="17"/>
        </w:rPr>
      </w:pPr>
      <w:r>
        <w:rPr>
          <w:rFonts w:ascii="Times New Roman" w:eastAsia="Times New Roman" w:hAnsi="Times New Roman" w:cs="Times New Roman"/>
          <w:color w:val="000000"/>
          <w:spacing w:val="0"/>
          <w:w w:val="100"/>
          <w:position w:val="0"/>
          <w:sz w:val="18"/>
          <w:szCs w:val="18"/>
        </w:rPr>
        <w:t>V</w:t>
      </w:r>
      <w:r>
        <w:rPr>
          <w:rFonts w:ascii="SimSun" w:eastAsia="SimSun" w:hAnsi="SimSun" w:cs="SimSun"/>
          <w:color w:val="000000"/>
          <w:spacing w:val="0"/>
          <w:w w:val="100"/>
          <w:position w:val="0"/>
          <w:sz w:val="17"/>
          <w:szCs w:val="17"/>
        </w:rPr>
        <w:t>适用</w:t>
      </w:r>
      <w:r>
        <w:rPr>
          <w:rFonts w:ascii="SimSun" w:eastAsia="SimSun" w:hAnsi="SimSun" w:cs="SimSun"/>
          <w:color w:val="000000"/>
          <w:spacing w:val="0"/>
          <w:w w:val="100"/>
          <w:position w:val="0"/>
          <w:sz w:val="18"/>
          <w:szCs w:val="18"/>
        </w:rPr>
        <w:t>口</w:t>
      </w:r>
      <w:r>
        <w:rPr>
          <w:rFonts w:ascii="SimSun" w:eastAsia="SimSun" w:hAnsi="SimSun" w:cs="SimSun"/>
          <w:color w:val="000000"/>
          <w:spacing w:val="0"/>
          <w:w w:val="100"/>
          <w:position w:val="0"/>
          <w:sz w:val="17"/>
          <w:szCs w:val="17"/>
        </w:rPr>
        <w:t>不适用</w:t>
      </w:r>
    </w:p>
    <w:tbl>
      <w:tblPr>
        <w:tblOverlap w:val="never"/>
        <w:jc w:val="center"/>
        <w:tblLayout w:type="fixed"/>
      </w:tblPr>
      <w:tblGrid>
        <w:gridCol w:w="4570"/>
        <w:gridCol w:w="4109"/>
        <w:gridCol w:w="1032"/>
      </w:tblGrid>
      <w:tr>
        <w:trPr>
          <w:trHeight w:val="40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会计政策变更的内容和原因</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审批程序</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备注</w:t>
            </w:r>
          </w:p>
        </w:tc>
      </w:tr>
      <w:tr>
        <w:trPr>
          <w:trHeight w:val="195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财政部于</w:t>
            </w:r>
            <w:r>
              <w:rPr>
                <w:rFonts w:ascii="Times New Roman" w:eastAsia="Times New Roman" w:hAnsi="Times New Roman" w:cs="Times New Roman"/>
                <w:color w:val="000000"/>
                <w:spacing w:val="0"/>
                <w:w w:val="100"/>
                <w:position w:val="0"/>
                <w:sz w:val="18"/>
                <w:szCs w:val="18"/>
              </w:rPr>
              <w:t>2017</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7</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日发布了财会</w:t>
            </w:r>
            <w:r>
              <w:rPr>
                <w:rFonts w:ascii="Times New Roman" w:eastAsia="Times New Roman" w:hAnsi="Times New Roman" w:cs="Times New Roman"/>
                <w:color w:val="000000"/>
                <w:spacing w:val="0"/>
                <w:w w:val="100"/>
                <w:position w:val="0"/>
                <w:sz w:val="18"/>
                <w:szCs w:val="18"/>
              </w:rPr>
              <w:t>[2017]22</w:t>
            </w:r>
            <w:r>
              <w:rPr>
                <w:color w:val="000000"/>
                <w:spacing w:val="0"/>
                <w:w w:val="100"/>
                <w:position w:val="0"/>
              </w:rPr>
              <w:t>号关于修订 印发《企业会计准则第</w:t>
            </w:r>
            <w:r>
              <w:rPr>
                <w:rFonts w:ascii="Times New Roman" w:eastAsia="Times New Roman" w:hAnsi="Times New Roman" w:cs="Times New Roman"/>
                <w:color w:val="000000"/>
                <w:spacing w:val="0"/>
                <w:w w:val="100"/>
                <w:position w:val="0"/>
                <w:sz w:val="18"/>
                <w:szCs w:val="18"/>
              </w:rPr>
              <w:t>14</w:t>
            </w:r>
            <w:r>
              <w:rPr>
                <w:color w:val="000000"/>
                <w:spacing w:val="0"/>
                <w:w w:val="100"/>
                <w:position w:val="0"/>
              </w:rPr>
              <w:t>号——收入》（以下简称</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新收入 准则</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）的通知，规定境内外同时上市的企业以及在境外上 市并采用国际财务报告准则或企业会计准则编制财务报告 的企业自</w:t>
            </w:r>
            <w:r>
              <w:rPr>
                <w:rFonts w:ascii="Times New Roman" w:eastAsia="Times New Roman" w:hAnsi="Times New Roman" w:cs="Times New Roman"/>
                <w:color w:val="000000"/>
                <w:spacing w:val="0"/>
                <w:w w:val="100"/>
                <w:position w:val="0"/>
                <w:sz w:val="18"/>
                <w:szCs w:val="18"/>
              </w:rPr>
              <w:t>2018</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日起施行新收入准则，其他境内上 市企业自</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日起施行新收入准则。</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both"/>
            </w:pPr>
            <w:r>
              <w:rPr>
                <w:color w:val="000000"/>
                <w:spacing w:val="0"/>
                <w:w w:val="100"/>
                <w:position w:val="0"/>
              </w:rPr>
              <w:t>公司于</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4</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27</w:t>
            </w:r>
            <w:r>
              <w:rPr>
                <w:color w:val="000000"/>
                <w:spacing w:val="0"/>
                <w:w w:val="100"/>
                <w:position w:val="0"/>
              </w:rPr>
              <w:t>日召开的第七届董事会第二十 四次会议通过了《关于会计政策变更的议案》，公司 独立董事对会计政策变更发表了同意的独立意见。公 司本次会计政策变更无需提交股东大会审议。</w:t>
            </w:r>
          </w:p>
        </w:tc>
        <w:tc>
          <w:tcPr>
            <w:tcBorders>
              <w:top w:val="single" w:sz="4"/>
              <w:left w:val="single" w:sz="4"/>
              <w:right w:val="single" w:sz="4"/>
            </w:tcBorders>
            <w:shd w:val="clear" w:color="auto" w:fill="FFFFFF"/>
            <w:vAlign w:val="top"/>
          </w:tcPr>
          <w:p>
            <w:pPr>
              <w:widowControl w:val="0"/>
              <w:rPr>
                <w:sz w:val="10"/>
                <w:szCs w:val="10"/>
              </w:rPr>
            </w:pPr>
          </w:p>
        </w:tc>
      </w:tr>
      <w:tr>
        <w:trPr>
          <w:trHeight w:val="1339"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9" w:lineRule="exact"/>
              <w:ind w:left="0" w:right="0" w:firstLine="0"/>
              <w:jc w:val="both"/>
            </w:pPr>
            <w:r>
              <w:rPr>
                <w:color w:val="000000"/>
                <w:spacing w:val="0"/>
                <w:w w:val="100"/>
                <w:position w:val="0"/>
              </w:rPr>
              <w:t>财政部于</w:t>
            </w:r>
            <w:r>
              <w:rPr>
                <w:rFonts w:ascii="Times New Roman" w:eastAsia="Times New Roman" w:hAnsi="Times New Roman" w:cs="Times New Roman"/>
                <w:color w:val="000000"/>
                <w:spacing w:val="0"/>
                <w:w w:val="100"/>
                <w:position w:val="0"/>
                <w:sz w:val="18"/>
                <w:szCs w:val="18"/>
              </w:rPr>
              <w:t>2019</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 xml:space="preserve">日发布了《企业会计准则解释第 </w:t>
            </w:r>
            <w:r>
              <w:rPr>
                <w:rFonts w:ascii="Times New Roman" w:eastAsia="Times New Roman" w:hAnsi="Times New Roman" w:cs="Times New Roman"/>
                <w:color w:val="000000"/>
                <w:spacing w:val="0"/>
                <w:w w:val="100"/>
                <w:position w:val="0"/>
                <w:sz w:val="18"/>
                <w:szCs w:val="18"/>
              </w:rPr>
              <w:t>13</w:t>
            </w:r>
            <w:r>
              <w:rPr>
                <w:color w:val="000000"/>
                <w:spacing w:val="0"/>
                <w:w w:val="100"/>
                <w:position w:val="0"/>
              </w:rPr>
              <w:t>号》（财会（</w:t>
            </w:r>
            <w:r>
              <w:rPr>
                <w:rFonts w:ascii="Times New Roman" w:eastAsia="Times New Roman" w:hAnsi="Times New Roman" w:cs="Times New Roman"/>
                <w:color w:val="000000"/>
                <w:spacing w:val="0"/>
                <w:w w:val="100"/>
                <w:position w:val="0"/>
                <w:sz w:val="18"/>
                <w:szCs w:val="18"/>
              </w:rPr>
              <w:t>2019</w:t>
            </w:r>
            <w:r>
              <w:rPr>
                <w:color w:val="000000"/>
                <w:spacing w:val="0"/>
                <w:w w:val="100"/>
                <w:position w:val="0"/>
              </w:rPr>
              <w:t xml:space="preserve">〕 </w:t>
            </w:r>
            <w:r>
              <w:rPr>
                <w:rFonts w:ascii="Times New Roman" w:eastAsia="Times New Roman" w:hAnsi="Times New Roman" w:cs="Times New Roman"/>
                <w:color w:val="000000"/>
                <w:spacing w:val="0"/>
                <w:w w:val="100"/>
                <w:position w:val="0"/>
                <w:sz w:val="18"/>
                <w:szCs w:val="18"/>
              </w:rPr>
              <w:t>21</w:t>
            </w:r>
            <w:r>
              <w:rPr>
                <w:color w:val="000000"/>
                <w:spacing w:val="0"/>
                <w:w w:val="100"/>
                <w:position w:val="0"/>
              </w:rPr>
              <w:t>号），自</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日起施行， 不要求追溯调整。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8" w:lineRule="exact"/>
              <w:ind w:left="0" w:right="0" w:firstLine="0"/>
              <w:jc w:val="both"/>
            </w:pPr>
            <w:r>
              <w:rPr>
                <w:color w:val="000000"/>
                <w:spacing w:val="0"/>
                <w:w w:val="100"/>
                <w:position w:val="0"/>
              </w:rPr>
              <w:t>公司于</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4</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27</w:t>
            </w:r>
            <w:r>
              <w:rPr>
                <w:color w:val="000000"/>
                <w:spacing w:val="0"/>
                <w:w w:val="100"/>
                <w:position w:val="0"/>
              </w:rPr>
              <w:t>日召开的第七届董事会第二十 四次会议通过了《关于会计政策变更的议案》，公司 独立董事对会计政策变更发表了同意的独立意见。公 司本次会计政策变更无需提交股东大会审议。</w:t>
            </w:r>
          </w:p>
        </w:tc>
        <w:tc>
          <w:tcPr>
            <w:tcBorders>
              <w:top w:val="single" w:sz="4"/>
              <w:left w:val="single" w:sz="4"/>
              <w:right w:val="single" w:sz="4"/>
            </w:tcBorders>
            <w:shd w:val="clear" w:color="auto" w:fill="FFFFFF"/>
            <w:vAlign w:val="top"/>
          </w:tcPr>
          <w:p>
            <w:pPr>
              <w:widowControl w:val="0"/>
              <w:rPr>
                <w:sz w:val="10"/>
                <w:szCs w:val="10"/>
              </w:rPr>
            </w:pPr>
          </w:p>
        </w:tc>
      </w:tr>
      <w:tr>
        <w:trPr>
          <w:trHeight w:val="1349"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20" w:lineRule="exact"/>
              <w:ind w:left="0" w:right="0" w:firstLine="0"/>
              <w:jc w:val="both"/>
            </w:pPr>
            <w:r>
              <w:rPr>
                <w:color w:val="000000"/>
                <w:spacing w:val="0"/>
                <w:w w:val="100"/>
                <w:position w:val="0"/>
              </w:rPr>
              <w:t>财政部于</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6</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19</w:t>
            </w:r>
            <w:r>
              <w:rPr>
                <w:color w:val="000000"/>
                <w:spacing w:val="0"/>
                <w:w w:val="100"/>
                <w:position w:val="0"/>
              </w:rPr>
              <w:t>日发布了《新冠肺炎疫情相关租 金减让会计处理规定》（财会〔</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号），自</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 xml:space="preserve">6 </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19</w:t>
            </w:r>
            <w:r>
              <w:rPr>
                <w:color w:val="000000"/>
                <w:spacing w:val="0"/>
                <w:w w:val="100"/>
                <w:position w:val="0"/>
              </w:rPr>
              <w:t>日起施行，允许企业对</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日至该规定施 行日之间发生的相关租金减让进行调整。</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20" w:lineRule="exact"/>
              <w:ind w:left="0" w:right="0" w:firstLine="0"/>
              <w:jc w:val="both"/>
            </w:pPr>
            <w:r>
              <w:rPr>
                <w:color w:val="000000"/>
                <w:spacing w:val="0"/>
                <w:w w:val="100"/>
                <w:position w:val="0"/>
              </w:rPr>
              <w:t>公司于</w:t>
            </w:r>
            <w:r>
              <w:rPr>
                <w:rFonts w:ascii="Times New Roman" w:eastAsia="Times New Roman" w:hAnsi="Times New Roman" w:cs="Times New Roman"/>
                <w:color w:val="000000"/>
                <w:spacing w:val="0"/>
                <w:w w:val="100"/>
                <w:position w:val="0"/>
                <w:sz w:val="18"/>
                <w:szCs w:val="18"/>
              </w:rPr>
              <w:t>2021</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4</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27</w:t>
            </w:r>
            <w:r>
              <w:rPr>
                <w:color w:val="000000"/>
                <w:spacing w:val="0"/>
                <w:w w:val="100"/>
                <w:position w:val="0"/>
              </w:rPr>
              <w:t>日召开的第七届董事会第四十 三次会议通过了《关于会计政策变更的议案》，公司 独立董事对会计政策变更发表了同意的独立意见。公 司本次会计政策变更无需提交股东大会审议。</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179" w:line="1" w:lineRule="exact"/>
      </w:pPr>
    </w:p>
    <w:p>
      <w:pPr>
        <w:pStyle w:val="Style41"/>
        <w:keepNext w:val="0"/>
        <w:keepLines w:val="0"/>
        <w:widowControl w:val="0"/>
        <w:shd w:val="clear" w:color="auto" w:fill="auto"/>
        <w:bidi w:val="0"/>
        <w:spacing w:before="0" w:after="0" w:line="473" w:lineRule="exact"/>
        <w:ind w:left="0" w:right="0"/>
        <w:jc w:val="both"/>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）执行《企业会计准则第</w:t>
      </w:r>
      <w:r>
        <w:rPr>
          <w:rFonts w:ascii="Times New Roman" w:eastAsia="Times New Roman" w:hAnsi="Times New Roman" w:cs="Times New Roman"/>
          <w:color w:val="000000"/>
          <w:spacing w:val="0"/>
          <w:w w:val="100"/>
          <w:position w:val="0"/>
          <w:sz w:val="18"/>
          <w:szCs w:val="18"/>
        </w:rPr>
        <w:t>14</w:t>
      </w:r>
      <w:r>
        <w:rPr>
          <w:color w:val="000000"/>
          <w:spacing w:val="0"/>
          <w:w w:val="100"/>
          <w:position w:val="0"/>
        </w:rPr>
        <w:t>号——收入》（</w:t>
      </w:r>
      <w:r>
        <w:rPr>
          <w:rFonts w:ascii="Times New Roman" w:eastAsia="Times New Roman" w:hAnsi="Times New Roman" w:cs="Times New Roman"/>
          <w:color w:val="000000"/>
          <w:spacing w:val="0"/>
          <w:w w:val="100"/>
          <w:position w:val="0"/>
          <w:sz w:val="18"/>
          <w:szCs w:val="18"/>
        </w:rPr>
        <w:t>2017</w:t>
      </w:r>
      <w:r>
        <w:rPr>
          <w:color w:val="000000"/>
          <w:spacing w:val="0"/>
          <w:w w:val="100"/>
          <w:position w:val="0"/>
        </w:rPr>
        <w:t>年修订）（以下简称</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新收入准则</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p>
      <w:pPr>
        <w:pStyle w:val="Style41"/>
        <w:keepNext w:val="0"/>
        <w:keepLines w:val="0"/>
        <w:widowControl w:val="0"/>
        <w:shd w:val="clear" w:color="auto" w:fill="auto"/>
        <w:bidi w:val="0"/>
        <w:spacing w:before="0" w:after="0" w:line="473" w:lineRule="exact"/>
        <w:ind w:left="0" w:right="0"/>
        <w:jc w:val="both"/>
      </w:pPr>
      <w:r>
        <w:rPr>
          <w:color w:val="000000"/>
          <w:spacing w:val="0"/>
          <w:w w:val="100"/>
          <w:position w:val="0"/>
        </w:rPr>
        <w:t>财政部于</w:t>
      </w:r>
      <w:r>
        <w:rPr>
          <w:rFonts w:ascii="Times New Roman" w:eastAsia="Times New Roman" w:hAnsi="Times New Roman" w:cs="Times New Roman"/>
          <w:color w:val="000000"/>
          <w:spacing w:val="0"/>
          <w:w w:val="100"/>
          <w:position w:val="0"/>
          <w:sz w:val="18"/>
          <w:szCs w:val="18"/>
        </w:rPr>
        <w:t>2017</w:t>
      </w:r>
      <w:r>
        <w:rPr>
          <w:color w:val="000000"/>
          <w:spacing w:val="0"/>
          <w:w w:val="100"/>
          <w:position w:val="0"/>
        </w:rPr>
        <w:t>年度修订了《企业会计准则第</w:t>
      </w:r>
      <w:r>
        <w:rPr>
          <w:rFonts w:ascii="Times New Roman" w:eastAsia="Times New Roman" w:hAnsi="Times New Roman" w:cs="Times New Roman"/>
          <w:color w:val="000000"/>
          <w:spacing w:val="0"/>
          <w:w w:val="100"/>
          <w:position w:val="0"/>
          <w:sz w:val="18"/>
          <w:szCs w:val="18"/>
        </w:rPr>
        <w:t>14</w:t>
      </w:r>
      <w:r>
        <w:rPr>
          <w:color w:val="000000"/>
          <w:spacing w:val="0"/>
          <w:w w:val="100"/>
          <w:position w:val="0"/>
        </w:rPr>
        <w:t>号——收入》。修订后的准则规定，首次执行该准则应当根据累积影响数 调整当年年初留存收益及财务报表其他相关项目金额，对可比期间信息不予调整。</w:t>
      </w:r>
    </w:p>
    <w:p>
      <w:pPr>
        <w:pStyle w:val="Style41"/>
        <w:keepNext w:val="0"/>
        <w:keepLines w:val="0"/>
        <w:widowControl w:val="0"/>
        <w:shd w:val="clear" w:color="auto" w:fill="auto"/>
        <w:bidi w:val="0"/>
        <w:spacing w:before="0" w:after="420" w:line="473" w:lineRule="exact"/>
        <w:ind w:left="0" w:right="0"/>
        <w:jc w:val="both"/>
      </w:pPr>
      <w:r>
        <w:rPr>
          <w:color w:val="000000"/>
          <w:spacing w:val="0"/>
          <w:w w:val="100"/>
          <w:position w:val="0"/>
        </w:rPr>
        <w:t>本公司自</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日起执行新收入准则。根据准则的规定，本公司仅对在首次执行日尚未完成的合同的累积影响数调 整</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年年初留存收益以及财务报表其他相关项目金额，比较财务报表不做调整。执行该准则的主要影响如下：</w:t>
      </w:r>
    </w:p>
    <w:tbl>
      <w:tblPr>
        <w:tblOverlap w:val="never"/>
        <w:jc w:val="center"/>
        <w:tblLayout w:type="fixed"/>
      </w:tblPr>
      <w:tblGrid>
        <w:gridCol w:w="2573"/>
        <w:gridCol w:w="1608"/>
        <w:gridCol w:w="2093"/>
        <w:gridCol w:w="1670"/>
        <w:gridCol w:w="1728"/>
      </w:tblGrid>
      <w:tr>
        <w:trPr>
          <w:trHeight w:val="350" w:hRule="exact"/>
        </w:trPr>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会计政策变更的内容和原因</w:t>
            </w:r>
          </w:p>
        </w:tc>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440"/>
              <w:jc w:val="left"/>
            </w:pPr>
            <w:r>
              <w:rPr>
                <w:color w:val="000000"/>
                <w:spacing w:val="0"/>
                <w:w w:val="100"/>
                <w:position w:val="0"/>
              </w:rPr>
              <w:t>审批程序</w:t>
            </w:r>
          </w:p>
        </w:tc>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受影响的报表项目</w:t>
            </w:r>
          </w:p>
        </w:tc>
        <w:tc>
          <w:tcPr>
            <w:gridSpan w:val="2"/>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对</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日余额的影响金额</w:t>
            </w:r>
          </w:p>
        </w:tc>
      </w:tr>
      <w:tr>
        <w:trPr>
          <w:trHeight w:val="341" w:hRule="exact"/>
        </w:trPr>
        <w:tc>
          <w:tcPr>
            <w:vMerge/>
            <w:tcBorders>
              <w:left w:val="single" w:sz="4"/>
            </w:tcBorders>
            <w:shd w:val="clear" w:color="auto" w:fill="D7D7D7"/>
            <w:vAlign w:val="center"/>
          </w:tcPr>
          <w:p>
            <w:pPr/>
          </w:p>
        </w:tc>
        <w:tc>
          <w:tcPr>
            <w:vMerge/>
            <w:tcBorders>
              <w:left w:val="single" w:sz="4"/>
            </w:tcBorders>
            <w:shd w:val="clear" w:color="auto" w:fill="D7D7D7"/>
            <w:vAlign w:val="center"/>
          </w:tcPr>
          <w:p>
            <w:pPr/>
          </w:p>
        </w:tc>
        <w:tc>
          <w:tcPr>
            <w:vMerge/>
            <w:tcBorders>
              <w:left w:val="single" w:sz="4"/>
            </w:tcBorders>
            <w:shd w:val="clear" w:color="auto" w:fill="D7D7D7"/>
            <w:vAlign w:val="center"/>
          </w:tcPr>
          <w:p>
            <w:pP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620"/>
              <w:jc w:val="left"/>
            </w:pPr>
            <w:r>
              <w:rPr>
                <w:color w:val="000000"/>
                <w:spacing w:val="0"/>
                <w:w w:val="100"/>
                <w:position w:val="0"/>
              </w:rPr>
              <w:t>合并</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580"/>
              <w:jc w:val="left"/>
            </w:pPr>
            <w:r>
              <w:rPr>
                <w:color w:val="000000"/>
                <w:spacing w:val="0"/>
                <w:w w:val="100"/>
                <w:position w:val="0"/>
              </w:rPr>
              <w:t>母公司</w:t>
            </w:r>
          </w:p>
        </w:tc>
      </w:tr>
      <w:tr>
        <w:trPr>
          <w:trHeight w:val="341" w:hRule="exact"/>
        </w:trPr>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 xml:space="preserve">）部分原按进度确认收入的 </w:t>
            </w:r>
            <w:r>
              <w:rPr>
                <w:rFonts w:ascii="Times New Roman" w:eastAsia="Times New Roman" w:hAnsi="Times New Roman" w:cs="Times New Roman"/>
                <w:color w:val="000000"/>
                <w:spacing w:val="0"/>
                <w:w w:val="100"/>
                <w:position w:val="0"/>
                <w:sz w:val="18"/>
                <w:szCs w:val="18"/>
              </w:rPr>
              <w:t>AI-ICT</w:t>
            </w:r>
            <w:r>
              <w:rPr>
                <w:color w:val="000000"/>
                <w:spacing w:val="0"/>
                <w:w w:val="100"/>
                <w:position w:val="0"/>
              </w:rPr>
              <w:t>运维管理业务，变更为在 控制权转移的时点确认收入。</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第七届董事会第二 十四次会议审议通 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应收账款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-99,468,408.65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left"/>
              <w:rPr>
                <w:sz w:val="18"/>
                <w:szCs w:val="18"/>
              </w:rPr>
            </w:pPr>
            <w:r>
              <w:rPr>
                <w:rFonts w:ascii="Times New Roman" w:eastAsia="Times New Roman" w:hAnsi="Times New Roman" w:cs="Times New Roman"/>
                <w:color w:val="000000"/>
                <w:spacing w:val="0"/>
                <w:w w:val="100"/>
                <w:position w:val="0"/>
                <w:sz w:val="18"/>
                <w:szCs w:val="18"/>
              </w:rPr>
              <w:t>-57,931,014.67</w:t>
            </w:r>
          </w:p>
        </w:tc>
      </w:tr>
      <w:tr>
        <w:trPr>
          <w:trHeight w:val="341"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存货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70,025,002.04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60"/>
              <w:jc w:val="left"/>
              <w:rPr>
                <w:sz w:val="18"/>
                <w:szCs w:val="18"/>
              </w:rPr>
            </w:pPr>
            <w:r>
              <w:rPr>
                <w:rFonts w:ascii="Times New Roman" w:eastAsia="Times New Roman" w:hAnsi="Times New Roman" w:cs="Times New Roman"/>
                <w:color w:val="000000"/>
                <w:spacing w:val="0"/>
                <w:w w:val="100"/>
                <w:position w:val="0"/>
                <w:sz w:val="18"/>
                <w:szCs w:val="18"/>
              </w:rPr>
              <w:t>47,207,832.45</w:t>
            </w:r>
          </w:p>
        </w:tc>
      </w:tr>
      <w:tr>
        <w:trPr>
          <w:trHeight w:val="346"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其他流动资产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73,484.75</w:t>
            </w:r>
          </w:p>
        </w:tc>
        <w:tc>
          <w:tcPr>
            <w:tcBorders>
              <w:top w:val="single" w:sz="4"/>
              <w:left w:val="single" w:sz="4"/>
              <w:right w:val="single" w:sz="4"/>
            </w:tcBorders>
            <w:shd w:val="clear" w:color="auto" w:fill="FFFFFF"/>
            <w:vAlign w:val="top"/>
          </w:tcPr>
          <w:p>
            <w:pPr>
              <w:widowControl w:val="0"/>
              <w:rPr>
                <w:sz w:val="10"/>
                <w:szCs w:val="10"/>
              </w:rPr>
            </w:pPr>
          </w:p>
        </w:tc>
      </w:tr>
      <w:tr>
        <w:trPr>
          <w:trHeight w:val="341"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递延所得税资产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-1,401,914.24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-881,208.17</w:t>
            </w:r>
          </w:p>
        </w:tc>
      </w:tr>
      <w:tr>
        <w:trPr>
          <w:trHeight w:val="341"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预收账款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-2,380,238.74</w:t>
            </w:r>
          </w:p>
        </w:tc>
        <w:tc>
          <w:tcPr>
            <w:tcBorders>
              <w:top w:val="single" w:sz="4"/>
              <w:left w:val="single" w:sz="4"/>
              <w:right w:val="single" w:sz="4"/>
            </w:tcBorders>
            <w:shd w:val="clear" w:color="auto" w:fill="FFFFFF"/>
            <w:vAlign w:val="top"/>
          </w:tcPr>
          <w:p>
            <w:pPr>
              <w:widowControl w:val="0"/>
              <w:rPr>
                <w:sz w:val="10"/>
                <w:szCs w:val="10"/>
              </w:rPr>
            </w:pPr>
          </w:p>
        </w:tc>
      </w:tr>
      <w:tr>
        <w:trPr>
          <w:trHeight w:val="341"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合同负债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123,378,507.37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60"/>
              <w:jc w:val="left"/>
              <w:rPr>
                <w:sz w:val="18"/>
                <w:szCs w:val="18"/>
              </w:rPr>
            </w:pPr>
            <w:r>
              <w:rPr>
                <w:rFonts w:ascii="Times New Roman" w:eastAsia="Times New Roman" w:hAnsi="Times New Roman" w:cs="Times New Roman"/>
                <w:color w:val="000000"/>
                <w:spacing w:val="0"/>
                <w:w w:val="100"/>
                <w:position w:val="0"/>
                <w:sz w:val="18"/>
                <w:szCs w:val="18"/>
              </w:rPr>
              <w:t>85,725,166.38</w:t>
            </w:r>
          </w:p>
        </w:tc>
      </w:tr>
      <w:tr>
        <w:trPr>
          <w:trHeight w:val="346"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应交税费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-8,136,546.98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-4,464,686.24</w:t>
            </w:r>
          </w:p>
        </w:tc>
      </w:tr>
      <w:tr>
        <w:trPr>
          <w:trHeight w:val="341"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其他综合收益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-9,932.22</w:t>
            </w:r>
          </w:p>
        </w:tc>
        <w:tc>
          <w:tcPr>
            <w:tcBorders>
              <w:top w:val="single" w:sz="4"/>
              <w:left w:val="single" w:sz="4"/>
              <w:right w:val="single" w:sz="4"/>
            </w:tcBorders>
            <w:shd w:val="clear" w:color="auto" w:fill="FFFFFF"/>
            <w:vAlign w:val="top"/>
          </w:tcPr>
          <w:p>
            <w:pPr>
              <w:widowControl w:val="0"/>
              <w:rPr>
                <w:sz w:val="10"/>
                <w:szCs w:val="10"/>
              </w:rPr>
            </w:pPr>
          </w:p>
        </w:tc>
      </w:tr>
      <w:tr>
        <w:trPr>
          <w:trHeight w:val="341"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未分配利润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-142,277,692.08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left"/>
              <w:rPr>
                <w:sz w:val="18"/>
                <w:szCs w:val="18"/>
              </w:rPr>
            </w:pPr>
            <w:r>
              <w:rPr>
                <w:rFonts w:ascii="Times New Roman" w:eastAsia="Times New Roman" w:hAnsi="Times New Roman" w:cs="Times New Roman"/>
                <w:color w:val="000000"/>
                <w:spacing w:val="0"/>
                <w:w w:val="100"/>
                <w:position w:val="0"/>
                <w:sz w:val="18"/>
                <w:szCs w:val="18"/>
              </w:rPr>
              <w:t>-92,864,870.53</w:t>
            </w:r>
          </w:p>
        </w:tc>
      </w:tr>
      <w:tr>
        <w:trPr>
          <w:trHeight w:val="355" w:hRule="exact"/>
        </w:trPr>
        <w:tc>
          <w:tcPr>
            <w:vMerge/>
            <w:tcBorders>
              <w:left w:val="single" w:sz="4"/>
              <w:bottom w:val="single" w:sz="4"/>
            </w:tcBorders>
            <w:shd w:val="clear" w:color="auto" w:fill="FFFFFF"/>
            <w:vAlign w:val="center"/>
          </w:tcPr>
          <w:p>
            <w:pPr/>
          </w:p>
        </w:tc>
        <w:tc>
          <w:tcPr>
            <w:vMerge/>
            <w:tcBorders>
              <w:left w:val="single" w:sz="4"/>
              <w:bottom w:val="single" w:sz="4"/>
            </w:tcBorders>
            <w:shd w:val="clear" w:color="auto" w:fill="FFFFFF"/>
            <w:vAlign w:val="center"/>
          </w:tcPr>
          <w:p>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少数股东权益</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-1,345,933.45</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2573"/>
        <w:gridCol w:w="1608"/>
        <w:gridCol w:w="2093"/>
        <w:gridCol w:w="1670"/>
        <w:gridCol w:w="1728"/>
      </w:tblGrid>
      <w:tr>
        <w:trPr>
          <w:trHeight w:val="346" w:hRule="exact"/>
        </w:trPr>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both"/>
            </w:pPr>
            <w:r>
              <w:rPr>
                <w:color w:val="000000"/>
                <w:spacing w:val="0"/>
                <w:w w:val="100"/>
                <w:position w:val="0"/>
              </w:rPr>
              <w:t>（</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）将已收款但尚未向客户提供 服务的收款额，从</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预收款项</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重 分类至</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合同负债</w:t>
            </w:r>
          </w:p>
        </w:tc>
        <w:tc>
          <w:tcPr>
            <w:vMerge w:val="restart"/>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其他流动资产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52,706.47</w:t>
            </w:r>
          </w:p>
        </w:tc>
        <w:tc>
          <w:tcPr>
            <w:tcBorders>
              <w:top w:val="single" w:sz="4"/>
              <w:left w:val="single" w:sz="4"/>
              <w:right w:val="single" w:sz="4"/>
            </w:tcBorders>
            <w:shd w:val="clear" w:color="auto" w:fill="FFFFFF"/>
            <w:vAlign w:val="top"/>
          </w:tcPr>
          <w:p>
            <w:pPr>
              <w:widowControl w:val="0"/>
              <w:rPr>
                <w:sz w:val="10"/>
                <w:szCs w:val="10"/>
              </w:rPr>
            </w:pPr>
          </w:p>
        </w:tc>
      </w:tr>
      <w:tr>
        <w:trPr>
          <w:trHeight w:val="346" w:hRule="exact"/>
        </w:trPr>
        <w:tc>
          <w:tcPr>
            <w:vMerge/>
            <w:tcBorders>
              <w:left w:val="single" w:sz="4"/>
            </w:tcBorders>
            <w:shd w:val="clear" w:color="auto" w:fill="FFFFFF"/>
            <w:vAlign w:val="center"/>
          </w:tcPr>
          <w:p>
            <w:pPr/>
          </w:p>
        </w:tc>
        <w:tc>
          <w:tcPr>
            <w:vMerge/>
            <w:tcBorders>
              <w:left w:val="single" w:sz="4"/>
            </w:tcBorders>
            <w:shd w:val="clear" w:color="auto" w:fill="FFFFFF"/>
            <w:vAlign w:val="top"/>
          </w:tcPr>
          <w:p>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合同负债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156,448,068.73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78,578,810.88</w:t>
            </w:r>
          </w:p>
        </w:tc>
      </w:tr>
      <w:tr>
        <w:trPr>
          <w:trHeight w:val="341" w:hRule="exact"/>
        </w:trPr>
        <w:tc>
          <w:tcPr>
            <w:vMerge/>
            <w:tcBorders>
              <w:left w:val="single" w:sz="4"/>
            </w:tcBorders>
            <w:shd w:val="clear" w:color="auto" w:fill="FFFFFF"/>
            <w:vAlign w:val="center"/>
          </w:tcPr>
          <w:p>
            <w:pPr/>
          </w:p>
        </w:tc>
        <w:tc>
          <w:tcPr>
            <w:vMerge/>
            <w:tcBorders>
              <w:left w:val="single" w:sz="4"/>
            </w:tcBorders>
            <w:shd w:val="clear" w:color="auto" w:fill="FFFFFF"/>
            <w:vAlign w:val="top"/>
          </w:tcPr>
          <w:p>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应交税费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11,231,015.71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8,273,970.48</w:t>
            </w:r>
          </w:p>
        </w:tc>
      </w:tr>
      <w:tr>
        <w:trPr>
          <w:trHeight w:val="341" w:hRule="exact"/>
        </w:trPr>
        <w:tc>
          <w:tcPr>
            <w:vMerge/>
            <w:tcBorders>
              <w:left w:val="single" w:sz="4"/>
            </w:tcBorders>
            <w:shd w:val="clear" w:color="auto" w:fill="FFFFFF"/>
            <w:vAlign w:val="center"/>
          </w:tcPr>
          <w:p>
            <w:pPr/>
          </w:p>
        </w:tc>
        <w:tc>
          <w:tcPr>
            <w:vMerge/>
            <w:tcBorders>
              <w:left w:val="single" w:sz="4"/>
            </w:tcBorders>
            <w:shd w:val="clear" w:color="auto" w:fill="FFFFFF"/>
            <w:vAlign w:val="top"/>
          </w:tcPr>
          <w:p>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预收款项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-167,626,377.97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-86,852,781.36</w:t>
            </w:r>
          </w:p>
        </w:tc>
      </w:tr>
      <w:tr>
        <w:trPr>
          <w:trHeight w:val="1286"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both"/>
            </w:pPr>
            <w:r>
              <w:rPr>
                <w:color w:val="000000"/>
                <w:spacing w:val="0"/>
                <w:w w:val="100"/>
                <w:position w:val="0"/>
              </w:rPr>
              <w:t>（</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）游戏业务原按照净额法确认 收入，因满足新收入准则规定的 总额法确认条件，改为按总额法 确认收入。</w:t>
            </w:r>
          </w:p>
        </w:tc>
        <w:tc>
          <w:tcPr>
            <w:vMerge/>
            <w:tcBorders>
              <w:left w:val="single" w:sz="4"/>
              <w:bottom w:val="single" w:sz="4"/>
            </w:tcBorders>
            <w:shd w:val="clear" w:color="auto" w:fill="FFFFFF"/>
            <w:vAlign w:val="top"/>
          </w:tcPr>
          <w:p>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r>
    </w:tbl>
    <w:p>
      <w:pPr>
        <w:widowControl w:val="0"/>
        <w:spacing w:after="439" w:line="1" w:lineRule="exact"/>
      </w:pPr>
    </w:p>
    <w:p>
      <w:pPr>
        <w:pStyle w:val="Style41"/>
        <w:keepNext w:val="0"/>
        <w:keepLines w:val="0"/>
        <w:widowControl w:val="0"/>
        <w:shd w:val="clear" w:color="auto" w:fill="auto"/>
        <w:bidi w:val="0"/>
        <w:spacing w:before="0" w:after="440" w:line="240" w:lineRule="auto"/>
        <w:ind w:left="0" w:right="0" w:firstLine="360"/>
        <w:jc w:val="left"/>
      </w:pPr>
      <w:r>
        <w:rPr>
          <w:color w:val="000000"/>
          <w:spacing w:val="0"/>
          <w:w w:val="100"/>
          <w:position w:val="0"/>
        </w:rPr>
        <w:t>与原收入准则相比，执行新收入准则对</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年度财务报表相关项目的影响如下:</w:t>
      </w:r>
    </w:p>
    <w:tbl>
      <w:tblPr>
        <w:tblOverlap w:val="never"/>
        <w:jc w:val="center"/>
        <w:tblLayout w:type="fixed"/>
      </w:tblPr>
      <w:tblGrid>
        <w:gridCol w:w="3581"/>
        <w:gridCol w:w="3091"/>
        <w:gridCol w:w="3000"/>
      </w:tblGrid>
      <w:tr>
        <w:trPr>
          <w:trHeight w:val="336" w:hRule="exact"/>
        </w:trPr>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800"/>
              <w:jc w:val="left"/>
            </w:pPr>
            <w:r>
              <w:rPr>
                <w:color w:val="000000"/>
                <w:spacing w:val="0"/>
                <w:w w:val="100"/>
                <w:position w:val="0"/>
              </w:rPr>
              <w:t>受影响的资产负债表项目</w:t>
            </w:r>
          </w:p>
        </w:tc>
        <w:tc>
          <w:tcPr>
            <w:gridSpan w:val="2"/>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对</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日余额的影响金额</w:t>
            </w:r>
          </w:p>
        </w:tc>
      </w:tr>
      <w:tr>
        <w:trPr>
          <w:trHeight w:val="346" w:hRule="exact"/>
        </w:trPr>
        <w:tc>
          <w:tcPr>
            <w:vMerge/>
            <w:tcBorders>
              <w:left w:val="single" w:sz="4"/>
            </w:tcBorders>
            <w:shd w:val="clear" w:color="auto" w:fill="D7D7D7"/>
            <w:vAlign w:val="center"/>
          </w:tcPr>
          <w:p>
            <w:pP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合并</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母公司</w:t>
            </w:r>
          </w:p>
        </w:tc>
      </w:tr>
      <w:tr>
        <w:trPr>
          <w:trHeight w:val="35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应收账款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-22,878,234.04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-16,168,869.85</w:t>
            </w:r>
          </w:p>
        </w:tc>
      </w:tr>
      <w:tr>
        <w:trPr>
          <w:trHeight w:val="341"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存货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10,422,628.71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7,724,237.87</w:t>
            </w:r>
          </w:p>
        </w:tc>
      </w:tr>
      <w:tr>
        <w:trPr>
          <w:trHeight w:val="341"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其他流动资产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-39,114.83</w:t>
            </w:r>
          </w:p>
        </w:tc>
        <w:tc>
          <w:tcPr>
            <w:tcBorders>
              <w:top w:val="single" w:sz="4"/>
              <w:left w:val="single" w:sz="4"/>
              <w:right w:val="single" w:sz="4"/>
            </w:tcBorders>
            <w:shd w:val="clear" w:color="auto" w:fill="FFFFFF"/>
            <w:vAlign w:val="top"/>
          </w:tcPr>
          <w:p>
            <w:pPr>
              <w:widowControl w:val="0"/>
              <w:rPr>
                <w:sz w:val="10"/>
                <w:szCs w:val="10"/>
              </w:rPr>
            </w:pPr>
          </w:p>
        </w:tc>
      </w:tr>
      <w:tr>
        <w:trPr>
          <w:trHeight w:val="341"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递延所得税资产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-639,742.79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-508,202.13</w:t>
            </w:r>
          </w:p>
        </w:tc>
      </w:tr>
      <w:tr>
        <w:trPr>
          <w:trHeight w:val="3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应付账款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-4,146,395.72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-2,252,899.85</w:t>
            </w:r>
          </w:p>
        </w:tc>
      </w:tr>
      <w:tr>
        <w:trPr>
          <w:trHeight w:val="341"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应交税费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13,191,754.85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10,556,778.75</w:t>
            </w:r>
          </w:p>
        </w:tc>
      </w:tr>
      <w:tr>
        <w:trPr>
          <w:trHeight w:val="341"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预收账款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-193,043,796.05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-130,934,244.17</w:t>
            </w:r>
          </w:p>
        </w:tc>
      </w:tr>
      <w:tr>
        <w:trPr>
          <w:trHeight w:val="341"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合同负债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221,627,393.18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155,367,310.97</w:t>
            </w:r>
          </w:p>
        </w:tc>
      </w:tr>
      <w:tr>
        <w:trPr>
          <w:trHeight w:val="3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其他综合收益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-9,932.22</w:t>
            </w:r>
          </w:p>
        </w:tc>
        <w:tc>
          <w:tcPr>
            <w:tcBorders>
              <w:top w:val="single" w:sz="4"/>
              <w:left w:val="single" w:sz="4"/>
              <w:right w:val="single" w:sz="4"/>
            </w:tcBorders>
            <w:shd w:val="clear" w:color="auto" w:fill="FFFFFF"/>
            <w:vAlign w:val="top"/>
          </w:tcPr>
          <w:p>
            <w:pPr>
              <w:widowControl w:val="0"/>
              <w:rPr>
                <w:sz w:val="10"/>
                <w:szCs w:val="10"/>
              </w:rPr>
            </w:pPr>
          </w:p>
        </w:tc>
      </w:tr>
      <w:tr>
        <w:trPr>
          <w:trHeight w:val="350"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未分配利润</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-50,753,486.98</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-41,689,779.80</w:t>
            </w:r>
          </w:p>
        </w:tc>
      </w:tr>
    </w:tbl>
    <w:p>
      <w:pPr>
        <w:widowControl w:val="0"/>
        <w:spacing w:after="259" w:line="1" w:lineRule="exact"/>
      </w:pPr>
    </w:p>
    <w:tbl>
      <w:tblPr>
        <w:tblOverlap w:val="never"/>
        <w:jc w:val="center"/>
        <w:tblLayout w:type="fixed"/>
      </w:tblPr>
      <w:tblGrid>
        <w:gridCol w:w="3547"/>
        <w:gridCol w:w="3062"/>
        <w:gridCol w:w="3067"/>
      </w:tblGrid>
      <w:tr>
        <w:trPr>
          <w:trHeight w:val="360" w:hRule="exact"/>
        </w:trPr>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受影响的利润表项目</w:t>
            </w:r>
          </w:p>
        </w:tc>
        <w:tc>
          <w:tcPr>
            <w:gridSpan w:val="2"/>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对</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年度发生额的影响金额</w:t>
            </w:r>
          </w:p>
        </w:tc>
      </w:tr>
      <w:tr>
        <w:trPr>
          <w:trHeight w:val="336" w:hRule="exact"/>
        </w:trPr>
        <w:tc>
          <w:tcPr>
            <w:vMerge/>
            <w:tcBorders>
              <w:left w:val="single" w:sz="4"/>
            </w:tcBorders>
            <w:shd w:val="clear" w:color="auto" w:fill="D7D7D7"/>
            <w:vAlign w:val="center"/>
          </w:tcPr>
          <w:p>
            <w:pP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合并</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母公司</w:t>
            </w:r>
          </w:p>
        </w:tc>
      </w:tr>
      <w:tr>
        <w:trPr>
          <w:trHeight w:val="35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营业收入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847,435,691.84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90,519,486.32</w:t>
            </w:r>
          </w:p>
        </w:tc>
      </w:tr>
      <w:tr>
        <w:trPr>
          <w:trHeight w:val="3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营业成本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753,265,814.23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37,230,694.72</w:t>
            </w:r>
          </w:p>
        </w:tc>
      </w:tr>
      <w:tr>
        <w:trPr>
          <w:trHeight w:val="3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信用减值损失</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5,184,042.04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2,486,706.91</w:t>
            </w:r>
          </w:p>
        </w:tc>
      </w:tr>
      <w:tr>
        <w:trPr>
          <w:trHeight w:val="360"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所得税费用</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-762,171.45</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-373,006.04</w:t>
            </w:r>
          </w:p>
        </w:tc>
      </w:tr>
    </w:tbl>
    <w:p>
      <w:pPr>
        <w:widowControl w:val="0"/>
        <w:spacing w:after="439" w:line="1" w:lineRule="exact"/>
      </w:pPr>
    </w:p>
    <w:p>
      <w:pPr>
        <w:pStyle w:val="Style41"/>
        <w:keepNext w:val="0"/>
        <w:keepLines w:val="0"/>
        <w:widowControl w:val="0"/>
        <w:shd w:val="clear" w:color="auto" w:fill="auto"/>
        <w:bidi w:val="0"/>
        <w:spacing w:before="0" w:after="260" w:line="240" w:lineRule="auto"/>
        <w:ind w:left="0" w:right="0" w:firstLine="360"/>
        <w:jc w:val="left"/>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）执行《企业会计准则解释第</w:t>
      </w:r>
      <w:r>
        <w:rPr>
          <w:rFonts w:ascii="Times New Roman" w:eastAsia="Times New Roman" w:hAnsi="Times New Roman" w:cs="Times New Roman"/>
          <w:color w:val="000000"/>
          <w:spacing w:val="0"/>
          <w:w w:val="100"/>
          <w:position w:val="0"/>
          <w:sz w:val="18"/>
          <w:szCs w:val="18"/>
        </w:rPr>
        <w:t>13</w:t>
      </w:r>
      <w:r>
        <w:rPr>
          <w:color w:val="000000"/>
          <w:spacing w:val="0"/>
          <w:w w:val="100"/>
          <w:position w:val="0"/>
        </w:rPr>
        <w:t>号》</w:t>
      </w:r>
    </w:p>
    <w:p>
      <w:pPr>
        <w:pStyle w:val="Style41"/>
        <w:keepNext w:val="0"/>
        <w:keepLines w:val="0"/>
        <w:widowControl w:val="0"/>
        <w:shd w:val="clear" w:color="auto" w:fill="auto"/>
        <w:bidi w:val="0"/>
        <w:spacing w:before="0" w:after="260" w:line="240" w:lineRule="auto"/>
        <w:ind w:left="0" w:right="0" w:firstLine="360"/>
        <w:jc w:val="left"/>
        <w:rPr>
          <w:sz w:val="18"/>
          <w:szCs w:val="18"/>
        </w:rPr>
      </w:pPr>
      <w:r>
        <w:rPr>
          <w:color w:val="000000"/>
          <w:spacing w:val="0"/>
          <w:w w:val="100"/>
          <w:position w:val="0"/>
          <w:sz w:val="17"/>
          <w:szCs w:val="17"/>
        </w:rPr>
        <w:t>财政部于</w:t>
      </w:r>
      <w:r>
        <w:rPr>
          <w:rFonts w:ascii="Times New Roman" w:eastAsia="Times New Roman" w:hAnsi="Times New Roman" w:cs="Times New Roman"/>
          <w:color w:val="000000"/>
          <w:spacing w:val="0"/>
          <w:w w:val="100"/>
          <w:position w:val="0"/>
          <w:sz w:val="18"/>
          <w:szCs w:val="18"/>
        </w:rPr>
        <w:t>2019</w:t>
      </w:r>
      <w:r>
        <w:rPr>
          <w:color w:val="000000"/>
          <w:spacing w:val="0"/>
          <w:w w:val="100"/>
          <w:position w:val="0"/>
          <w:sz w:val="17"/>
          <w:szCs w:val="17"/>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sz w:val="17"/>
          <w:szCs w:val="17"/>
        </w:rPr>
        <w:t>月</w:t>
      </w:r>
      <w:r>
        <w:rPr>
          <w:rFonts w:ascii="Times New Roman" w:eastAsia="Times New Roman" w:hAnsi="Times New Roman" w:cs="Times New Roman"/>
          <w:color w:val="000000"/>
          <w:spacing w:val="0"/>
          <w:w w:val="100"/>
          <w:position w:val="0"/>
          <w:sz w:val="18"/>
          <w:szCs w:val="18"/>
        </w:rPr>
        <w:t>10</w:t>
      </w:r>
      <w:r>
        <w:rPr>
          <w:color w:val="000000"/>
          <w:spacing w:val="0"/>
          <w:w w:val="100"/>
          <w:position w:val="0"/>
          <w:sz w:val="17"/>
          <w:szCs w:val="17"/>
        </w:rPr>
        <w:t>日发布了《企业会计准则解释第</w:t>
      </w:r>
      <w:r>
        <w:rPr>
          <w:rFonts w:ascii="Times New Roman" w:eastAsia="Times New Roman" w:hAnsi="Times New Roman" w:cs="Times New Roman"/>
          <w:color w:val="000000"/>
          <w:spacing w:val="0"/>
          <w:w w:val="100"/>
          <w:position w:val="0"/>
          <w:sz w:val="18"/>
          <w:szCs w:val="18"/>
        </w:rPr>
        <w:t>13</w:t>
      </w:r>
      <w:r>
        <w:rPr>
          <w:color w:val="000000"/>
          <w:spacing w:val="0"/>
          <w:w w:val="100"/>
          <w:position w:val="0"/>
          <w:sz w:val="17"/>
          <w:szCs w:val="17"/>
        </w:rPr>
        <w:t>号》（财会（</w:t>
      </w:r>
      <w:r>
        <w:rPr>
          <w:rFonts w:ascii="Times New Roman" w:eastAsia="Times New Roman" w:hAnsi="Times New Roman" w:cs="Times New Roman"/>
          <w:color w:val="000000"/>
          <w:spacing w:val="0"/>
          <w:w w:val="100"/>
          <w:position w:val="0"/>
          <w:sz w:val="18"/>
          <w:szCs w:val="18"/>
        </w:rPr>
        <w:t>2019</w:t>
      </w:r>
      <w:r>
        <w:rPr>
          <w:color w:val="000000"/>
          <w:spacing w:val="0"/>
          <w:w w:val="100"/>
          <w:position w:val="0"/>
          <w:sz w:val="17"/>
          <w:szCs w:val="17"/>
        </w:rPr>
        <w:t xml:space="preserve">〕 </w:t>
      </w:r>
      <w:r>
        <w:rPr>
          <w:rFonts w:ascii="Times New Roman" w:eastAsia="Times New Roman" w:hAnsi="Times New Roman" w:cs="Times New Roman"/>
          <w:color w:val="000000"/>
          <w:spacing w:val="0"/>
          <w:w w:val="100"/>
          <w:position w:val="0"/>
          <w:sz w:val="18"/>
          <w:szCs w:val="18"/>
        </w:rPr>
        <w:t>21</w:t>
      </w:r>
      <w:r>
        <w:rPr>
          <w:color w:val="000000"/>
          <w:spacing w:val="0"/>
          <w:w w:val="100"/>
          <w:position w:val="0"/>
          <w:sz w:val="17"/>
          <w:szCs w:val="17"/>
        </w:rPr>
        <w:t>号，以下简称</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7"/>
          <w:szCs w:val="17"/>
        </w:rPr>
        <w:t>解释第</w:t>
      </w:r>
      <w:r>
        <w:rPr>
          <w:rFonts w:ascii="Times New Roman" w:eastAsia="Times New Roman" w:hAnsi="Times New Roman" w:cs="Times New Roman"/>
          <w:color w:val="000000"/>
          <w:spacing w:val="0"/>
          <w:w w:val="100"/>
          <w:position w:val="0"/>
          <w:sz w:val="18"/>
          <w:szCs w:val="18"/>
        </w:rPr>
        <w:t>13</w:t>
      </w:r>
      <w:r>
        <w:rPr>
          <w:color w:val="000000"/>
          <w:spacing w:val="0"/>
          <w:w w:val="100"/>
          <w:position w:val="0"/>
          <w:sz w:val="17"/>
          <w:szCs w:val="17"/>
        </w:rPr>
        <w:t>号</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7"/>
          <w:szCs w:val="17"/>
        </w:rPr>
        <w:t>），自</w:t>
      </w:r>
      <w:r>
        <w:rPr>
          <w:rFonts w:ascii="Times New Roman" w:eastAsia="Times New Roman" w:hAnsi="Times New Roman" w:cs="Times New Roman"/>
          <w:color w:val="000000"/>
          <w:spacing w:val="0"/>
          <w:w w:val="100"/>
          <w:position w:val="0"/>
          <w:sz w:val="18"/>
          <w:szCs w:val="18"/>
        </w:rPr>
        <w:t>2020</w:t>
      </w:r>
    </w:p>
    <w:p>
      <w:pPr>
        <w:pStyle w:val="Style41"/>
        <w:keepNext w:val="0"/>
        <w:keepLines w:val="0"/>
        <w:widowControl w:val="0"/>
        <w:shd w:val="clear" w:color="auto" w:fill="auto"/>
        <w:bidi w:val="0"/>
        <w:spacing w:before="0" w:after="260" w:line="240" w:lineRule="auto"/>
        <w:ind w:left="0" w:right="0" w:firstLine="0"/>
        <w:jc w:val="left"/>
      </w:pP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日起施行，不要求追溯调整。</w:t>
      </w:r>
    </w:p>
    <w:p>
      <w:pPr>
        <w:pStyle w:val="Style41"/>
        <w:keepNext w:val="0"/>
        <w:keepLines w:val="0"/>
        <w:widowControl w:val="0"/>
        <w:shd w:val="clear" w:color="auto" w:fill="auto"/>
        <w:bidi w:val="0"/>
        <w:spacing w:before="0" w:after="260" w:line="240" w:lineRule="auto"/>
        <w:ind w:left="0" w:right="0" w:firstLine="360"/>
        <w:jc w:val="both"/>
      </w:pPr>
      <w:r>
        <w:rPr>
          <w:color w:val="000000"/>
          <w:spacing w:val="0"/>
          <w:w w:val="100"/>
          <w:position w:val="0"/>
        </w:rPr>
        <w:t>①关联方的认定</w:t>
      </w:r>
    </w:p>
    <w:p>
      <w:pPr>
        <w:pStyle w:val="Style41"/>
        <w:keepNext w:val="0"/>
        <w:keepLines w:val="0"/>
        <w:widowControl w:val="0"/>
        <w:shd w:val="clear" w:color="auto" w:fill="auto"/>
        <w:bidi w:val="0"/>
        <w:spacing w:before="0" w:after="260" w:line="240" w:lineRule="auto"/>
        <w:ind w:left="0" w:right="0" w:firstLine="360"/>
        <w:jc w:val="both"/>
      </w:pPr>
      <w:r>
        <w:rPr>
          <w:color w:val="000000"/>
          <w:spacing w:val="0"/>
          <w:w w:val="100"/>
          <w:position w:val="0"/>
        </w:rPr>
        <w:t>解释第</w:t>
      </w:r>
      <w:r>
        <w:rPr>
          <w:rFonts w:ascii="Times New Roman" w:eastAsia="Times New Roman" w:hAnsi="Times New Roman" w:cs="Times New Roman"/>
          <w:color w:val="000000"/>
          <w:spacing w:val="0"/>
          <w:w w:val="100"/>
          <w:position w:val="0"/>
          <w:sz w:val="18"/>
          <w:szCs w:val="18"/>
        </w:rPr>
        <w:t>13</w:t>
      </w:r>
      <w:r>
        <w:rPr>
          <w:color w:val="000000"/>
          <w:spacing w:val="0"/>
          <w:w w:val="100"/>
          <w:position w:val="0"/>
        </w:rPr>
        <w:t>号明确了以下情形构成关联方：企业与其所属企业集团的其他成员单位（包括母公司和子公司）的合营企业或</w:t>
      </w:r>
    </w:p>
    <w:p>
      <w:pPr>
        <w:pStyle w:val="Style41"/>
        <w:keepNext w:val="0"/>
        <w:keepLines w:val="0"/>
        <w:widowControl w:val="0"/>
        <w:shd w:val="clear" w:color="auto" w:fill="auto"/>
        <w:bidi w:val="0"/>
        <w:spacing w:before="0" w:after="260" w:line="240" w:lineRule="auto"/>
        <w:ind w:left="0" w:right="0" w:firstLine="0"/>
        <w:jc w:val="left"/>
      </w:pPr>
      <w:r>
        <w:rPr>
          <w:color w:val="000000"/>
          <w:spacing w:val="0"/>
          <w:w w:val="100"/>
          <w:position w:val="0"/>
        </w:rPr>
        <w:t>联营企业；企业的合营企业与企业的其他合营企业或联营企业。此外，解释第</w:t>
      </w:r>
      <w:r>
        <w:rPr>
          <w:rFonts w:ascii="Times New Roman" w:eastAsia="Times New Roman" w:hAnsi="Times New Roman" w:cs="Times New Roman"/>
          <w:color w:val="000000"/>
          <w:spacing w:val="0"/>
          <w:w w:val="100"/>
          <w:position w:val="0"/>
          <w:sz w:val="18"/>
          <w:szCs w:val="18"/>
        </w:rPr>
        <w:t>13</w:t>
      </w:r>
      <w:r>
        <w:rPr>
          <w:color w:val="000000"/>
          <w:spacing w:val="0"/>
          <w:w w:val="100"/>
          <w:position w:val="0"/>
        </w:rPr>
        <w:t xml:space="preserve">号也明确了仅仅同受一方重大影响的两方或 </w:t>
      </w:r>
      <w:r>
        <w:rPr>
          <w:color w:val="000000"/>
          <w:spacing w:val="0"/>
          <w:w w:val="100"/>
          <w:position w:val="0"/>
        </w:rPr>
        <w:t>两方以上的企业不构成关联方，并补充说明了联营企业包括联营企业及其子公司，合营企业包括合营企业及其子公司。</w:t>
      </w:r>
    </w:p>
    <w:p>
      <w:pPr>
        <w:pStyle w:val="Style41"/>
        <w:keepNext w:val="0"/>
        <w:keepLines w:val="0"/>
        <w:widowControl w:val="0"/>
        <w:shd w:val="clear" w:color="auto" w:fill="auto"/>
        <w:bidi w:val="0"/>
        <w:spacing w:before="0" w:after="0" w:line="475" w:lineRule="exact"/>
        <w:ind w:left="0" w:right="0"/>
        <w:jc w:val="both"/>
      </w:pPr>
      <w:r>
        <w:rPr>
          <w:color w:val="000000"/>
          <w:spacing w:val="0"/>
          <w:w w:val="100"/>
          <w:position w:val="0"/>
        </w:rPr>
        <w:t>②业务的定义</w:t>
      </w:r>
    </w:p>
    <w:p>
      <w:pPr>
        <w:pStyle w:val="Style41"/>
        <w:keepNext w:val="0"/>
        <w:keepLines w:val="0"/>
        <w:widowControl w:val="0"/>
        <w:shd w:val="clear" w:color="auto" w:fill="auto"/>
        <w:bidi w:val="0"/>
        <w:spacing w:before="0" w:after="0" w:line="480" w:lineRule="exact"/>
        <w:ind w:left="0" w:right="0"/>
        <w:jc w:val="both"/>
      </w:pPr>
      <w:r>
        <w:rPr>
          <w:color w:val="000000"/>
          <w:spacing w:val="0"/>
          <w:w w:val="100"/>
          <w:position w:val="0"/>
        </w:rPr>
        <w:t>解释第</w:t>
      </w:r>
      <w:r>
        <w:rPr>
          <w:rFonts w:ascii="Times New Roman" w:eastAsia="Times New Roman" w:hAnsi="Times New Roman" w:cs="Times New Roman"/>
          <w:color w:val="000000"/>
          <w:spacing w:val="0"/>
          <w:w w:val="100"/>
          <w:position w:val="0"/>
          <w:sz w:val="18"/>
          <w:szCs w:val="18"/>
        </w:rPr>
        <w:t>13</w:t>
      </w:r>
      <w:r>
        <w:rPr>
          <w:color w:val="000000"/>
          <w:spacing w:val="0"/>
          <w:w w:val="100"/>
          <w:position w:val="0"/>
        </w:rPr>
        <w:t>号完善了业务构成的三个要素，细化了构成业务的判断条件，同时引入</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集中度测试</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选择，以在一定程度上简 化非同一控制下取得组合是否构成业务的判断等问题。</w:t>
      </w:r>
    </w:p>
    <w:p>
      <w:pPr>
        <w:pStyle w:val="Style41"/>
        <w:keepNext w:val="0"/>
        <w:keepLines w:val="0"/>
        <w:widowControl w:val="0"/>
        <w:shd w:val="clear" w:color="auto" w:fill="auto"/>
        <w:bidi w:val="0"/>
        <w:spacing w:before="0" w:after="300" w:line="485" w:lineRule="exact"/>
        <w:ind w:left="0" w:right="0"/>
        <w:jc w:val="both"/>
      </w:pPr>
      <w:r>
        <w:rPr>
          <w:color w:val="000000"/>
          <w:spacing w:val="0"/>
          <w:w w:val="100"/>
          <w:position w:val="0"/>
        </w:rPr>
        <w:t>本公司自</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日起执行解释第</w:t>
      </w:r>
      <w:r>
        <w:rPr>
          <w:rFonts w:ascii="Times New Roman" w:eastAsia="Times New Roman" w:hAnsi="Times New Roman" w:cs="Times New Roman"/>
          <w:color w:val="000000"/>
          <w:spacing w:val="0"/>
          <w:w w:val="100"/>
          <w:position w:val="0"/>
          <w:sz w:val="18"/>
          <w:szCs w:val="18"/>
        </w:rPr>
        <w:t>13</w:t>
      </w:r>
      <w:r>
        <w:rPr>
          <w:color w:val="000000"/>
          <w:spacing w:val="0"/>
          <w:w w:val="100"/>
          <w:position w:val="0"/>
        </w:rPr>
        <w:t>号，比较财务报表不做调整，执行解释第</w:t>
      </w:r>
      <w:r>
        <w:rPr>
          <w:rFonts w:ascii="Times New Roman" w:eastAsia="Times New Roman" w:hAnsi="Times New Roman" w:cs="Times New Roman"/>
          <w:color w:val="000000"/>
          <w:spacing w:val="0"/>
          <w:w w:val="100"/>
          <w:position w:val="0"/>
          <w:sz w:val="18"/>
          <w:szCs w:val="18"/>
        </w:rPr>
        <w:t>13</w:t>
      </w:r>
      <w:r>
        <w:rPr>
          <w:color w:val="000000"/>
          <w:spacing w:val="0"/>
          <w:w w:val="100"/>
          <w:position w:val="0"/>
        </w:rPr>
        <w:t>号未对本公司财务状况和经营成果产 生重大影响。</w:t>
      </w:r>
    </w:p>
    <w:p>
      <w:pPr>
        <w:pStyle w:val="Style41"/>
        <w:keepNext w:val="0"/>
        <w:keepLines w:val="0"/>
        <w:widowControl w:val="0"/>
        <w:shd w:val="clear" w:color="auto" w:fill="auto"/>
        <w:bidi w:val="0"/>
        <w:spacing w:before="0" w:after="0" w:line="475" w:lineRule="exact"/>
        <w:ind w:left="0" w:right="0"/>
        <w:jc w:val="both"/>
      </w:pPr>
      <w:bookmarkStart w:id="1187" w:name="bookmark1187"/>
      <w:r>
        <w:rPr>
          <w:rFonts w:ascii="Times New Roman" w:eastAsia="Times New Roman" w:hAnsi="Times New Roman" w:cs="Times New Roman"/>
          <w:color w:val="000000"/>
          <w:spacing w:val="0"/>
          <w:w w:val="100"/>
          <w:position w:val="0"/>
          <w:sz w:val="18"/>
          <w:szCs w:val="18"/>
        </w:rPr>
        <w:t>3</w:t>
      </w:r>
      <w:bookmarkEnd w:id="1187"/>
      <w:r>
        <w:rPr>
          <w:color w:val="000000"/>
          <w:spacing w:val="0"/>
          <w:w w:val="100"/>
          <w:position w:val="0"/>
        </w:rPr>
        <w:t>）执行《新冠肺炎疫情相关租金减让会计处理规定》</w:t>
      </w:r>
    </w:p>
    <w:p>
      <w:pPr>
        <w:pStyle w:val="Style41"/>
        <w:keepNext w:val="0"/>
        <w:keepLines w:val="0"/>
        <w:widowControl w:val="0"/>
        <w:shd w:val="clear" w:color="auto" w:fill="auto"/>
        <w:bidi w:val="0"/>
        <w:spacing w:before="0" w:after="0" w:line="475" w:lineRule="exact"/>
        <w:ind w:left="0" w:right="0"/>
        <w:jc w:val="both"/>
      </w:pPr>
      <w:r>
        <w:rPr>
          <w:color w:val="000000"/>
          <w:spacing w:val="0"/>
          <w:w w:val="100"/>
          <w:position w:val="0"/>
        </w:rPr>
        <w:t>财政部于</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6</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19</w:t>
      </w:r>
      <w:r>
        <w:rPr>
          <w:color w:val="000000"/>
          <w:spacing w:val="0"/>
          <w:w w:val="100"/>
          <w:position w:val="0"/>
        </w:rPr>
        <w:t>日发布了《新冠肺炎疫情相关租金减让会计处理规定》（财会〔</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 xml:space="preserve">〕 </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号），自</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6</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 xml:space="preserve">19 </w:t>
      </w:r>
      <w:r>
        <w:rPr>
          <w:color w:val="000000"/>
          <w:spacing w:val="0"/>
          <w:w w:val="100"/>
          <w:position w:val="0"/>
        </w:rPr>
        <w:t>日起施行，允许企业对</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日至该规定施行日之间发生的相关租金减让进行调整。按照该规定，对于满足条件的由新 冠肺炎疫情直接引发的租金减免、延期支付租金等租金减让，企业可以选择采用简化方法进行会计处理。</w:t>
      </w:r>
    </w:p>
    <w:p>
      <w:pPr>
        <w:pStyle w:val="Style41"/>
        <w:keepNext w:val="0"/>
        <w:keepLines w:val="0"/>
        <w:widowControl w:val="0"/>
        <w:shd w:val="clear" w:color="auto" w:fill="auto"/>
        <w:bidi w:val="0"/>
        <w:spacing w:before="0" w:after="0" w:line="475" w:lineRule="exact"/>
        <w:ind w:left="0" w:right="0"/>
        <w:jc w:val="both"/>
      </w:pPr>
      <w:r>
        <w:rPr>
          <w:color w:val="000000"/>
          <w:spacing w:val="0"/>
          <w:w w:val="100"/>
          <w:position w:val="0"/>
        </w:rPr>
        <w:t>本公司对于属于该规定适用范围的租金减让全部选择采用简化方法进行会计处理并对</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日至该规定施行日之 间发生的相关租金减让根据该规定进行相应调整。</w:t>
      </w:r>
    </w:p>
    <w:p>
      <w:pPr>
        <w:pStyle w:val="Style41"/>
        <w:keepNext w:val="0"/>
        <w:keepLines w:val="0"/>
        <w:widowControl w:val="0"/>
        <w:shd w:val="clear" w:color="auto" w:fill="auto"/>
        <w:bidi w:val="0"/>
        <w:spacing w:before="0" w:after="460" w:line="475" w:lineRule="exact"/>
        <w:ind w:left="0" w:right="0"/>
        <w:jc w:val="both"/>
      </w:pPr>
      <w:r>
        <w:rPr>
          <w:color w:val="000000"/>
          <w:spacing w:val="0"/>
          <w:w w:val="100"/>
          <w:position w:val="0"/>
        </w:rPr>
        <w:t>本公司作为出租人采用简化方法处理相关租金减让冲减本期营业收入人民币</w:t>
      </w:r>
      <w:r>
        <w:rPr>
          <w:rFonts w:ascii="Times New Roman" w:eastAsia="Times New Roman" w:hAnsi="Times New Roman" w:cs="Times New Roman"/>
          <w:color w:val="000000"/>
          <w:spacing w:val="0"/>
          <w:w w:val="100"/>
          <w:position w:val="0"/>
          <w:sz w:val="18"/>
          <w:szCs w:val="18"/>
        </w:rPr>
        <w:t>112.75</w:t>
      </w:r>
      <w:r>
        <w:rPr>
          <w:color w:val="000000"/>
          <w:spacing w:val="0"/>
          <w:w w:val="100"/>
          <w:position w:val="0"/>
        </w:rPr>
        <w:t>万元。</w:t>
      </w:r>
    </w:p>
    <w:p>
      <w:pPr>
        <w:pStyle w:val="Style58"/>
        <w:keepNext/>
        <w:keepLines/>
        <w:widowControl w:val="0"/>
        <w:shd w:val="clear" w:color="auto" w:fill="auto"/>
        <w:tabs>
          <w:tab w:pos="493" w:val="left"/>
        </w:tabs>
        <w:bidi w:val="0"/>
        <w:spacing w:before="0" w:after="400" w:line="240" w:lineRule="auto"/>
        <w:ind w:left="0" w:right="0" w:firstLine="0"/>
        <w:jc w:val="both"/>
        <w:rPr>
          <w:sz w:val="20"/>
          <w:szCs w:val="20"/>
        </w:rPr>
      </w:pPr>
      <w:bookmarkStart w:id="1188" w:name="bookmark1188"/>
      <w:bookmarkStart w:id="1189" w:name="bookmark1189"/>
      <w:bookmarkStart w:id="1190" w:name="bookmark1190"/>
      <w:bookmarkStart w:id="1191" w:name="bookmark1191"/>
      <w:r>
        <w:rPr>
          <w:b/>
          <w:bCs/>
          <w:color w:val="000000"/>
          <w:spacing w:val="0"/>
          <w:w w:val="100"/>
          <w:position w:val="0"/>
          <w:sz w:val="20"/>
          <w:szCs w:val="20"/>
        </w:rPr>
        <w:t>（</w:t>
      </w:r>
      <w:bookmarkEnd w:id="1190"/>
      <w:r>
        <w:rPr>
          <w:b/>
          <w:bCs/>
          <w:color w:val="000000"/>
          <w:spacing w:val="0"/>
          <w:w w:val="100"/>
          <w:position w:val="0"/>
          <w:sz w:val="20"/>
          <w:szCs w:val="20"/>
        </w:rPr>
        <w:t>2）</w:t>
        <w:tab/>
        <w:t>重要会计估计变更</w:t>
      </w:r>
      <w:bookmarkEnd w:id="1188"/>
      <w:bookmarkEnd w:id="1189"/>
      <w:bookmarkEnd w:id="1191"/>
    </w:p>
    <w:p>
      <w:pPr>
        <w:pStyle w:val="Style41"/>
        <w:keepNext w:val="0"/>
        <w:keepLines w:val="0"/>
        <w:widowControl w:val="0"/>
        <w:shd w:val="clear" w:color="auto" w:fill="auto"/>
        <w:bidi w:val="0"/>
        <w:spacing w:before="0" w:after="80" w:line="552" w:lineRule="auto"/>
        <w:ind w:left="0" w:right="0" w:firstLine="0"/>
        <w:jc w:val="both"/>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58"/>
        <w:keepNext/>
        <w:keepLines/>
        <w:widowControl w:val="0"/>
        <w:shd w:val="clear" w:color="auto" w:fill="auto"/>
        <w:tabs>
          <w:tab w:pos="493" w:val="left"/>
        </w:tabs>
        <w:bidi w:val="0"/>
        <w:spacing w:before="0" w:after="400" w:line="240" w:lineRule="auto"/>
        <w:ind w:left="0" w:right="0" w:firstLine="0"/>
        <w:jc w:val="both"/>
        <w:rPr>
          <w:sz w:val="20"/>
          <w:szCs w:val="20"/>
        </w:rPr>
      </w:pPr>
      <w:bookmarkStart w:id="1192" w:name="bookmark1192"/>
      <w:bookmarkStart w:id="1193" w:name="bookmark1193"/>
      <w:bookmarkStart w:id="1194" w:name="bookmark1194"/>
      <w:bookmarkStart w:id="1195" w:name="bookmark1195"/>
      <w:r>
        <w:rPr>
          <w:b/>
          <w:bCs/>
          <w:color w:val="000000"/>
          <w:spacing w:val="0"/>
          <w:w w:val="100"/>
          <w:position w:val="0"/>
          <w:sz w:val="20"/>
          <w:szCs w:val="20"/>
        </w:rPr>
        <w:t>（</w:t>
      </w:r>
      <w:bookmarkEnd w:id="1194"/>
      <w:r>
        <w:rPr>
          <w:b/>
          <w:bCs/>
          <w:color w:val="000000"/>
          <w:spacing w:val="0"/>
          <w:w w:val="100"/>
          <w:position w:val="0"/>
          <w:sz w:val="20"/>
          <w:szCs w:val="20"/>
        </w:rPr>
        <w:t>3）</w:t>
        <w:tab/>
        <w:t>2020年起首次执行新收入准则、新租赁准则调整执行当年年初财务报表相关项目情况</w:t>
      </w:r>
      <w:bookmarkEnd w:id="1192"/>
      <w:bookmarkEnd w:id="1193"/>
      <w:bookmarkEnd w:id="1195"/>
    </w:p>
    <w:p>
      <w:pPr>
        <w:pStyle w:val="Style41"/>
        <w:keepNext w:val="0"/>
        <w:keepLines w:val="0"/>
        <w:widowControl w:val="0"/>
        <w:shd w:val="clear" w:color="auto" w:fill="auto"/>
        <w:bidi w:val="0"/>
        <w:spacing w:before="0" w:after="140" w:line="240" w:lineRule="auto"/>
        <w:ind w:left="0" w:right="0" w:firstLine="0"/>
        <w:jc w:val="both"/>
      </w:pPr>
      <w:r>
        <w:rPr>
          <w:color w:val="000000"/>
          <w:spacing w:val="0"/>
          <w:w w:val="100"/>
          <w:position w:val="0"/>
        </w:rPr>
        <w:t>适用</w:t>
      </w:r>
    </w:p>
    <w:p>
      <w:pPr>
        <w:pStyle w:val="Style41"/>
        <w:keepNext w:val="0"/>
        <w:keepLines w:val="0"/>
        <w:widowControl w:val="0"/>
        <w:shd w:val="clear" w:color="auto" w:fill="auto"/>
        <w:bidi w:val="0"/>
        <w:spacing w:before="0" w:after="140" w:line="240" w:lineRule="auto"/>
        <w:ind w:left="0" w:right="0" w:firstLine="0"/>
        <w:jc w:val="both"/>
      </w:pPr>
      <w:r>
        <w:rPr>
          <w:color w:val="000000"/>
          <w:spacing w:val="0"/>
          <w:w w:val="100"/>
          <w:position w:val="0"/>
        </w:rPr>
        <w:t>是否需要调整年初资产负债表科目</w:t>
      </w:r>
    </w:p>
    <w:p>
      <w:pPr>
        <w:pStyle w:val="Style41"/>
        <w:keepNext w:val="0"/>
        <w:keepLines w:val="0"/>
        <w:widowControl w:val="0"/>
        <w:shd w:val="clear" w:color="auto" w:fill="auto"/>
        <w:bidi w:val="0"/>
        <w:spacing w:before="0" w:after="140" w:line="240" w:lineRule="auto"/>
        <w:ind w:left="0" w:right="0" w:firstLine="0"/>
        <w:jc w:val="both"/>
      </w:pPr>
      <w:r>
        <w:rPr>
          <w:rFonts w:ascii="Times New Roman" w:eastAsia="Times New Roman" w:hAnsi="Times New Roman" w:cs="Times New Roman"/>
          <w:color w:val="000000"/>
          <w:spacing w:val="0"/>
          <w:w w:val="100"/>
          <w:position w:val="0"/>
          <w:sz w:val="18"/>
          <w:szCs w:val="18"/>
        </w:rPr>
        <w:t>V</w:t>
      </w:r>
      <w:r>
        <w:rPr>
          <w:color w:val="000000"/>
          <w:spacing w:val="0"/>
          <w:w w:val="100"/>
          <w:position w:val="0"/>
        </w:rPr>
        <w:t>是</w:t>
      </w:r>
      <w:r>
        <w:rPr>
          <w:color w:val="000000"/>
          <w:spacing w:val="0"/>
          <w:w w:val="100"/>
          <w:position w:val="0"/>
          <w:sz w:val="18"/>
          <w:szCs w:val="18"/>
        </w:rPr>
        <w:t>口</w:t>
      </w:r>
      <w:r>
        <w:rPr>
          <w:color w:val="000000"/>
          <w:spacing w:val="0"/>
          <w:w w:val="100"/>
          <w:position w:val="0"/>
        </w:rPr>
        <w:t>否</w:t>
      </w:r>
    </w:p>
    <w:p>
      <w:pPr>
        <w:pStyle w:val="Style41"/>
        <w:keepNext w:val="0"/>
        <w:keepLines w:val="0"/>
        <w:widowControl w:val="0"/>
        <w:shd w:val="clear" w:color="auto" w:fill="auto"/>
        <w:bidi w:val="0"/>
        <w:spacing w:before="0" w:after="140" w:line="240" w:lineRule="auto"/>
        <w:ind w:left="0" w:right="0" w:firstLine="0"/>
        <w:jc w:val="both"/>
      </w:pPr>
      <w:r>
        <w:rPr>
          <w:color w:val="000000"/>
          <w:spacing w:val="0"/>
          <w:w w:val="100"/>
          <w:position w:val="0"/>
        </w:rPr>
        <w:t>合并资产负债表</w:t>
      </w:r>
    </w:p>
    <w:p>
      <w:pPr>
        <w:pStyle w:val="Style41"/>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2213"/>
        <w:gridCol w:w="2453"/>
        <w:gridCol w:w="2453"/>
        <w:gridCol w:w="2462"/>
      </w:tblGrid>
      <w:tr>
        <w:trPr>
          <w:trHeight w:val="40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920"/>
              <w:jc w:val="left"/>
            </w:pPr>
            <w:r>
              <w:rPr>
                <w:color w:val="000000"/>
                <w:spacing w:val="0"/>
                <w:w w:val="100"/>
                <w:position w:val="0"/>
              </w:rPr>
              <w:t>项目</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2019</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日</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01</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01</w:t>
            </w:r>
            <w:r>
              <w:rPr>
                <w:color w:val="000000"/>
                <w:spacing w:val="0"/>
                <w:w w:val="100"/>
                <w:position w:val="0"/>
              </w:rPr>
              <w:t>日</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调整数</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流动资产：</w:t>
            </w:r>
          </w:p>
        </w:tc>
        <w:tc>
          <w:tcPr>
            <w:tcBorders>
              <w:top w:val="single" w:sz="4"/>
              <w:left w:val="single" w:sz="4"/>
            </w:tcBorders>
            <w:shd w:val="clear" w:color="auto" w:fill="D7D7D7"/>
            <w:vAlign w:val="top"/>
          </w:tcPr>
          <w:p>
            <w:pPr>
              <w:widowControl w:val="0"/>
              <w:rPr>
                <w:sz w:val="10"/>
                <w:szCs w:val="10"/>
              </w:rPr>
            </w:pPr>
          </w:p>
        </w:tc>
        <w:tc>
          <w:tcPr>
            <w:tcBorders>
              <w:top w:val="single" w:sz="4"/>
              <w:left w:val="single" w:sz="4"/>
            </w:tcBorders>
            <w:shd w:val="clear" w:color="auto" w:fill="D7D7D7"/>
            <w:vAlign w:val="top"/>
          </w:tcPr>
          <w:p>
            <w:pPr>
              <w:widowControl w:val="0"/>
              <w:rPr>
                <w:sz w:val="10"/>
                <w:szCs w:val="10"/>
              </w:rPr>
            </w:pPr>
          </w:p>
        </w:tc>
        <w:tc>
          <w:tcPr>
            <w:tcBorders>
              <w:top w:val="single" w:sz="4"/>
              <w:left w:val="single" w:sz="4"/>
              <w:right w:val="single" w:sz="4"/>
            </w:tcBorders>
            <w:shd w:val="clear" w:color="auto" w:fill="D7D7D7"/>
            <w:vAlign w:val="top"/>
          </w:tcPr>
          <w:p>
            <w:pPr>
              <w:widowControl w:val="0"/>
              <w:rPr>
                <w:sz w:val="10"/>
                <w:szCs w:val="10"/>
              </w:rPr>
            </w:pP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货币资金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854,479,661.77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854,479,661.77</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结算备付金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拆出资金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交易性金融资产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41,752,400.00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80" w:right="0" w:firstLine="0"/>
              <w:jc w:val="left"/>
              <w:rPr>
                <w:sz w:val="18"/>
                <w:szCs w:val="18"/>
              </w:rPr>
            </w:pPr>
            <w:r>
              <w:rPr>
                <w:rFonts w:ascii="Times New Roman" w:eastAsia="Times New Roman" w:hAnsi="Times New Roman" w:cs="Times New Roman"/>
                <w:color w:val="000000"/>
                <w:spacing w:val="0"/>
                <w:w w:val="100"/>
                <w:position w:val="0"/>
                <w:sz w:val="18"/>
                <w:szCs w:val="18"/>
              </w:rPr>
              <w:t>41,752,400.00</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衍生金融资产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应收票据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3,877,151.40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3,877,151.40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应收账款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748,673,750.79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649,205,342.14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-99,468,408.65</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应收款项融资</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14,520,394.13</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80" w:right="0" w:firstLine="0"/>
              <w:jc w:val="left"/>
              <w:rPr>
                <w:sz w:val="18"/>
                <w:szCs w:val="18"/>
              </w:rPr>
            </w:pPr>
            <w:r>
              <w:rPr>
                <w:rFonts w:ascii="Times New Roman" w:eastAsia="Times New Roman" w:hAnsi="Times New Roman" w:cs="Times New Roman"/>
                <w:color w:val="000000"/>
                <w:spacing w:val="0"/>
                <w:w w:val="100"/>
                <w:position w:val="0"/>
                <w:sz w:val="18"/>
                <w:szCs w:val="18"/>
              </w:rPr>
              <w:t>14,520,394.13</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ectPr>
          <w:headerReference w:type="default" r:id="rId345"/>
          <w:footerReference w:type="default" r:id="rId346"/>
          <w:headerReference w:type="even" r:id="rId347"/>
          <w:footerReference w:type="even" r:id="rId348"/>
          <w:footnotePr>
            <w:pos w:val="pageBottom"/>
            <w:numFmt w:val="decimal"/>
            <w:numRestart w:val="continuous"/>
          </w:footnotePr>
          <w:pgSz w:w="11904" w:h="17375"/>
          <w:pgMar w:top="1674" w:right="1108" w:bottom="1766" w:left="1085" w:header="0" w:footer="3" w:gutter="0"/>
          <w:cols w:space="720"/>
          <w:noEndnote/>
          <w:rtlGutter w:val="0"/>
          <w:docGrid w:linePitch="360"/>
        </w:sectPr>
      </w:pPr>
    </w:p>
    <w:tbl>
      <w:tblPr>
        <w:tblOverlap w:val="never"/>
        <w:jc w:val="center"/>
        <w:tblLayout w:type="fixed"/>
      </w:tblPr>
      <w:tblGrid>
        <w:gridCol w:w="2213"/>
        <w:gridCol w:w="2453"/>
        <w:gridCol w:w="2453"/>
        <w:gridCol w:w="2462"/>
      </w:tblGrid>
      <w:tr>
        <w:trPr>
          <w:trHeight w:val="480"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both"/>
            </w:pPr>
            <w:r>
              <w:rPr>
                <w:color w:val="000000"/>
                <w:spacing w:val="0"/>
                <w:w w:val="100"/>
                <w:position w:val="0"/>
              </w:rPr>
              <w:t>预付款项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39,228,664.02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80" w:right="0" w:firstLine="0"/>
              <w:jc w:val="both"/>
              <w:rPr>
                <w:sz w:val="18"/>
                <w:szCs w:val="18"/>
              </w:rPr>
            </w:pPr>
            <w:r>
              <w:rPr>
                <w:rFonts w:ascii="Times New Roman" w:eastAsia="Times New Roman" w:hAnsi="Times New Roman" w:cs="Times New Roman"/>
                <w:color w:val="000000"/>
                <w:spacing w:val="0"/>
                <w:w w:val="100"/>
                <w:position w:val="0"/>
                <w:sz w:val="18"/>
                <w:szCs w:val="18"/>
              </w:rPr>
              <w:t>39,228,664.02</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both"/>
            </w:pPr>
            <w:r>
              <w:rPr>
                <w:color w:val="000000"/>
                <w:spacing w:val="0"/>
                <w:w w:val="100"/>
                <w:position w:val="0"/>
              </w:rPr>
              <w:t>应收保费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应收分保账款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应收分保合同准备金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其他应收款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60,212,377.79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80" w:right="0" w:firstLine="0"/>
              <w:jc w:val="both"/>
              <w:rPr>
                <w:sz w:val="18"/>
                <w:szCs w:val="18"/>
              </w:rPr>
            </w:pPr>
            <w:r>
              <w:rPr>
                <w:rFonts w:ascii="Times New Roman" w:eastAsia="Times New Roman" w:hAnsi="Times New Roman" w:cs="Times New Roman"/>
                <w:color w:val="000000"/>
                <w:spacing w:val="0"/>
                <w:w w:val="100"/>
                <w:position w:val="0"/>
                <w:sz w:val="18"/>
                <w:szCs w:val="18"/>
              </w:rPr>
              <w:t>60,212,377.79</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560"/>
              <w:jc w:val="left"/>
            </w:pPr>
            <w:r>
              <w:rPr>
                <w:color w:val="000000"/>
                <w:spacing w:val="0"/>
                <w:w w:val="100"/>
                <w:position w:val="0"/>
              </w:rPr>
              <w:t>其中：应收利息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1100" w:right="0" w:firstLine="0"/>
              <w:jc w:val="left"/>
            </w:pPr>
            <w:r>
              <w:rPr>
                <w:color w:val="000000"/>
                <w:spacing w:val="0"/>
                <w:w w:val="100"/>
                <w:position w:val="0"/>
              </w:rPr>
              <w:t>应收股利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both"/>
            </w:pPr>
            <w:r>
              <w:rPr>
                <w:color w:val="000000"/>
                <w:spacing w:val="0"/>
                <w:w w:val="100"/>
                <w:position w:val="0"/>
              </w:rPr>
              <w:t>买入返售金融资产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both"/>
            </w:pPr>
            <w:r>
              <w:rPr>
                <w:color w:val="000000"/>
                <w:spacing w:val="0"/>
                <w:w w:val="100"/>
                <w:position w:val="0"/>
              </w:rPr>
              <w:t>存货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222,866,954.71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292,891,956.75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70,025,002.04</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both"/>
            </w:pPr>
            <w:r>
              <w:rPr>
                <w:color w:val="000000"/>
                <w:spacing w:val="0"/>
                <w:w w:val="100"/>
                <w:position w:val="0"/>
              </w:rPr>
              <w:t>合同资产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持有待售资产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120" w:line="240" w:lineRule="auto"/>
              <w:ind w:left="0" w:right="0"/>
              <w:jc w:val="left"/>
            </w:pPr>
            <w:r>
              <w:rPr>
                <w:color w:val="000000"/>
                <w:spacing w:val="0"/>
                <w:w w:val="100"/>
                <w:position w:val="0"/>
              </w:rPr>
              <w:t>一年内到期的非流动</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其他流动资产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8,616,467.17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8,742,658.39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126,191.22</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流动资产合计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1,994,227,821.78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1,964,910,606.39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-29,317,215.39</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非流动资产：</w:t>
            </w:r>
          </w:p>
        </w:tc>
        <w:tc>
          <w:tcPr>
            <w:tcBorders>
              <w:top w:val="single" w:sz="4"/>
              <w:left w:val="single" w:sz="4"/>
            </w:tcBorders>
            <w:shd w:val="clear" w:color="auto" w:fill="D7D7D7"/>
            <w:vAlign w:val="top"/>
          </w:tcPr>
          <w:p>
            <w:pPr>
              <w:widowControl w:val="0"/>
              <w:rPr>
                <w:sz w:val="10"/>
                <w:szCs w:val="10"/>
              </w:rPr>
            </w:pPr>
          </w:p>
        </w:tc>
        <w:tc>
          <w:tcPr>
            <w:tcBorders>
              <w:top w:val="single" w:sz="4"/>
              <w:left w:val="single" w:sz="4"/>
            </w:tcBorders>
            <w:shd w:val="clear" w:color="auto" w:fill="D7D7D7"/>
            <w:vAlign w:val="top"/>
          </w:tcPr>
          <w:p>
            <w:pPr>
              <w:widowControl w:val="0"/>
              <w:rPr>
                <w:sz w:val="10"/>
                <w:szCs w:val="10"/>
              </w:rPr>
            </w:pPr>
          </w:p>
        </w:tc>
        <w:tc>
          <w:tcPr>
            <w:tcBorders>
              <w:top w:val="single" w:sz="4"/>
              <w:left w:val="single" w:sz="4"/>
              <w:right w:val="single" w:sz="4"/>
            </w:tcBorders>
            <w:shd w:val="clear" w:color="auto" w:fill="D7D7D7"/>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both"/>
            </w:pPr>
            <w:r>
              <w:rPr>
                <w:color w:val="000000"/>
                <w:spacing w:val="0"/>
                <w:w w:val="100"/>
                <w:position w:val="0"/>
              </w:rPr>
              <w:t>发放贷款和垫款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both"/>
            </w:pPr>
            <w:r>
              <w:rPr>
                <w:color w:val="000000"/>
                <w:spacing w:val="0"/>
                <w:w w:val="100"/>
                <w:position w:val="0"/>
              </w:rPr>
              <w:t>债权投资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both"/>
            </w:pPr>
            <w:r>
              <w:rPr>
                <w:color w:val="000000"/>
                <w:spacing w:val="0"/>
                <w:w w:val="100"/>
                <w:position w:val="0"/>
              </w:rPr>
              <w:t>其他债权投资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both"/>
            </w:pPr>
            <w:r>
              <w:rPr>
                <w:color w:val="000000"/>
                <w:spacing w:val="0"/>
                <w:w w:val="100"/>
                <w:position w:val="0"/>
              </w:rPr>
              <w:t>长期应收款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both"/>
            </w:pPr>
            <w:r>
              <w:rPr>
                <w:color w:val="000000"/>
                <w:spacing w:val="0"/>
                <w:w w:val="100"/>
                <w:position w:val="0"/>
              </w:rPr>
              <w:t>长期股权投资</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73,680,787.97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80" w:right="0" w:firstLine="0"/>
              <w:jc w:val="both"/>
              <w:rPr>
                <w:sz w:val="18"/>
                <w:szCs w:val="18"/>
              </w:rPr>
            </w:pPr>
            <w:r>
              <w:rPr>
                <w:rFonts w:ascii="Times New Roman" w:eastAsia="Times New Roman" w:hAnsi="Times New Roman" w:cs="Times New Roman"/>
                <w:color w:val="000000"/>
                <w:spacing w:val="0"/>
                <w:w w:val="100"/>
                <w:position w:val="0"/>
                <w:sz w:val="18"/>
                <w:szCs w:val="18"/>
              </w:rPr>
              <w:t>73,680,787.97</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both"/>
            </w:pPr>
            <w:r>
              <w:rPr>
                <w:color w:val="000000"/>
                <w:spacing w:val="0"/>
                <w:w w:val="100"/>
                <w:position w:val="0"/>
              </w:rPr>
              <w:t>其他权益工具投资</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16,792,264.49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80" w:right="0" w:firstLine="0"/>
              <w:jc w:val="both"/>
              <w:rPr>
                <w:sz w:val="18"/>
                <w:szCs w:val="18"/>
              </w:rPr>
            </w:pPr>
            <w:r>
              <w:rPr>
                <w:rFonts w:ascii="Times New Roman" w:eastAsia="Times New Roman" w:hAnsi="Times New Roman" w:cs="Times New Roman"/>
                <w:color w:val="000000"/>
                <w:spacing w:val="0"/>
                <w:w w:val="100"/>
                <w:position w:val="0"/>
                <w:sz w:val="18"/>
                <w:szCs w:val="18"/>
              </w:rPr>
              <w:t>16,792,264.49</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both"/>
            </w:pPr>
            <w:r>
              <w:rPr>
                <w:color w:val="000000"/>
                <w:spacing w:val="0"/>
                <w:w w:val="100"/>
                <w:position w:val="0"/>
              </w:rPr>
              <w:t>其他非流动金融资产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176,542,160.12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176,542,160.12</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both"/>
            </w:pPr>
            <w:r>
              <w:rPr>
                <w:color w:val="000000"/>
                <w:spacing w:val="0"/>
                <w:w w:val="100"/>
                <w:position w:val="0"/>
              </w:rPr>
              <w:t>投资性房地产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208,669,911.88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208,669,911.88</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both"/>
            </w:pPr>
            <w:r>
              <w:rPr>
                <w:color w:val="000000"/>
                <w:spacing w:val="0"/>
                <w:w w:val="100"/>
                <w:position w:val="0"/>
              </w:rPr>
              <w:t>固定资产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388,432,648.04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388,432,648.04</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both"/>
            </w:pPr>
            <w:r>
              <w:rPr>
                <w:color w:val="000000"/>
                <w:spacing w:val="0"/>
                <w:w w:val="100"/>
                <w:position w:val="0"/>
              </w:rPr>
              <w:t>在建工程</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生产性生物资产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油气资产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使用权资产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无形资产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381,938,488.29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381,938,488.29</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开发支出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41,459,914.87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80" w:right="0" w:firstLine="0"/>
              <w:jc w:val="both"/>
              <w:rPr>
                <w:sz w:val="18"/>
                <w:szCs w:val="18"/>
              </w:rPr>
            </w:pPr>
            <w:r>
              <w:rPr>
                <w:rFonts w:ascii="Times New Roman" w:eastAsia="Times New Roman" w:hAnsi="Times New Roman" w:cs="Times New Roman"/>
                <w:color w:val="000000"/>
                <w:spacing w:val="0"/>
                <w:w w:val="100"/>
                <w:position w:val="0"/>
                <w:sz w:val="18"/>
                <w:szCs w:val="18"/>
              </w:rPr>
              <w:t>41,459,914.87</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商誉</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1,570,266,785.41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1,570,266,785.41</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长期待摊费用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7,736,953.70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7,736,953.70</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递延所得税资产</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29,527,891.54</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80" w:right="0" w:firstLine="0"/>
              <w:jc w:val="both"/>
              <w:rPr>
                <w:sz w:val="18"/>
                <w:szCs w:val="18"/>
              </w:rPr>
            </w:pPr>
            <w:r>
              <w:rPr>
                <w:rFonts w:ascii="Times New Roman" w:eastAsia="Times New Roman" w:hAnsi="Times New Roman" w:cs="Times New Roman"/>
                <w:color w:val="000000"/>
                <w:spacing w:val="0"/>
                <w:w w:val="100"/>
                <w:position w:val="0"/>
                <w:sz w:val="18"/>
                <w:szCs w:val="18"/>
              </w:rPr>
              <w:t>28,125,977.30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-1,401,914.24</w:t>
            </w:r>
          </w:p>
        </w:tc>
      </w:tr>
    </w:tbl>
    <w:p>
      <w:pPr>
        <w:spacing w:lineRule="exact" w:line="1"/>
        <w:rPr>
          <w:sz w:val="2"/>
          <w:szCs w:val="2"/>
        </w:rPr>
      </w:pPr>
      <w:r>
        <w:br w:type="page"/>
      </w:r>
    </w:p>
    <w:tbl>
      <w:tblPr>
        <w:tblOverlap w:val="never"/>
        <w:jc w:val="center"/>
        <w:tblLayout w:type="fixed"/>
      </w:tblPr>
      <w:tblGrid>
        <w:gridCol w:w="2213"/>
        <w:gridCol w:w="2453"/>
        <w:gridCol w:w="2453"/>
        <w:gridCol w:w="2462"/>
      </w:tblGrid>
      <w:tr>
        <w:trPr>
          <w:trHeight w:val="480"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其他非流动资产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rPr>
                <w:sz w:val="18"/>
                <w:szCs w:val="18"/>
              </w:rPr>
            </w:pPr>
            <w:r>
              <w:rPr>
                <w:rFonts w:ascii="Times New Roman" w:eastAsia="Times New Roman" w:hAnsi="Times New Roman" w:cs="Times New Roman"/>
                <w:color w:val="000000"/>
                <w:spacing w:val="0"/>
                <w:w w:val="100"/>
                <w:position w:val="0"/>
                <w:sz w:val="18"/>
                <w:szCs w:val="18"/>
              </w:rPr>
              <w:t>393,359,763.45</w:t>
            </w:r>
          </w:p>
        </w:tc>
        <w:tc>
          <w:tcPr>
            <w:gridSpan w:val="2"/>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left"/>
              <w:rPr>
                <w:sz w:val="18"/>
                <w:szCs w:val="18"/>
              </w:rPr>
            </w:pPr>
            <w:r>
              <w:rPr>
                <w:rFonts w:ascii="Times New Roman" w:eastAsia="Times New Roman" w:hAnsi="Times New Roman" w:cs="Times New Roman"/>
                <w:color w:val="000000"/>
                <w:spacing w:val="0"/>
                <w:w w:val="100"/>
                <w:position w:val="0"/>
                <w:sz w:val="18"/>
                <w:szCs w:val="18"/>
              </w:rPr>
              <w:t>393,359,763.45</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非流动资产合计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60" w:right="0" w:firstLine="0"/>
              <w:jc w:val="both"/>
              <w:rPr>
                <w:sz w:val="18"/>
                <w:szCs w:val="18"/>
              </w:rPr>
            </w:pPr>
            <w:r>
              <w:rPr>
                <w:rFonts w:ascii="Times New Roman" w:eastAsia="Times New Roman" w:hAnsi="Times New Roman" w:cs="Times New Roman"/>
                <w:color w:val="000000"/>
                <w:spacing w:val="0"/>
                <w:w w:val="100"/>
                <w:position w:val="0"/>
                <w:sz w:val="18"/>
                <w:szCs w:val="18"/>
              </w:rPr>
              <w:t>3,288,407,569.76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60" w:right="0" w:firstLine="0"/>
              <w:jc w:val="left"/>
              <w:rPr>
                <w:sz w:val="18"/>
                <w:szCs w:val="18"/>
              </w:rPr>
            </w:pPr>
            <w:r>
              <w:rPr>
                <w:rFonts w:ascii="Times New Roman" w:eastAsia="Times New Roman" w:hAnsi="Times New Roman" w:cs="Times New Roman"/>
                <w:color w:val="000000"/>
                <w:spacing w:val="0"/>
                <w:w w:val="100"/>
                <w:position w:val="0"/>
                <w:sz w:val="18"/>
                <w:szCs w:val="18"/>
              </w:rPr>
              <w:t>3,287,005,655.52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-1,401,914.24</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资产总计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60" w:right="0" w:firstLine="0"/>
              <w:jc w:val="both"/>
              <w:rPr>
                <w:sz w:val="18"/>
                <w:szCs w:val="18"/>
              </w:rPr>
            </w:pPr>
            <w:r>
              <w:rPr>
                <w:rFonts w:ascii="Times New Roman" w:eastAsia="Times New Roman" w:hAnsi="Times New Roman" w:cs="Times New Roman"/>
                <w:color w:val="000000"/>
                <w:spacing w:val="0"/>
                <w:w w:val="100"/>
                <w:position w:val="0"/>
                <w:sz w:val="18"/>
                <w:szCs w:val="18"/>
              </w:rPr>
              <w:t>5,282,635,391.54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60" w:right="0" w:firstLine="0"/>
              <w:jc w:val="left"/>
              <w:rPr>
                <w:sz w:val="18"/>
                <w:szCs w:val="18"/>
              </w:rPr>
            </w:pPr>
            <w:r>
              <w:rPr>
                <w:rFonts w:ascii="Times New Roman" w:eastAsia="Times New Roman" w:hAnsi="Times New Roman" w:cs="Times New Roman"/>
                <w:color w:val="000000"/>
                <w:spacing w:val="0"/>
                <w:w w:val="100"/>
                <w:position w:val="0"/>
                <w:sz w:val="18"/>
                <w:szCs w:val="18"/>
              </w:rPr>
              <w:t>5,251,916,261.91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-30,719,129.63</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流动负债：</w:t>
            </w:r>
          </w:p>
        </w:tc>
        <w:tc>
          <w:tcPr>
            <w:tcBorders>
              <w:top w:val="single" w:sz="4"/>
              <w:left w:val="single" w:sz="4"/>
            </w:tcBorders>
            <w:shd w:val="clear" w:color="auto" w:fill="D7D7D7"/>
            <w:vAlign w:val="top"/>
          </w:tcPr>
          <w:p>
            <w:pPr>
              <w:widowControl w:val="0"/>
              <w:rPr>
                <w:sz w:val="10"/>
                <w:szCs w:val="10"/>
              </w:rPr>
            </w:pPr>
          </w:p>
        </w:tc>
        <w:tc>
          <w:tcPr>
            <w:tcBorders>
              <w:top w:val="single" w:sz="4"/>
              <w:left w:val="single" w:sz="4"/>
            </w:tcBorders>
            <w:shd w:val="clear" w:color="auto" w:fill="D7D7D7"/>
            <w:vAlign w:val="top"/>
          </w:tcPr>
          <w:p>
            <w:pPr>
              <w:widowControl w:val="0"/>
              <w:rPr>
                <w:sz w:val="10"/>
                <w:szCs w:val="10"/>
              </w:rPr>
            </w:pPr>
          </w:p>
        </w:tc>
        <w:tc>
          <w:tcPr>
            <w:tcBorders>
              <w:top w:val="single" w:sz="4"/>
              <w:left w:val="single" w:sz="4"/>
              <w:right w:val="single" w:sz="4"/>
            </w:tcBorders>
            <w:shd w:val="clear" w:color="auto" w:fill="D7D7D7"/>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both"/>
            </w:pPr>
            <w:r>
              <w:rPr>
                <w:color w:val="000000"/>
                <w:spacing w:val="0"/>
                <w:w w:val="100"/>
                <w:position w:val="0"/>
              </w:rPr>
              <w:t>短期借款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rPr>
                <w:sz w:val="18"/>
                <w:szCs w:val="18"/>
              </w:rPr>
            </w:pPr>
            <w:r>
              <w:rPr>
                <w:rFonts w:ascii="Times New Roman" w:eastAsia="Times New Roman" w:hAnsi="Times New Roman" w:cs="Times New Roman"/>
                <w:color w:val="000000"/>
                <w:spacing w:val="0"/>
                <w:w w:val="100"/>
                <w:position w:val="0"/>
                <w:sz w:val="18"/>
                <w:szCs w:val="18"/>
              </w:rPr>
              <w:t>739,312,386.40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left"/>
              <w:rPr>
                <w:sz w:val="18"/>
                <w:szCs w:val="18"/>
              </w:rPr>
            </w:pPr>
            <w:r>
              <w:rPr>
                <w:rFonts w:ascii="Times New Roman" w:eastAsia="Times New Roman" w:hAnsi="Times New Roman" w:cs="Times New Roman"/>
                <w:color w:val="000000"/>
                <w:spacing w:val="0"/>
                <w:w w:val="100"/>
                <w:position w:val="0"/>
                <w:sz w:val="18"/>
                <w:szCs w:val="18"/>
              </w:rPr>
              <w:t>739,312,386.40</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both"/>
            </w:pPr>
            <w:r>
              <w:rPr>
                <w:color w:val="000000"/>
                <w:spacing w:val="0"/>
                <w:w w:val="100"/>
                <w:position w:val="0"/>
              </w:rPr>
              <w:t>向中央银行借款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both"/>
            </w:pPr>
            <w:r>
              <w:rPr>
                <w:color w:val="000000"/>
                <w:spacing w:val="0"/>
                <w:w w:val="100"/>
                <w:position w:val="0"/>
              </w:rPr>
              <w:t>拆入资金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both"/>
            </w:pPr>
            <w:r>
              <w:rPr>
                <w:color w:val="000000"/>
                <w:spacing w:val="0"/>
                <w:w w:val="100"/>
                <w:position w:val="0"/>
              </w:rPr>
              <w:t>交易性金融负债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both"/>
            </w:pPr>
            <w:r>
              <w:rPr>
                <w:color w:val="000000"/>
                <w:spacing w:val="0"/>
                <w:w w:val="100"/>
                <w:position w:val="0"/>
              </w:rPr>
              <w:t>衍生金融负债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both"/>
            </w:pPr>
            <w:r>
              <w:rPr>
                <w:color w:val="000000"/>
                <w:spacing w:val="0"/>
                <w:w w:val="100"/>
                <w:position w:val="0"/>
              </w:rPr>
              <w:t>应付票据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both"/>
            </w:pPr>
            <w:r>
              <w:rPr>
                <w:color w:val="000000"/>
                <w:spacing w:val="0"/>
                <w:w w:val="100"/>
                <w:position w:val="0"/>
              </w:rPr>
              <w:t>应付账款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rPr>
                <w:sz w:val="18"/>
                <w:szCs w:val="18"/>
              </w:rPr>
            </w:pPr>
            <w:r>
              <w:rPr>
                <w:rFonts w:ascii="Times New Roman" w:eastAsia="Times New Roman" w:hAnsi="Times New Roman" w:cs="Times New Roman"/>
                <w:color w:val="000000"/>
                <w:spacing w:val="0"/>
                <w:w w:val="100"/>
                <w:position w:val="0"/>
                <w:sz w:val="18"/>
                <w:szCs w:val="18"/>
              </w:rPr>
              <w:t>294,018,896.50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left"/>
              <w:rPr>
                <w:sz w:val="18"/>
                <w:szCs w:val="18"/>
              </w:rPr>
            </w:pPr>
            <w:r>
              <w:rPr>
                <w:rFonts w:ascii="Times New Roman" w:eastAsia="Times New Roman" w:hAnsi="Times New Roman" w:cs="Times New Roman"/>
                <w:color w:val="000000"/>
                <w:spacing w:val="0"/>
                <w:w w:val="100"/>
                <w:position w:val="0"/>
                <w:sz w:val="18"/>
                <w:szCs w:val="18"/>
              </w:rPr>
              <w:t>294,018,896.50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both"/>
            </w:pPr>
            <w:r>
              <w:rPr>
                <w:color w:val="000000"/>
                <w:spacing w:val="0"/>
                <w:w w:val="100"/>
                <w:position w:val="0"/>
              </w:rPr>
              <w:t>预收款项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rPr>
                <w:sz w:val="18"/>
                <w:szCs w:val="18"/>
              </w:rPr>
            </w:pPr>
            <w:r>
              <w:rPr>
                <w:rFonts w:ascii="Times New Roman" w:eastAsia="Times New Roman" w:hAnsi="Times New Roman" w:cs="Times New Roman"/>
                <w:color w:val="000000"/>
                <w:spacing w:val="0"/>
                <w:w w:val="100"/>
                <w:position w:val="0"/>
                <w:sz w:val="18"/>
                <w:szCs w:val="18"/>
              </w:rPr>
              <w:t>174,228,663.85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4,222,047.14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-170,006,616.71</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both"/>
            </w:pPr>
            <w:r>
              <w:rPr>
                <w:color w:val="000000"/>
                <w:spacing w:val="0"/>
                <w:w w:val="100"/>
                <w:position w:val="0"/>
              </w:rPr>
              <w:t>合同负债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left"/>
              <w:rPr>
                <w:sz w:val="18"/>
                <w:szCs w:val="18"/>
              </w:rPr>
            </w:pPr>
            <w:r>
              <w:rPr>
                <w:rFonts w:ascii="Times New Roman" w:eastAsia="Times New Roman" w:hAnsi="Times New Roman" w:cs="Times New Roman"/>
                <w:color w:val="000000"/>
                <w:spacing w:val="0"/>
                <w:w w:val="100"/>
                <w:position w:val="0"/>
                <w:sz w:val="18"/>
                <w:szCs w:val="18"/>
              </w:rPr>
              <w:t>279,826,576.10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279,826,576.10</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卖出回购金融资产款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吸收存款及同业存放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代理买卖证券款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代理承销证券款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应付职工薪酬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both"/>
              <w:rPr>
                <w:sz w:val="18"/>
                <w:szCs w:val="18"/>
              </w:rPr>
            </w:pPr>
            <w:r>
              <w:rPr>
                <w:rFonts w:ascii="Times New Roman" w:eastAsia="Times New Roman" w:hAnsi="Times New Roman" w:cs="Times New Roman"/>
                <w:color w:val="000000"/>
                <w:spacing w:val="0"/>
                <w:w w:val="100"/>
                <w:position w:val="0"/>
                <w:sz w:val="18"/>
                <w:szCs w:val="18"/>
              </w:rPr>
              <w:t>112,447,924.37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left"/>
              <w:rPr>
                <w:sz w:val="18"/>
                <w:szCs w:val="18"/>
              </w:rPr>
            </w:pPr>
            <w:r>
              <w:rPr>
                <w:rFonts w:ascii="Times New Roman" w:eastAsia="Times New Roman" w:hAnsi="Times New Roman" w:cs="Times New Roman"/>
                <w:color w:val="000000"/>
                <w:spacing w:val="0"/>
                <w:w w:val="100"/>
                <w:position w:val="0"/>
                <w:sz w:val="18"/>
                <w:szCs w:val="18"/>
              </w:rPr>
              <w:t>112,447,924.37</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应交税费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80" w:right="0" w:firstLine="0"/>
              <w:jc w:val="both"/>
              <w:rPr>
                <w:sz w:val="18"/>
                <w:szCs w:val="18"/>
              </w:rPr>
            </w:pPr>
            <w:r>
              <w:rPr>
                <w:rFonts w:ascii="Times New Roman" w:eastAsia="Times New Roman" w:hAnsi="Times New Roman" w:cs="Times New Roman"/>
                <w:color w:val="000000"/>
                <w:spacing w:val="0"/>
                <w:w w:val="100"/>
                <w:position w:val="0"/>
                <w:sz w:val="18"/>
                <w:szCs w:val="18"/>
              </w:rPr>
              <w:t>52,021,027.31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80" w:right="0" w:firstLine="0"/>
              <w:jc w:val="both"/>
              <w:rPr>
                <w:sz w:val="18"/>
                <w:szCs w:val="18"/>
              </w:rPr>
            </w:pPr>
            <w:r>
              <w:rPr>
                <w:rFonts w:ascii="Times New Roman" w:eastAsia="Times New Roman" w:hAnsi="Times New Roman" w:cs="Times New Roman"/>
                <w:color w:val="000000"/>
                <w:spacing w:val="0"/>
                <w:w w:val="100"/>
                <w:position w:val="0"/>
                <w:sz w:val="18"/>
                <w:szCs w:val="18"/>
              </w:rPr>
              <w:t>55,115,496.05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3,094,468.74</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其他应付款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80" w:right="0" w:firstLine="0"/>
              <w:jc w:val="both"/>
              <w:rPr>
                <w:sz w:val="18"/>
                <w:szCs w:val="18"/>
              </w:rPr>
            </w:pPr>
            <w:r>
              <w:rPr>
                <w:rFonts w:ascii="Times New Roman" w:eastAsia="Times New Roman" w:hAnsi="Times New Roman" w:cs="Times New Roman"/>
                <w:color w:val="000000"/>
                <w:spacing w:val="0"/>
                <w:w w:val="100"/>
                <w:position w:val="0"/>
                <w:sz w:val="18"/>
                <w:szCs w:val="18"/>
              </w:rPr>
              <w:t>79,694,171.29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80" w:right="0" w:firstLine="0"/>
              <w:jc w:val="both"/>
              <w:rPr>
                <w:sz w:val="18"/>
                <w:szCs w:val="18"/>
              </w:rPr>
            </w:pPr>
            <w:r>
              <w:rPr>
                <w:rFonts w:ascii="Times New Roman" w:eastAsia="Times New Roman" w:hAnsi="Times New Roman" w:cs="Times New Roman"/>
                <w:color w:val="000000"/>
                <w:spacing w:val="0"/>
                <w:w w:val="100"/>
                <w:position w:val="0"/>
                <w:sz w:val="18"/>
                <w:szCs w:val="18"/>
              </w:rPr>
              <w:t>79,694,171.29</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560"/>
              <w:jc w:val="left"/>
            </w:pPr>
            <w:r>
              <w:rPr>
                <w:color w:val="000000"/>
                <w:spacing w:val="0"/>
                <w:w w:val="100"/>
                <w:position w:val="0"/>
              </w:rPr>
              <w:t>其中：应付利息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1100" w:right="0" w:firstLine="0"/>
              <w:jc w:val="left"/>
            </w:pPr>
            <w:r>
              <w:rPr>
                <w:color w:val="000000"/>
                <w:spacing w:val="0"/>
                <w:w w:val="100"/>
                <w:position w:val="0"/>
              </w:rPr>
              <w:t>应付股利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应付手续费及佣金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应付分保账款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持有待售负债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jc w:val="left"/>
            </w:pPr>
            <w:r>
              <w:rPr>
                <w:color w:val="000000"/>
                <w:spacing w:val="0"/>
                <w:w w:val="100"/>
                <w:position w:val="0"/>
              </w:rPr>
              <w:t>一年内到期的非流动 负债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80" w:right="0" w:firstLine="0"/>
              <w:jc w:val="both"/>
              <w:rPr>
                <w:sz w:val="18"/>
                <w:szCs w:val="18"/>
              </w:rPr>
            </w:pPr>
            <w:r>
              <w:rPr>
                <w:rFonts w:ascii="Times New Roman" w:eastAsia="Times New Roman" w:hAnsi="Times New Roman" w:cs="Times New Roman"/>
                <w:color w:val="000000"/>
                <w:spacing w:val="0"/>
                <w:w w:val="100"/>
                <w:position w:val="0"/>
                <w:sz w:val="18"/>
                <w:szCs w:val="18"/>
              </w:rPr>
              <w:t>30,053,900.00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80" w:right="0" w:firstLine="0"/>
              <w:jc w:val="both"/>
              <w:rPr>
                <w:sz w:val="18"/>
                <w:szCs w:val="18"/>
              </w:rPr>
            </w:pPr>
            <w:r>
              <w:rPr>
                <w:rFonts w:ascii="Times New Roman" w:eastAsia="Times New Roman" w:hAnsi="Times New Roman" w:cs="Times New Roman"/>
                <w:color w:val="000000"/>
                <w:spacing w:val="0"/>
                <w:w w:val="100"/>
                <w:position w:val="0"/>
                <w:sz w:val="18"/>
                <w:szCs w:val="18"/>
              </w:rPr>
              <w:t>30,053,900.00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其他流动负债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流动负债合计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60" w:right="0" w:firstLine="0"/>
              <w:jc w:val="both"/>
              <w:rPr>
                <w:sz w:val="18"/>
                <w:szCs w:val="18"/>
              </w:rPr>
            </w:pPr>
            <w:r>
              <w:rPr>
                <w:rFonts w:ascii="Times New Roman" w:eastAsia="Times New Roman" w:hAnsi="Times New Roman" w:cs="Times New Roman"/>
                <w:color w:val="000000"/>
                <w:spacing w:val="0"/>
                <w:w w:val="100"/>
                <w:position w:val="0"/>
                <w:sz w:val="18"/>
                <w:szCs w:val="18"/>
              </w:rPr>
              <w:t>1,481,776,969.72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60" w:right="0" w:firstLine="0"/>
              <w:jc w:val="left"/>
              <w:rPr>
                <w:sz w:val="18"/>
                <w:szCs w:val="18"/>
              </w:rPr>
            </w:pPr>
            <w:r>
              <w:rPr>
                <w:rFonts w:ascii="Times New Roman" w:eastAsia="Times New Roman" w:hAnsi="Times New Roman" w:cs="Times New Roman"/>
                <w:color w:val="000000"/>
                <w:spacing w:val="0"/>
                <w:w w:val="100"/>
                <w:position w:val="0"/>
                <w:sz w:val="18"/>
                <w:szCs w:val="18"/>
              </w:rPr>
              <w:t>1,594,691,397.85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112,914,428.13</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非流动负债：</w:t>
            </w:r>
          </w:p>
        </w:tc>
        <w:tc>
          <w:tcPr>
            <w:tcBorders>
              <w:top w:val="single" w:sz="4"/>
              <w:left w:val="single" w:sz="4"/>
            </w:tcBorders>
            <w:shd w:val="clear" w:color="auto" w:fill="D7D7D7"/>
            <w:vAlign w:val="top"/>
          </w:tcPr>
          <w:p>
            <w:pPr>
              <w:widowControl w:val="0"/>
              <w:rPr>
                <w:sz w:val="10"/>
                <w:szCs w:val="10"/>
              </w:rPr>
            </w:pPr>
          </w:p>
        </w:tc>
        <w:tc>
          <w:tcPr>
            <w:tcBorders>
              <w:top w:val="single" w:sz="4"/>
              <w:left w:val="single" w:sz="4"/>
            </w:tcBorders>
            <w:shd w:val="clear" w:color="auto" w:fill="D7D7D7"/>
            <w:vAlign w:val="top"/>
          </w:tcPr>
          <w:p>
            <w:pPr>
              <w:widowControl w:val="0"/>
              <w:rPr>
                <w:sz w:val="10"/>
                <w:szCs w:val="10"/>
              </w:rPr>
            </w:pPr>
          </w:p>
        </w:tc>
        <w:tc>
          <w:tcPr>
            <w:tcBorders>
              <w:top w:val="single" w:sz="4"/>
              <w:left w:val="single" w:sz="4"/>
              <w:right w:val="single" w:sz="4"/>
            </w:tcBorders>
            <w:shd w:val="clear" w:color="auto" w:fill="D7D7D7"/>
            <w:vAlign w:val="top"/>
          </w:tcPr>
          <w:p>
            <w:pPr>
              <w:widowControl w:val="0"/>
              <w:rPr>
                <w:sz w:val="10"/>
                <w:szCs w:val="10"/>
              </w:rPr>
            </w:pP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both"/>
            </w:pPr>
            <w:r>
              <w:rPr>
                <w:color w:val="000000"/>
                <w:spacing w:val="0"/>
                <w:w w:val="100"/>
                <w:position w:val="0"/>
              </w:rPr>
              <w:t>保险合同准备金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both"/>
            </w:pPr>
            <w:r>
              <w:rPr>
                <w:color w:val="000000"/>
                <w:spacing w:val="0"/>
                <w:w w:val="100"/>
                <w:position w:val="0"/>
              </w:rPr>
              <w:t>长期借款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80" w:right="0" w:firstLine="0"/>
              <w:jc w:val="both"/>
              <w:rPr>
                <w:sz w:val="18"/>
                <w:szCs w:val="18"/>
              </w:rPr>
            </w:pPr>
            <w:r>
              <w:rPr>
                <w:rFonts w:ascii="Times New Roman" w:eastAsia="Times New Roman" w:hAnsi="Times New Roman" w:cs="Times New Roman"/>
                <w:color w:val="000000"/>
                <w:spacing w:val="0"/>
                <w:w w:val="100"/>
                <w:position w:val="0"/>
                <w:sz w:val="18"/>
                <w:szCs w:val="18"/>
              </w:rPr>
              <w:t>32,558,391.67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80" w:right="0" w:firstLine="0"/>
              <w:jc w:val="both"/>
              <w:rPr>
                <w:sz w:val="18"/>
                <w:szCs w:val="18"/>
              </w:rPr>
            </w:pPr>
            <w:r>
              <w:rPr>
                <w:rFonts w:ascii="Times New Roman" w:eastAsia="Times New Roman" w:hAnsi="Times New Roman" w:cs="Times New Roman"/>
                <w:color w:val="000000"/>
                <w:spacing w:val="0"/>
                <w:w w:val="100"/>
                <w:position w:val="0"/>
                <w:sz w:val="18"/>
                <w:szCs w:val="18"/>
              </w:rPr>
              <w:t>32,558,391.67</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both"/>
            </w:pPr>
            <w:r>
              <w:rPr>
                <w:color w:val="000000"/>
                <w:spacing w:val="0"/>
                <w:w w:val="100"/>
                <w:position w:val="0"/>
              </w:rPr>
              <w:t>应付债券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560"/>
              <w:jc w:val="left"/>
            </w:pPr>
            <w:r>
              <w:rPr>
                <w:color w:val="000000"/>
                <w:spacing w:val="0"/>
                <w:w w:val="100"/>
                <w:position w:val="0"/>
              </w:rPr>
              <w:t>其中：优先股</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ectPr>
          <w:headerReference w:type="default" r:id="rId349"/>
          <w:footerReference w:type="default" r:id="rId350"/>
          <w:headerReference w:type="even" r:id="rId351"/>
          <w:footerReference w:type="even" r:id="rId352"/>
          <w:footnotePr>
            <w:pos w:val="pageBottom"/>
            <w:numFmt w:val="decimal"/>
            <w:numRestart w:val="continuous"/>
          </w:footnotePr>
          <w:pgSz w:w="11904" w:h="17375"/>
          <w:pgMar w:top="1674" w:right="1108" w:bottom="1766" w:left="1085" w:header="0" w:footer="3" w:gutter="0"/>
          <w:cols w:space="720"/>
          <w:noEndnote/>
          <w:rtlGutter w:val="0"/>
          <w:docGrid w:linePitch="360"/>
        </w:sectPr>
      </w:pPr>
    </w:p>
    <w:tbl>
      <w:tblPr>
        <w:tblOverlap w:val="never"/>
        <w:jc w:val="center"/>
        <w:tblLayout w:type="fixed"/>
      </w:tblPr>
      <w:tblGrid>
        <w:gridCol w:w="2213"/>
        <w:gridCol w:w="2453"/>
        <w:gridCol w:w="2453"/>
        <w:gridCol w:w="2462"/>
      </w:tblGrid>
      <w:tr>
        <w:trPr>
          <w:trHeight w:val="480"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1100" w:right="0" w:firstLine="0"/>
              <w:jc w:val="left"/>
            </w:pPr>
            <w:r>
              <w:rPr>
                <w:color w:val="000000"/>
                <w:spacing w:val="0"/>
                <w:w w:val="100"/>
                <w:position w:val="0"/>
              </w:rPr>
              <w:t>永续债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租赁负债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长期应付款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长期应付职工薪酬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预计负债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80" w:right="0" w:firstLine="0"/>
              <w:jc w:val="both"/>
              <w:rPr>
                <w:sz w:val="18"/>
                <w:szCs w:val="18"/>
              </w:rPr>
            </w:pPr>
            <w:r>
              <w:rPr>
                <w:rFonts w:ascii="Times New Roman" w:eastAsia="Times New Roman" w:hAnsi="Times New Roman" w:cs="Times New Roman"/>
                <w:color w:val="000000"/>
                <w:spacing w:val="0"/>
                <w:w w:val="100"/>
                <w:position w:val="0"/>
                <w:sz w:val="18"/>
                <w:szCs w:val="18"/>
              </w:rPr>
              <w:t>19,946,178.96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80" w:right="0" w:firstLine="0"/>
              <w:jc w:val="both"/>
              <w:rPr>
                <w:sz w:val="18"/>
                <w:szCs w:val="18"/>
              </w:rPr>
            </w:pPr>
            <w:r>
              <w:rPr>
                <w:rFonts w:ascii="Times New Roman" w:eastAsia="Times New Roman" w:hAnsi="Times New Roman" w:cs="Times New Roman"/>
                <w:color w:val="000000"/>
                <w:spacing w:val="0"/>
                <w:w w:val="100"/>
                <w:position w:val="0"/>
                <w:sz w:val="18"/>
                <w:szCs w:val="18"/>
              </w:rPr>
              <w:t>19,946,178.96</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递延收益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1,278,235.91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1,278,235.91</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递延所得税负债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517,383.48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517,383.48</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其他非流动负债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非流动负债合计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80" w:right="0" w:firstLine="0"/>
              <w:jc w:val="both"/>
              <w:rPr>
                <w:sz w:val="18"/>
                <w:szCs w:val="18"/>
              </w:rPr>
            </w:pPr>
            <w:r>
              <w:rPr>
                <w:rFonts w:ascii="Times New Roman" w:eastAsia="Times New Roman" w:hAnsi="Times New Roman" w:cs="Times New Roman"/>
                <w:color w:val="000000"/>
                <w:spacing w:val="0"/>
                <w:w w:val="100"/>
                <w:position w:val="0"/>
                <w:sz w:val="18"/>
                <w:szCs w:val="18"/>
              </w:rPr>
              <w:t>54,300,190.02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80" w:right="0" w:firstLine="0"/>
              <w:jc w:val="both"/>
              <w:rPr>
                <w:sz w:val="18"/>
                <w:szCs w:val="18"/>
              </w:rPr>
            </w:pPr>
            <w:r>
              <w:rPr>
                <w:rFonts w:ascii="Times New Roman" w:eastAsia="Times New Roman" w:hAnsi="Times New Roman" w:cs="Times New Roman"/>
                <w:color w:val="000000"/>
                <w:spacing w:val="0"/>
                <w:w w:val="100"/>
                <w:position w:val="0"/>
                <w:sz w:val="18"/>
                <w:szCs w:val="18"/>
              </w:rPr>
              <w:t>54,300,190.02</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负债合计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60" w:right="0" w:firstLine="0"/>
              <w:jc w:val="both"/>
              <w:rPr>
                <w:sz w:val="18"/>
                <w:szCs w:val="18"/>
              </w:rPr>
            </w:pPr>
            <w:r>
              <w:rPr>
                <w:rFonts w:ascii="Times New Roman" w:eastAsia="Times New Roman" w:hAnsi="Times New Roman" w:cs="Times New Roman"/>
                <w:color w:val="000000"/>
                <w:spacing w:val="0"/>
                <w:w w:val="100"/>
                <w:position w:val="0"/>
                <w:sz w:val="18"/>
                <w:szCs w:val="18"/>
              </w:rPr>
              <w:t>1,536,077,159.74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60" w:right="0" w:firstLine="0"/>
              <w:jc w:val="left"/>
              <w:rPr>
                <w:sz w:val="18"/>
                <w:szCs w:val="18"/>
              </w:rPr>
            </w:pPr>
            <w:r>
              <w:rPr>
                <w:rFonts w:ascii="Times New Roman" w:eastAsia="Times New Roman" w:hAnsi="Times New Roman" w:cs="Times New Roman"/>
                <w:color w:val="000000"/>
                <w:spacing w:val="0"/>
                <w:w w:val="100"/>
                <w:position w:val="0"/>
                <w:sz w:val="18"/>
                <w:szCs w:val="18"/>
              </w:rPr>
              <w:t>1,648,991,587.87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112,914,428.13</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所有者权益：</w:t>
            </w:r>
          </w:p>
        </w:tc>
        <w:tc>
          <w:tcPr>
            <w:tcBorders>
              <w:top w:val="single" w:sz="4"/>
              <w:left w:val="single" w:sz="4"/>
            </w:tcBorders>
            <w:shd w:val="clear" w:color="auto" w:fill="D7D7D7"/>
            <w:vAlign w:val="top"/>
          </w:tcPr>
          <w:p>
            <w:pPr>
              <w:widowControl w:val="0"/>
              <w:rPr>
                <w:sz w:val="10"/>
                <w:szCs w:val="10"/>
              </w:rPr>
            </w:pPr>
          </w:p>
        </w:tc>
        <w:tc>
          <w:tcPr>
            <w:tcBorders>
              <w:top w:val="single" w:sz="4"/>
              <w:left w:val="single" w:sz="4"/>
            </w:tcBorders>
            <w:shd w:val="clear" w:color="auto" w:fill="D7D7D7"/>
            <w:vAlign w:val="top"/>
          </w:tcPr>
          <w:p>
            <w:pPr>
              <w:widowControl w:val="0"/>
              <w:rPr>
                <w:sz w:val="10"/>
                <w:szCs w:val="10"/>
              </w:rPr>
            </w:pPr>
          </w:p>
        </w:tc>
        <w:tc>
          <w:tcPr>
            <w:tcBorders>
              <w:top w:val="single" w:sz="4"/>
              <w:left w:val="single" w:sz="4"/>
              <w:right w:val="single" w:sz="4"/>
            </w:tcBorders>
            <w:shd w:val="clear" w:color="auto" w:fill="D7D7D7"/>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股本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60" w:right="0" w:firstLine="0"/>
              <w:jc w:val="both"/>
              <w:rPr>
                <w:sz w:val="18"/>
                <w:szCs w:val="18"/>
              </w:rPr>
            </w:pPr>
            <w:r>
              <w:rPr>
                <w:rFonts w:ascii="Times New Roman" w:eastAsia="Times New Roman" w:hAnsi="Times New Roman" w:cs="Times New Roman"/>
                <w:color w:val="000000"/>
                <w:spacing w:val="0"/>
                <w:w w:val="100"/>
                <w:position w:val="0"/>
                <w:sz w:val="18"/>
                <w:szCs w:val="18"/>
              </w:rPr>
              <w:t>1,961,091,984.00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60" w:right="0" w:firstLine="0"/>
              <w:jc w:val="left"/>
              <w:rPr>
                <w:sz w:val="18"/>
                <w:szCs w:val="18"/>
              </w:rPr>
            </w:pPr>
            <w:r>
              <w:rPr>
                <w:rFonts w:ascii="Times New Roman" w:eastAsia="Times New Roman" w:hAnsi="Times New Roman" w:cs="Times New Roman"/>
                <w:color w:val="000000"/>
                <w:spacing w:val="0"/>
                <w:w w:val="100"/>
                <w:position w:val="0"/>
                <w:sz w:val="18"/>
                <w:szCs w:val="18"/>
              </w:rPr>
              <w:t>1,961,091,984.00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其他权益工具</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560"/>
              <w:jc w:val="left"/>
            </w:pPr>
            <w:r>
              <w:rPr>
                <w:color w:val="000000"/>
                <w:spacing w:val="0"/>
                <w:w w:val="100"/>
                <w:position w:val="0"/>
              </w:rPr>
              <w:t>其中：优先股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1100" w:right="0" w:firstLine="0"/>
              <w:jc w:val="left"/>
            </w:pPr>
            <w:r>
              <w:rPr>
                <w:color w:val="000000"/>
                <w:spacing w:val="0"/>
                <w:w w:val="100"/>
                <w:position w:val="0"/>
              </w:rPr>
              <w:t>永续债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资本公积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477,277,883.42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left"/>
              <w:rPr>
                <w:sz w:val="18"/>
                <w:szCs w:val="18"/>
              </w:rPr>
            </w:pPr>
            <w:r>
              <w:rPr>
                <w:rFonts w:ascii="Times New Roman" w:eastAsia="Times New Roman" w:hAnsi="Times New Roman" w:cs="Times New Roman"/>
                <w:color w:val="000000"/>
                <w:spacing w:val="0"/>
                <w:w w:val="100"/>
                <w:position w:val="0"/>
                <w:sz w:val="18"/>
                <w:szCs w:val="18"/>
              </w:rPr>
              <w:t>477,277,883.42</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减：库存股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其他综合收益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-19,806,836.31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-19,816,768.53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-9,932.22</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专项储备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盈余公积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240,601,619.97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left"/>
              <w:rPr>
                <w:sz w:val="18"/>
                <w:szCs w:val="18"/>
              </w:rPr>
            </w:pPr>
            <w:r>
              <w:rPr>
                <w:rFonts w:ascii="Times New Roman" w:eastAsia="Times New Roman" w:hAnsi="Times New Roman" w:cs="Times New Roman"/>
                <w:color w:val="000000"/>
                <w:spacing w:val="0"/>
                <w:w w:val="100"/>
                <w:position w:val="0"/>
                <w:sz w:val="18"/>
                <w:szCs w:val="18"/>
              </w:rPr>
              <w:t>240,601,619.97</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一般风险准备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未分配利润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60" w:right="0" w:firstLine="0"/>
              <w:jc w:val="both"/>
              <w:rPr>
                <w:sz w:val="18"/>
                <w:szCs w:val="18"/>
              </w:rPr>
            </w:pPr>
            <w:r>
              <w:rPr>
                <w:rFonts w:ascii="Times New Roman" w:eastAsia="Times New Roman" w:hAnsi="Times New Roman" w:cs="Times New Roman"/>
                <w:color w:val="000000"/>
                <w:spacing w:val="0"/>
                <w:w w:val="100"/>
                <w:position w:val="0"/>
                <w:sz w:val="18"/>
                <w:szCs w:val="18"/>
              </w:rPr>
              <w:t>1,063,910,046.52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left"/>
              <w:rPr>
                <w:sz w:val="18"/>
                <w:szCs w:val="18"/>
              </w:rPr>
            </w:pPr>
            <w:r>
              <w:rPr>
                <w:rFonts w:ascii="Times New Roman" w:eastAsia="Times New Roman" w:hAnsi="Times New Roman" w:cs="Times New Roman"/>
                <w:color w:val="000000"/>
                <w:spacing w:val="0"/>
                <w:w w:val="100"/>
                <w:position w:val="0"/>
                <w:sz w:val="18"/>
                <w:szCs w:val="18"/>
              </w:rPr>
              <w:t>921,632,354.44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40" w:right="0" w:firstLine="0"/>
              <w:jc w:val="both"/>
              <w:rPr>
                <w:sz w:val="18"/>
                <w:szCs w:val="18"/>
              </w:rPr>
            </w:pPr>
            <w:r>
              <w:rPr>
                <w:rFonts w:ascii="Times New Roman" w:eastAsia="Times New Roman" w:hAnsi="Times New Roman" w:cs="Times New Roman"/>
                <w:color w:val="000000"/>
                <w:spacing w:val="0"/>
                <w:w w:val="100"/>
                <w:position w:val="0"/>
                <w:sz w:val="18"/>
                <w:szCs w:val="18"/>
              </w:rPr>
              <w:t>-142,277,692.08</w:t>
            </w: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归属于母公司所有者权益 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60" w:right="0" w:firstLine="0"/>
              <w:jc w:val="both"/>
              <w:rPr>
                <w:sz w:val="18"/>
                <w:szCs w:val="18"/>
              </w:rPr>
            </w:pPr>
            <w:r>
              <w:rPr>
                <w:rFonts w:ascii="Times New Roman" w:eastAsia="Times New Roman" w:hAnsi="Times New Roman" w:cs="Times New Roman"/>
                <w:color w:val="000000"/>
                <w:spacing w:val="0"/>
                <w:w w:val="100"/>
                <w:position w:val="0"/>
                <w:sz w:val="18"/>
                <w:szCs w:val="18"/>
              </w:rPr>
              <w:t>3,723,074,697.60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60" w:right="0" w:firstLine="0"/>
              <w:jc w:val="left"/>
              <w:rPr>
                <w:sz w:val="18"/>
                <w:szCs w:val="18"/>
              </w:rPr>
            </w:pPr>
            <w:r>
              <w:rPr>
                <w:rFonts w:ascii="Times New Roman" w:eastAsia="Times New Roman" w:hAnsi="Times New Roman" w:cs="Times New Roman"/>
                <w:color w:val="000000"/>
                <w:spacing w:val="0"/>
                <w:w w:val="100"/>
                <w:position w:val="0"/>
                <w:sz w:val="18"/>
                <w:szCs w:val="18"/>
              </w:rPr>
              <w:t>3,580,787,073.30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40" w:right="0" w:firstLine="0"/>
              <w:jc w:val="both"/>
              <w:rPr>
                <w:sz w:val="18"/>
                <w:szCs w:val="18"/>
              </w:rPr>
            </w:pPr>
            <w:r>
              <w:rPr>
                <w:rFonts w:ascii="Times New Roman" w:eastAsia="Times New Roman" w:hAnsi="Times New Roman" w:cs="Times New Roman"/>
                <w:color w:val="000000"/>
                <w:spacing w:val="0"/>
                <w:w w:val="100"/>
                <w:position w:val="0"/>
                <w:sz w:val="18"/>
                <w:szCs w:val="18"/>
              </w:rPr>
              <w:t>-142,287,624.30</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少数股东权益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80" w:right="0" w:firstLine="0"/>
              <w:jc w:val="both"/>
              <w:rPr>
                <w:sz w:val="18"/>
                <w:szCs w:val="18"/>
              </w:rPr>
            </w:pPr>
            <w:r>
              <w:rPr>
                <w:rFonts w:ascii="Times New Roman" w:eastAsia="Times New Roman" w:hAnsi="Times New Roman" w:cs="Times New Roman"/>
                <w:color w:val="000000"/>
                <w:spacing w:val="0"/>
                <w:w w:val="100"/>
                <w:position w:val="0"/>
                <w:sz w:val="18"/>
                <w:szCs w:val="18"/>
              </w:rPr>
              <w:t>23,483,534.20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80" w:right="0" w:firstLine="0"/>
              <w:jc w:val="both"/>
              <w:rPr>
                <w:sz w:val="18"/>
                <w:szCs w:val="18"/>
              </w:rPr>
            </w:pPr>
            <w:r>
              <w:rPr>
                <w:rFonts w:ascii="Times New Roman" w:eastAsia="Times New Roman" w:hAnsi="Times New Roman" w:cs="Times New Roman"/>
                <w:color w:val="000000"/>
                <w:spacing w:val="0"/>
                <w:w w:val="100"/>
                <w:position w:val="0"/>
                <w:sz w:val="18"/>
                <w:szCs w:val="18"/>
              </w:rPr>
              <w:t>22,137,600.75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-1,345,933.45</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所有者权益合计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60" w:right="0" w:firstLine="0"/>
              <w:jc w:val="both"/>
              <w:rPr>
                <w:sz w:val="18"/>
                <w:szCs w:val="18"/>
              </w:rPr>
            </w:pPr>
            <w:r>
              <w:rPr>
                <w:rFonts w:ascii="Times New Roman" w:eastAsia="Times New Roman" w:hAnsi="Times New Roman" w:cs="Times New Roman"/>
                <w:color w:val="000000"/>
                <w:spacing w:val="0"/>
                <w:w w:val="100"/>
                <w:position w:val="0"/>
                <w:sz w:val="18"/>
                <w:szCs w:val="18"/>
              </w:rPr>
              <w:t>3,746,558,231.80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60" w:right="0" w:firstLine="0"/>
              <w:jc w:val="left"/>
              <w:rPr>
                <w:sz w:val="18"/>
                <w:szCs w:val="18"/>
              </w:rPr>
            </w:pPr>
            <w:r>
              <w:rPr>
                <w:rFonts w:ascii="Times New Roman" w:eastAsia="Times New Roman" w:hAnsi="Times New Roman" w:cs="Times New Roman"/>
                <w:color w:val="000000"/>
                <w:spacing w:val="0"/>
                <w:w w:val="100"/>
                <w:position w:val="0"/>
                <w:sz w:val="18"/>
                <w:szCs w:val="18"/>
              </w:rPr>
              <w:t>3,602,924,674.05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40" w:right="0" w:firstLine="0"/>
              <w:jc w:val="both"/>
              <w:rPr>
                <w:sz w:val="18"/>
                <w:szCs w:val="18"/>
              </w:rPr>
            </w:pPr>
            <w:r>
              <w:rPr>
                <w:rFonts w:ascii="Times New Roman" w:eastAsia="Times New Roman" w:hAnsi="Times New Roman" w:cs="Times New Roman"/>
                <w:color w:val="000000"/>
                <w:spacing w:val="0"/>
                <w:w w:val="100"/>
                <w:position w:val="0"/>
                <w:sz w:val="18"/>
                <w:szCs w:val="18"/>
              </w:rPr>
              <w:t>-143,633,557.75</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负债和所有者权益总计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60" w:right="0" w:firstLine="0"/>
              <w:jc w:val="both"/>
              <w:rPr>
                <w:sz w:val="18"/>
                <w:szCs w:val="18"/>
              </w:rPr>
            </w:pPr>
            <w:r>
              <w:rPr>
                <w:rFonts w:ascii="Times New Roman" w:eastAsia="Times New Roman" w:hAnsi="Times New Roman" w:cs="Times New Roman"/>
                <w:color w:val="000000"/>
                <w:spacing w:val="0"/>
                <w:w w:val="100"/>
                <w:position w:val="0"/>
                <w:sz w:val="18"/>
                <w:szCs w:val="18"/>
              </w:rPr>
              <w:t>5,282,635,391.54</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60" w:right="0" w:firstLine="0"/>
              <w:jc w:val="left"/>
              <w:rPr>
                <w:sz w:val="18"/>
                <w:szCs w:val="18"/>
              </w:rPr>
            </w:pPr>
            <w:r>
              <w:rPr>
                <w:rFonts w:ascii="Times New Roman" w:eastAsia="Times New Roman" w:hAnsi="Times New Roman" w:cs="Times New Roman"/>
                <w:color w:val="000000"/>
                <w:spacing w:val="0"/>
                <w:w w:val="100"/>
                <w:position w:val="0"/>
                <w:sz w:val="18"/>
                <w:szCs w:val="18"/>
              </w:rPr>
              <w:t>5,251,916,261.92</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-30,719,129.62</w:t>
            </w:r>
          </w:p>
        </w:tc>
      </w:tr>
    </w:tbl>
    <w:p>
      <w:pPr>
        <w:pStyle w:val="Style20"/>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各项目调整情况的说明:</w:t>
      </w:r>
    </w:p>
    <w:p>
      <w:pPr>
        <w:widowControl w:val="0"/>
        <w:spacing w:after="219" w:line="1" w:lineRule="exact"/>
      </w:pPr>
    </w:p>
    <w:p>
      <w:pPr>
        <w:pStyle w:val="Style41"/>
        <w:keepNext w:val="0"/>
        <w:keepLines w:val="0"/>
        <w:widowControl w:val="0"/>
        <w:shd w:val="clear" w:color="auto" w:fill="auto"/>
        <w:bidi w:val="0"/>
        <w:spacing w:before="0" w:after="260" w:line="240" w:lineRule="auto"/>
        <w:ind w:left="0" w:right="0" w:firstLine="360"/>
        <w:jc w:val="left"/>
      </w:pPr>
      <w:r>
        <w:rPr>
          <w:color w:val="000000"/>
          <w:spacing w:val="0"/>
          <w:w w:val="100"/>
          <w:position w:val="0"/>
        </w:rPr>
        <w:t>财政部于</w:t>
      </w:r>
      <w:r>
        <w:rPr>
          <w:rFonts w:ascii="Times New Roman" w:eastAsia="Times New Roman" w:hAnsi="Times New Roman" w:cs="Times New Roman"/>
          <w:color w:val="000000"/>
          <w:spacing w:val="0"/>
          <w:w w:val="100"/>
          <w:position w:val="0"/>
          <w:sz w:val="18"/>
          <w:szCs w:val="18"/>
        </w:rPr>
        <w:t>2017</w:t>
      </w:r>
      <w:r>
        <w:rPr>
          <w:color w:val="000000"/>
          <w:spacing w:val="0"/>
          <w:w w:val="100"/>
          <w:position w:val="0"/>
        </w:rPr>
        <w:t>年颁布修订了《企业会计准则第</w:t>
      </w:r>
      <w:r>
        <w:rPr>
          <w:rFonts w:ascii="Times New Roman" w:eastAsia="Times New Roman" w:hAnsi="Times New Roman" w:cs="Times New Roman"/>
          <w:color w:val="000000"/>
          <w:spacing w:val="0"/>
          <w:w w:val="100"/>
          <w:position w:val="0"/>
          <w:sz w:val="18"/>
          <w:szCs w:val="18"/>
        </w:rPr>
        <w:t>14</w:t>
      </w:r>
      <w:r>
        <w:rPr>
          <w:color w:val="000000"/>
          <w:spacing w:val="0"/>
          <w:w w:val="100"/>
          <w:position w:val="0"/>
        </w:rPr>
        <w:t>号</w:t>
      </w:r>
      <w:r>
        <w:rPr>
          <w:color w:val="000000"/>
          <w:spacing w:val="0"/>
          <w:w w:val="100"/>
          <w:position w:val="0"/>
          <w:sz w:val="18"/>
          <w:szCs w:val="18"/>
        </w:rPr>
        <w:t>一</w:t>
      </w:r>
      <w:r>
        <w:rPr>
          <w:color w:val="000000"/>
          <w:spacing w:val="0"/>
          <w:w w:val="100"/>
          <w:position w:val="0"/>
        </w:rPr>
        <w:t>收入》（财会</w:t>
      </w:r>
      <w:r>
        <w:rPr>
          <w:rFonts w:ascii="Times New Roman" w:eastAsia="Times New Roman" w:hAnsi="Times New Roman" w:cs="Times New Roman"/>
          <w:color w:val="000000"/>
          <w:spacing w:val="0"/>
          <w:w w:val="100"/>
          <w:position w:val="0"/>
          <w:sz w:val="18"/>
          <w:szCs w:val="18"/>
        </w:rPr>
        <w:t>[2017]22</w:t>
      </w:r>
      <w:r>
        <w:rPr>
          <w:color w:val="000000"/>
          <w:spacing w:val="0"/>
          <w:w w:val="100"/>
          <w:position w:val="0"/>
        </w:rPr>
        <w:t>号），公司于</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日起</w:t>
      </w:r>
    </w:p>
    <w:p>
      <w:pPr>
        <w:pStyle w:val="Style41"/>
        <w:keepNext w:val="0"/>
        <w:keepLines w:val="0"/>
        <w:widowControl w:val="0"/>
        <w:shd w:val="clear" w:color="auto" w:fill="auto"/>
        <w:bidi w:val="0"/>
        <w:spacing w:before="0" w:after="260" w:line="240" w:lineRule="auto"/>
        <w:ind w:left="0" w:right="0" w:firstLine="0"/>
        <w:jc w:val="left"/>
      </w:pPr>
      <w:r>
        <w:rPr>
          <w:color w:val="000000"/>
          <w:spacing w:val="0"/>
          <w:w w:val="100"/>
          <w:position w:val="0"/>
        </w:rPr>
        <w:t>执行上述新收入准则。根据衔接规定，首次执行本准则的企业，应当根据首次执行本准则的累积影响数，调整首次执行本准</w:t>
      </w:r>
    </w:p>
    <w:p>
      <w:pPr>
        <w:pStyle w:val="Style41"/>
        <w:keepNext w:val="0"/>
        <w:keepLines w:val="0"/>
        <w:widowControl w:val="0"/>
        <w:shd w:val="clear" w:color="auto" w:fill="auto"/>
        <w:bidi w:val="0"/>
        <w:spacing w:before="0" w:after="540" w:line="240" w:lineRule="auto"/>
        <w:ind w:left="0" w:right="0" w:firstLine="0"/>
        <w:jc w:val="left"/>
      </w:pPr>
      <w:r>
        <w:rPr>
          <w:color w:val="000000"/>
          <w:spacing w:val="0"/>
          <w:w w:val="100"/>
          <w:position w:val="0"/>
        </w:rPr>
        <w:t>则当年年初留存收益及财务报表其他相关项目金额，对可比期间信息不予调整。</w:t>
      </w:r>
    </w:p>
    <w:p>
      <w:pPr>
        <w:pStyle w:val="Style41"/>
        <w:keepNext w:val="0"/>
        <w:keepLines w:val="0"/>
        <w:widowControl w:val="0"/>
        <w:shd w:val="clear" w:color="auto" w:fill="auto"/>
        <w:bidi w:val="0"/>
        <w:spacing w:before="0" w:after="140" w:line="240" w:lineRule="auto"/>
        <w:ind w:left="0" w:right="0" w:firstLine="0"/>
        <w:jc w:val="left"/>
      </w:pPr>
      <w:r>
        <w:rPr>
          <w:color w:val="000000"/>
          <w:spacing w:val="0"/>
          <w:w w:val="100"/>
          <w:position w:val="0"/>
        </w:rPr>
        <w:t>母公司资产负债表</w:t>
      </w:r>
    </w:p>
    <w:p>
      <w:pPr>
        <w:pStyle w:val="Style41"/>
        <w:keepNext w:val="0"/>
        <w:keepLines w:val="0"/>
        <w:widowControl w:val="0"/>
        <w:shd w:val="clear" w:color="auto" w:fill="auto"/>
        <w:bidi w:val="0"/>
        <w:spacing w:before="0" w:after="260" w:line="240" w:lineRule="auto"/>
        <w:ind w:left="0" w:right="0" w:firstLine="0"/>
        <w:jc w:val="right"/>
      </w:pPr>
      <w:r>
        <w:rPr>
          <w:color w:val="000000"/>
          <w:spacing w:val="0"/>
          <w:w w:val="100"/>
          <w:position w:val="0"/>
        </w:rPr>
        <w:t>单位：元</w:t>
      </w:r>
      <w:r>
        <w:br w:type="page"/>
      </w:r>
    </w:p>
    <w:tbl>
      <w:tblPr>
        <w:tblOverlap w:val="never"/>
        <w:jc w:val="center"/>
        <w:tblLayout w:type="fixed"/>
      </w:tblPr>
      <w:tblGrid>
        <w:gridCol w:w="2213"/>
        <w:gridCol w:w="2453"/>
        <w:gridCol w:w="2453"/>
        <w:gridCol w:w="2462"/>
      </w:tblGrid>
      <w:tr>
        <w:trPr>
          <w:trHeight w:val="480"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920"/>
              <w:jc w:val="left"/>
            </w:pPr>
            <w:r>
              <w:rPr>
                <w:color w:val="000000"/>
                <w:spacing w:val="0"/>
                <w:w w:val="100"/>
                <w:position w:val="0"/>
              </w:rPr>
              <w:t>项目</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sz w:val="18"/>
                <w:szCs w:val="18"/>
              </w:rPr>
              <w:t>2019</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日</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01</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01</w:t>
            </w:r>
            <w:r>
              <w:rPr>
                <w:color w:val="000000"/>
                <w:spacing w:val="0"/>
                <w:w w:val="100"/>
                <w:position w:val="0"/>
              </w:rPr>
              <w:t>日</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调整数</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流动资产：</w:t>
            </w:r>
          </w:p>
        </w:tc>
        <w:tc>
          <w:tcPr>
            <w:tcBorders>
              <w:top w:val="single" w:sz="4"/>
              <w:left w:val="single" w:sz="4"/>
            </w:tcBorders>
            <w:shd w:val="clear" w:color="auto" w:fill="D7D7D7"/>
            <w:vAlign w:val="top"/>
          </w:tcPr>
          <w:p>
            <w:pPr>
              <w:widowControl w:val="0"/>
              <w:rPr>
                <w:sz w:val="10"/>
                <w:szCs w:val="10"/>
              </w:rPr>
            </w:pPr>
          </w:p>
        </w:tc>
        <w:tc>
          <w:tcPr>
            <w:tcBorders>
              <w:top w:val="single" w:sz="4"/>
              <w:left w:val="single" w:sz="4"/>
            </w:tcBorders>
            <w:shd w:val="clear" w:color="auto" w:fill="D7D7D7"/>
            <w:vAlign w:val="top"/>
          </w:tcPr>
          <w:p>
            <w:pPr>
              <w:widowControl w:val="0"/>
              <w:rPr>
                <w:sz w:val="10"/>
                <w:szCs w:val="10"/>
              </w:rPr>
            </w:pPr>
          </w:p>
        </w:tc>
        <w:tc>
          <w:tcPr>
            <w:tcBorders>
              <w:top w:val="single" w:sz="4"/>
              <w:left w:val="single" w:sz="4"/>
              <w:right w:val="single" w:sz="4"/>
            </w:tcBorders>
            <w:shd w:val="clear" w:color="auto" w:fill="D7D7D7"/>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both"/>
            </w:pPr>
            <w:r>
              <w:rPr>
                <w:color w:val="000000"/>
                <w:spacing w:val="0"/>
                <w:w w:val="100"/>
                <w:position w:val="0"/>
              </w:rPr>
              <w:t>货币资金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352,648,033.47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352,648,033.47</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both"/>
            </w:pPr>
            <w:r>
              <w:rPr>
                <w:color w:val="000000"/>
                <w:spacing w:val="0"/>
                <w:w w:val="100"/>
                <w:position w:val="0"/>
              </w:rPr>
              <w:t>交易性金融资产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both"/>
            </w:pPr>
            <w:r>
              <w:rPr>
                <w:color w:val="000000"/>
                <w:spacing w:val="0"/>
                <w:w w:val="100"/>
                <w:position w:val="0"/>
              </w:rPr>
              <w:t>衍生金融资产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both"/>
            </w:pPr>
            <w:r>
              <w:rPr>
                <w:color w:val="000000"/>
                <w:spacing w:val="0"/>
                <w:w w:val="100"/>
                <w:position w:val="0"/>
              </w:rPr>
              <w:t>应收票据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3,877,151.40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3,877,151.40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both"/>
            </w:pPr>
            <w:r>
              <w:rPr>
                <w:color w:val="000000"/>
                <w:spacing w:val="0"/>
                <w:w w:val="100"/>
                <w:position w:val="0"/>
              </w:rPr>
              <w:t>应收账款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359,007,463.47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301,076,448.80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-57,931,014.67</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应收款项融资</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13,520,394.13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13,520,394.13</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预付款项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20,368,105.24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20,368,105.24</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其他应收款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702,928,706.77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702,928,706.77</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560"/>
              <w:jc w:val="left"/>
            </w:pPr>
            <w:r>
              <w:rPr>
                <w:color w:val="000000"/>
                <w:spacing w:val="0"/>
                <w:w w:val="100"/>
                <w:position w:val="0"/>
              </w:rPr>
              <w:t>其中：应收利息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1100" w:right="0" w:firstLine="0"/>
              <w:jc w:val="left"/>
            </w:pPr>
            <w:r>
              <w:rPr>
                <w:color w:val="000000"/>
                <w:spacing w:val="0"/>
                <w:w w:val="100"/>
                <w:position w:val="0"/>
              </w:rPr>
              <w:t>应收股利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both"/>
            </w:pPr>
            <w:r>
              <w:rPr>
                <w:color w:val="000000"/>
                <w:spacing w:val="0"/>
                <w:w w:val="100"/>
                <w:position w:val="0"/>
              </w:rPr>
              <w:t>存货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121,485,225.22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168,693,057.67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47,207,832.45</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both"/>
            </w:pPr>
            <w:r>
              <w:rPr>
                <w:color w:val="000000"/>
                <w:spacing w:val="0"/>
                <w:w w:val="100"/>
                <w:position w:val="0"/>
              </w:rPr>
              <w:t>合同资产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持有待售资产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120" w:line="240" w:lineRule="auto"/>
              <w:ind w:left="0" w:right="0"/>
              <w:jc w:val="left"/>
            </w:pPr>
            <w:r>
              <w:rPr>
                <w:color w:val="000000"/>
                <w:spacing w:val="0"/>
                <w:w w:val="100"/>
                <w:position w:val="0"/>
              </w:rPr>
              <w:t>一年内到期的非流动</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其他流动资产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61,822.85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61,822.85</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流动资产合计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1,573,896,902.55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1,563,173,720.33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-10,723,182.22</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非流动资产：</w:t>
            </w:r>
          </w:p>
        </w:tc>
        <w:tc>
          <w:tcPr>
            <w:tcBorders>
              <w:top w:val="single" w:sz="4"/>
              <w:left w:val="single" w:sz="4"/>
            </w:tcBorders>
            <w:shd w:val="clear" w:color="auto" w:fill="D7D7D7"/>
            <w:vAlign w:val="top"/>
          </w:tcPr>
          <w:p>
            <w:pPr>
              <w:widowControl w:val="0"/>
              <w:rPr>
                <w:sz w:val="10"/>
                <w:szCs w:val="10"/>
              </w:rPr>
            </w:pPr>
          </w:p>
        </w:tc>
        <w:tc>
          <w:tcPr>
            <w:tcBorders>
              <w:top w:val="single" w:sz="4"/>
              <w:left w:val="single" w:sz="4"/>
            </w:tcBorders>
            <w:shd w:val="clear" w:color="auto" w:fill="D7D7D7"/>
            <w:vAlign w:val="top"/>
          </w:tcPr>
          <w:p>
            <w:pPr>
              <w:widowControl w:val="0"/>
              <w:rPr>
                <w:sz w:val="10"/>
                <w:szCs w:val="10"/>
              </w:rPr>
            </w:pPr>
          </w:p>
        </w:tc>
        <w:tc>
          <w:tcPr>
            <w:tcBorders>
              <w:top w:val="single" w:sz="4"/>
              <w:left w:val="single" w:sz="4"/>
              <w:right w:val="single" w:sz="4"/>
            </w:tcBorders>
            <w:shd w:val="clear" w:color="auto" w:fill="D7D7D7"/>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both"/>
            </w:pPr>
            <w:r>
              <w:rPr>
                <w:color w:val="000000"/>
                <w:spacing w:val="0"/>
                <w:w w:val="100"/>
                <w:position w:val="0"/>
              </w:rPr>
              <w:t>债权投资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both"/>
            </w:pPr>
            <w:r>
              <w:rPr>
                <w:color w:val="000000"/>
                <w:spacing w:val="0"/>
                <w:w w:val="100"/>
                <w:position w:val="0"/>
              </w:rPr>
              <w:t>其他债权投资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both"/>
            </w:pPr>
            <w:r>
              <w:rPr>
                <w:color w:val="000000"/>
                <w:spacing w:val="0"/>
                <w:w w:val="100"/>
                <w:position w:val="0"/>
              </w:rPr>
              <w:t>长期应收款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both"/>
            </w:pPr>
            <w:r>
              <w:rPr>
                <w:color w:val="000000"/>
                <w:spacing w:val="0"/>
                <w:w w:val="100"/>
                <w:position w:val="0"/>
              </w:rPr>
              <w:t>长期股权投资</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3,152,741,649.32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3,152,741,649.32</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both"/>
            </w:pPr>
            <w:r>
              <w:rPr>
                <w:color w:val="000000"/>
                <w:spacing w:val="0"/>
                <w:w w:val="100"/>
                <w:position w:val="0"/>
              </w:rPr>
              <w:t>其他权益工具投资</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1,792,264.49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1,792,264.49</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both"/>
            </w:pPr>
            <w:r>
              <w:rPr>
                <w:color w:val="000000"/>
                <w:spacing w:val="0"/>
                <w:w w:val="100"/>
                <w:position w:val="0"/>
              </w:rPr>
              <w:t>其他非流动金融资产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176,542,160.12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176,542,160.12</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both"/>
            </w:pPr>
            <w:r>
              <w:rPr>
                <w:color w:val="000000"/>
                <w:spacing w:val="0"/>
                <w:w w:val="100"/>
                <w:position w:val="0"/>
              </w:rPr>
              <w:t>投资性房地产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151,817,643.32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151,817,643.32</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both"/>
            </w:pPr>
            <w:r>
              <w:rPr>
                <w:color w:val="000000"/>
                <w:spacing w:val="0"/>
                <w:w w:val="100"/>
                <w:position w:val="0"/>
              </w:rPr>
              <w:t>固定资产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199,999,322.42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199,999,322.42</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both"/>
            </w:pPr>
            <w:r>
              <w:rPr>
                <w:color w:val="000000"/>
                <w:spacing w:val="0"/>
                <w:w w:val="100"/>
                <w:position w:val="0"/>
              </w:rPr>
              <w:t>在建工程</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both"/>
            </w:pPr>
            <w:r>
              <w:rPr>
                <w:color w:val="000000"/>
                <w:spacing w:val="0"/>
                <w:w w:val="100"/>
                <w:position w:val="0"/>
              </w:rPr>
              <w:t>生产性生物资产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both"/>
            </w:pPr>
            <w:r>
              <w:rPr>
                <w:color w:val="000000"/>
                <w:spacing w:val="0"/>
                <w:w w:val="100"/>
                <w:position w:val="0"/>
              </w:rPr>
              <w:t>油气资产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both"/>
            </w:pPr>
            <w:r>
              <w:rPr>
                <w:color w:val="000000"/>
                <w:spacing w:val="0"/>
                <w:w w:val="100"/>
                <w:position w:val="0"/>
              </w:rPr>
              <w:t>使用权资产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both"/>
            </w:pPr>
            <w:r>
              <w:rPr>
                <w:color w:val="000000"/>
                <w:spacing w:val="0"/>
                <w:w w:val="100"/>
                <w:position w:val="0"/>
              </w:rPr>
              <w:t>无形资产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154,517,392.48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154,517,392.48</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both"/>
            </w:pPr>
            <w:r>
              <w:rPr>
                <w:color w:val="000000"/>
                <w:spacing w:val="0"/>
                <w:w w:val="100"/>
                <w:position w:val="0"/>
              </w:rPr>
              <w:t>开发支出</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15,470,500.00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15,470,500.00</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2213"/>
        <w:gridCol w:w="2453"/>
        <w:gridCol w:w="2453"/>
        <w:gridCol w:w="2462"/>
      </w:tblGrid>
      <w:tr>
        <w:trPr>
          <w:trHeight w:val="480"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商誉</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长期待摊费用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递延所得税资产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20,889,358.11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20,008,149.94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-881,208.17</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其他非流动资产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非流动资产合计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3,873,770,290.26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3,872,889,082.09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-881,208.17</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资产总计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5,447,667,192.81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5,436,062,802.42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-11,604,390.39</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流动负债：</w:t>
            </w:r>
          </w:p>
        </w:tc>
        <w:tc>
          <w:tcPr>
            <w:tcBorders>
              <w:top w:val="single" w:sz="4"/>
              <w:left w:val="single" w:sz="4"/>
            </w:tcBorders>
            <w:shd w:val="clear" w:color="auto" w:fill="D7D7D7"/>
            <w:vAlign w:val="top"/>
          </w:tcPr>
          <w:p>
            <w:pPr>
              <w:widowControl w:val="0"/>
              <w:rPr>
                <w:sz w:val="10"/>
                <w:szCs w:val="10"/>
              </w:rPr>
            </w:pPr>
          </w:p>
        </w:tc>
        <w:tc>
          <w:tcPr>
            <w:tcBorders>
              <w:top w:val="single" w:sz="4"/>
              <w:left w:val="single" w:sz="4"/>
            </w:tcBorders>
            <w:shd w:val="clear" w:color="auto" w:fill="D7D7D7"/>
            <w:vAlign w:val="top"/>
          </w:tcPr>
          <w:p>
            <w:pPr>
              <w:widowControl w:val="0"/>
              <w:rPr>
                <w:sz w:val="10"/>
                <w:szCs w:val="10"/>
              </w:rPr>
            </w:pPr>
          </w:p>
        </w:tc>
        <w:tc>
          <w:tcPr>
            <w:tcBorders>
              <w:top w:val="single" w:sz="4"/>
              <w:left w:val="single" w:sz="4"/>
              <w:right w:val="single" w:sz="4"/>
            </w:tcBorders>
            <w:shd w:val="clear" w:color="auto" w:fill="D7D7D7"/>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both"/>
            </w:pPr>
            <w:r>
              <w:rPr>
                <w:color w:val="000000"/>
                <w:spacing w:val="0"/>
                <w:w w:val="100"/>
                <w:position w:val="0"/>
              </w:rPr>
              <w:t>短期借款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703,900,158.38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703,900,158.38</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both"/>
            </w:pPr>
            <w:r>
              <w:rPr>
                <w:color w:val="000000"/>
                <w:spacing w:val="0"/>
                <w:w w:val="100"/>
                <w:position w:val="0"/>
              </w:rPr>
              <w:t>交易性金融负债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both"/>
            </w:pPr>
            <w:r>
              <w:rPr>
                <w:color w:val="000000"/>
                <w:spacing w:val="0"/>
                <w:w w:val="100"/>
                <w:position w:val="0"/>
              </w:rPr>
              <w:t>衍生金融负债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both"/>
            </w:pPr>
            <w:r>
              <w:rPr>
                <w:color w:val="000000"/>
                <w:spacing w:val="0"/>
                <w:w w:val="100"/>
                <w:position w:val="0"/>
              </w:rPr>
              <w:t>应付票据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35,412,228.02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35,412,228.02</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both"/>
            </w:pPr>
            <w:r>
              <w:rPr>
                <w:color w:val="000000"/>
                <w:spacing w:val="0"/>
                <w:w w:val="100"/>
                <w:position w:val="0"/>
              </w:rPr>
              <w:t>应付账款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149,536,207.76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149,536,207.76</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both"/>
            </w:pPr>
            <w:r>
              <w:rPr>
                <w:color w:val="000000"/>
                <w:spacing w:val="0"/>
                <w:w w:val="100"/>
                <w:position w:val="0"/>
              </w:rPr>
              <w:t>预收款项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88,481,731.26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1,628,949.90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-86,852,781.36</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both"/>
            </w:pPr>
            <w:r>
              <w:rPr>
                <w:color w:val="000000"/>
                <w:spacing w:val="0"/>
                <w:w w:val="100"/>
                <w:position w:val="0"/>
              </w:rPr>
              <w:t>合同负债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164,303,977.26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164,303,977.26</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应付职工薪酬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59,360,852.17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59,360,852.17</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应交税费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12,185,178.98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15,994,463.22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3,809,284.24</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其他应付款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1,433,852,370.41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1,433,852,370.41</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560"/>
              <w:jc w:val="left"/>
            </w:pPr>
            <w:r>
              <w:rPr>
                <w:color w:val="000000"/>
                <w:spacing w:val="0"/>
                <w:w w:val="100"/>
                <w:position w:val="0"/>
              </w:rPr>
              <w:t>其中：应付利息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1100" w:right="0" w:firstLine="0"/>
              <w:jc w:val="left"/>
            </w:pPr>
            <w:r>
              <w:rPr>
                <w:color w:val="000000"/>
                <w:spacing w:val="0"/>
                <w:w w:val="100"/>
                <w:position w:val="0"/>
              </w:rPr>
              <w:t>应付股利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持有待售负债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jc w:val="left"/>
            </w:pPr>
            <w:r>
              <w:rPr>
                <w:color w:val="000000"/>
                <w:spacing w:val="0"/>
                <w:w w:val="100"/>
                <w:position w:val="0"/>
              </w:rPr>
              <w:t>一年内到期的非流动 负债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30,053,900.00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30,053,900.00</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其他流动负债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流动负债合计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2,512,782,626.98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2,594,043,107.12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81,260,480.14</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非流动负债：</w:t>
            </w:r>
          </w:p>
        </w:tc>
        <w:tc>
          <w:tcPr>
            <w:tcBorders>
              <w:top w:val="single" w:sz="4"/>
              <w:left w:val="single" w:sz="4"/>
            </w:tcBorders>
            <w:shd w:val="clear" w:color="auto" w:fill="D7D7D7"/>
            <w:vAlign w:val="top"/>
          </w:tcPr>
          <w:p>
            <w:pPr>
              <w:widowControl w:val="0"/>
              <w:rPr>
                <w:sz w:val="10"/>
                <w:szCs w:val="10"/>
              </w:rPr>
            </w:pPr>
          </w:p>
        </w:tc>
        <w:tc>
          <w:tcPr>
            <w:tcBorders>
              <w:top w:val="single" w:sz="4"/>
              <w:left w:val="single" w:sz="4"/>
            </w:tcBorders>
            <w:shd w:val="clear" w:color="auto" w:fill="D7D7D7"/>
            <w:vAlign w:val="top"/>
          </w:tcPr>
          <w:p>
            <w:pPr>
              <w:widowControl w:val="0"/>
              <w:rPr>
                <w:sz w:val="10"/>
                <w:szCs w:val="10"/>
              </w:rPr>
            </w:pPr>
          </w:p>
        </w:tc>
        <w:tc>
          <w:tcPr>
            <w:tcBorders>
              <w:top w:val="single" w:sz="4"/>
              <w:left w:val="single" w:sz="4"/>
              <w:right w:val="single" w:sz="4"/>
            </w:tcBorders>
            <w:shd w:val="clear" w:color="auto" w:fill="D7D7D7"/>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both"/>
            </w:pPr>
            <w:r>
              <w:rPr>
                <w:color w:val="000000"/>
                <w:spacing w:val="0"/>
                <w:w w:val="100"/>
                <w:position w:val="0"/>
              </w:rPr>
              <w:t>长期借款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32,558,391.67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32,558,391.67</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both"/>
            </w:pPr>
            <w:r>
              <w:rPr>
                <w:color w:val="000000"/>
                <w:spacing w:val="0"/>
                <w:w w:val="100"/>
                <w:position w:val="0"/>
              </w:rPr>
              <w:t>应付债券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560"/>
              <w:jc w:val="left"/>
            </w:pPr>
            <w:r>
              <w:rPr>
                <w:color w:val="000000"/>
                <w:spacing w:val="0"/>
                <w:w w:val="100"/>
                <w:position w:val="0"/>
              </w:rPr>
              <w:t>其中：优先股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1100" w:right="0" w:firstLine="0"/>
              <w:jc w:val="left"/>
            </w:pPr>
            <w:r>
              <w:rPr>
                <w:color w:val="000000"/>
                <w:spacing w:val="0"/>
                <w:w w:val="100"/>
                <w:position w:val="0"/>
              </w:rPr>
              <w:t>永续债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both"/>
            </w:pPr>
            <w:r>
              <w:rPr>
                <w:color w:val="000000"/>
                <w:spacing w:val="0"/>
                <w:w w:val="100"/>
                <w:position w:val="0"/>
              </w:rPr>
              <w:t>租赁负债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both"/>
            </w:pPr>
            <w:r>
              <w:rPr>
                <w:color w:val="000000"/>
                <w:spacing w:val="0"/>
                <w:w w:val="100"/>
                <w:position w:val="0"/>
              </w:rPr>
              <w:t>长期应付款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both"/>
            </w:pPr>
            <w:r>
              <w:rPr>
                <w:color w:val="000000"/>
                <w:spacing w:val="0"/>
                <w:w w:val="100"/>
                <w:position w:val="0"/>
              </w:rPr>
              <w:t>长期应付职工薪酬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both"/>
            </w:pPr>
            <w:r>
              <w:rPr>
                <w:color w:val="000000"/>
                <w:spacing w:val="0"/>
                <w:w w:val="100"/>
                <w:position w:val="0"/>
              </w:rPr>
              <w:t>预计负债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11,026,135.70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11,026,135.70</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both"/>
            </w:pPr>
            <w:r>
              <w:rPr>
                <w:color w:val="000000"/>
                <w:spacing w:val="0"/>
                <w:w w:val="100"/>
                <w:position w:val="0"/>
              </w:rPr>
              <w:t>递延收益</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111,569.35</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111,569.35</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ectPr>
          <w:headerReference w:type="default" r:id="rId353"/>
          <w:footerReference w:type="default" r:id="rId354"/>
          <w:headerReference w:type="even" r:id="rId355"/>
          <w:footerReference w:type="even" r:id="rId356"/>
          <w:headerReference w:type="first" r:id="rId357"/>
          <w:footerReference w:type="first" r:id="rId358"/>
          <w:footnotePr>
            <w:pos w:val="pageBottom"/>
            <w:numFmt w:val="decimal"/>
            <w:numRestart w:val="continuous"/>
          </w:footnotePr>
          <w:pgSz w:w="11904" w:h="17375"/>
          <w:pgMar w:top="1674" w:right="1108" w:bottom="1766" w:left="1085" w:header="0" w:footer="3" w:gutter="0"/>
          <w:cols w:space="720"/>
          <w:noEndnote/>
          <w:titlePg/>
          <w:rtlGutter w:val="0"/>
          <w:docGrid w:linePitch="360"/>
        </w:sectPr>
      </w:pPr>
    </w:p>
    <w:tbl>
      <w:tblPr>
        <w:tblOverlap w:val="never"/>
        <w:jc w:val="center"/>
        <w:tblLayout w:type="fixed"/>
      </w:tblPr>
      <w:tblGrid>
        <w:gridCol w:w="2213"/>
        <w:gridCol w:w="2453"/>
        <w:gridCol w:w="2453"/>
        <w:gridCol w:w="2462"/>
      </w:tblGrid>
      <w:tr>
        <w:trPr>
          <w:trHeight w:val="480"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递延所得税负债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其他非流动负债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非流动负债合计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43,696,096.72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43,696,096.72</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负债合计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60" w:right="0" w:firstLine="0"/>
              <w:jc w:val="left"/>
              <w:rPr>
                <w:sz w:val="18"/>
                <w:szCs w:val="18"/>
              </w:rPr>
            </w:pPr>
            <w:r>
              <w:rPr>
                <w:rFonts w:ascii="Times New Roman" w:eastAsia="Times New Roman" w:hAnsi="Times New Roman" w:cs="Times New Roman"/>
                <w:color w:val="000000"/>
                <w:spacing w:val="0"/>
                <w:w w:val="100"/>
                <w:position w:val="0"/>
                <w:sz w:val="18"/>
                <w:szCs w:val="18"/>
              </w:rPr>
              <w:t>2,556,478,723.70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60" w:right="0" w:firstLine="0"/>
              <w:jc w:val="left"/>
              <w:rPr>
                <w:sz w:val="18"/>
                <w:szCs w:val="18"/>
              </w:rPr>
            </w:pPr>
            <w:r>
              <w:rPr>
                <w:rFonts w:ascii="Times New Roman" w:eastAsia="Times New Roman" w:hAnsi="Times New Roman" w:cs="Times New Roman"/>
                <w:color w:val="000000"/>
                <w:spacing w:val="0"/>
                <w:w w:val="100"/>
                <w:position w:val="0"/>
                <w:sz w:val="18"/>
                <w:szCs w:val="18"/>
              </w:rPr>
              <w:t>2,637,739,203.84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81,260,480.14</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所有者权益：</w:t>
            </w:r>
          </w:p>
        </w:tc>
        <w:tc>
          <w:tcPr>
            <w:tcBorders>
              <w:top w:val="single" w:sz="4"/>
              <w:left w:val="single" w:sz="4"/>
            </w:tcBorders>
            <w:shd w:val="clear" w:color="auto" w:fill="D7D7D7"/>
            <w:vAlign w:val="top"/>
          </w:tcPr>
          <w:p>
            <w:pPr>
              <w:widowControl w:val="0"/>
              <w:rPr>
                <w:sz w:val="10"/>
                <w:szCs w:val="10"/>
              </w:rPr>
            </w:pPr>
          </w:p>
        </w:tc>
        <w:tc>
          <w:tcPr>
            <w:tcBorders>
              <w:top w:val="single" w:sz="4"/>
              <w:left w:val="single" w:sz="4"/>
            </w:tcBorders>
            <w:shd w:val="clear" w:color="auto" w:fill="D7D7D7"/>
            <w:vAlign w:val="top"/>
          </w:tcPr>
          <w:p>
            <w:pPr>
              <w:widowControl w:val="0"/>
              <w:rPr>
                <w:sz w:val="10"/>
                <w:szCs w:val="10"/>
              </w:rPr>
            </w:pPr>
          </w:p>
        </w:tc>
        <w:tc>
          <w:tcPr>
            <w:tcBorders>
              <w:top w:val="single" w:sz="4"/>
              <w:left w:val="single" w:sz="4"/>
              <w:right w:val="single" w:sz="4"/>
            </w:tcBorders>
            <w:shd w:val="clear" w:color="auto" w:fill="D7D7D7"/>
            <w:vAlign w:val="top"/>
          </w:tcPr>
          <w:p>
            <w:pPr>
              <w:widowControl w:val="0"/>
              <w:rPr>
                <w:sz w:val="10"/>
                <w:szCs w:val="10"/>
              </w:rPr>
            </w:pP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股本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60" w:right="0" w:firstLine="0"/>
              <w:jc w:val="left"/>
              <w:rPr>
                <w:sz w:val="18"/>
                <w:szCs w:val="18"/>
              </w:rPr>
            </w:pPr>
            <w:r>
              <w:rPr>
                <w:rFonts w:ascii="Times New Roman" w:eastAsia="Times New Roman" w:hAnsi="Times New Roman" w:cs="Times New Roman"/>
                <w:color w:val="000000"/>
                <w:spacing w:val="0"/>
                <w:w w:val="100"/>
                <w:position w:val="0"/>
                <w:sz w:val="18"/>
                <w:szCs w:val="18"/>
              </w:rPr>
              <w:t>1,961,091,984.00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60" w:right="0" w:firstLine="0"/>
              <w:jc w:val="left"/>
              <w:rPr>
                <w:sz w:val="18"/>
                <w:szCs w:val="18"/>
              </w:rPr>
            </w:pPr>
            <w:r>
              <w:rPr>
                <w:rFonts w:ascii="Times New Roman" w:eastAsia="Times New Roman" w:hAnsi="Times New Roman" w:cs="Times New Roman"/>
                <w:color w:val="000000"/>
                <w:spacing w:val="0"/>
                <w:w w:val="100"/>
                <w:position w:val="0"/>
                <w:sz w:val="18"/>
                <w:szCs w:val="18"/>
              </w:rPr>
              <w:t>1,961,091,984.00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其他权益工具</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560"/>
              <w:jc w:val="left"/>
            </w:pPr>
            <w:r>
              <w:rPr>
                <w:color w:val="000000"/>
                <w:spacing w:val="0"/>
                <w:w w:val="100"/>
                <w:position w:val="0"/>
              </w:rPr>
              <w:t>其中：优先股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1100" w:right="0" w:firstLine="0"/>
              <w:jc w:val="left"/>
            </w:pPr>
            <w:r>
              <w:rPr>
                <w:color w:val="000000"/>
                <w:spacing w:val="0"/>
                <w:w w:val="100"/>
                <w:position w:val="0"/>
              </w:rPr>
              <w:t>永续债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资本公积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432,914,459.13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left"/>
              <w:rPr>
                <w:sz w:val="18"/>
                <w:szCs w:val="18"/>
              </w:rPr>
            </w:pPr>
            <w:r>
              <w:rPr>
                <w:rFonts w:ascii="Times New Roman" w:eastAsia="Times New Roman" w:hAnsi="Times New Roman" w:cs="Times New Roman"/>
                <w:color w:val="000000"/>
                <w:spacing w:val="0"/>
                <w:w w:val="100"/>
                <w:position w:val="0"/>
                <w:sz w:val="18"/>
                <w:szCs w:val="18"/>
              </w:rPr>
              <w:t>432,914,459.13</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减：库存股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其他综合收益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-24,272,545.63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-24,272,545.63</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专项储备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盈余公积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239,696,322.69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left"/>
              <w:rPr>
                <w:sz w:val="18"/>
                <w:szCs w:val="18"/>
              </w:rPr>
            </w:pPr>
            <w:r>
              <w:rPr>
                <w:rFonts w:ascii="Times New Roman" w:eastAsia="Times New Roman" w:hAnsi="Times New Roman" w:cs="Times New Roman"/>
                <w:color w:val="000000"/>
                <w:spacing w:val="0"/>
                <w:w w:val="100"/>
                <w:position w:val="0"/>
                <w:sz w:val="18"/>
                <w:szCs w:val="18"/>
              </w:rPr>
              <w:t>239,696,322.69</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未分配利润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281,758,248.92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00" w:right="0" w:firstLine="0"/>
              <w:jc w:val="left"/>
              <w:rPr>
                <w:sz w:val="18"/>
                <w:szCs w:val="18"/>
              </w:rPr>
            </w:pPr>
            <w:r>
              <w:rPr>
                <w:rFonts w:ascii="Times New Roman" w:eastAsia="Times New Roman" w:hAnsi="Times New Roman" w:cs="Times New Roman"/>
                <w:color w:val="000000"/>
                <w:spacing w:val="0"/>
                <w:w w:val="100"/>
                <w:position w:val="0"/>
                <w:sz w:val="18"/>
                <w:szCs w:val="18"/>
              </w:rPr>
              <w:t>188,893,378.39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20" w:right="0" w:firstLine="0"/>
              <w:jc w:val="left"/>
              <w:rPr>
                <w:sz w:val="18"/>
                <w:szCs w:val="18"/>
              </w:rPr>
            </w:pPr>
            <w:r>
              <w:rPr>
                <w:rFonts w:ascii="Times New Roman" w:eastAsia="Times New Roman" w:hAnsi="Times New Roman" w:cs="Times New Roman"/>
                <w:color w:val="000000"/>
                <w:spacing w:val="0"/>
                <w:w w:val="100"/>
                <w:position w:val="0"/>
                <w:sz w:val="18"/>
                <w:szCs w:val="18"/>
              </w:rPr>
              <w:t>-92,864,870.53</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所有者权益合计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60" w:right="0" w:firstLine="0"/>
              <w:jc w:val="left"/>
              <w:rPr>
                <w:sz w:val="18"/>
                <w:szCs w:val="18"/>
              </w:rPr>
            </w:pPr>
            <w:r>
              <w:rPr>
                <w:rFonts w:ascii="Times New Roman" w:eastAsia="Times New Roman" w:hAnsi="Times New Roman" w:cs="Times New Roman"/>
                <w:color w:val="000000"/>
                <w:spacing w:val="0"/>
                <w:w w:val="100"/>
                <w:position w:val="0"/>
                <w:sz w:val="18"/>
                <w:szCs w:val="18"/>
              </w:rPr>
              <w:t>2,891,188,469.11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60" w:right="0" w:firstLine="0"/>
              <w:jc w:val="left"/>
              <w:rPr>
                <w:sz w:val="18"/>
                <w:szCs w:val="18"/>
              </w:rPr>
            </w:pPr>
            <w:r>
              <w:rPr>
                <w:rFonts w:ascii="Times New Roman" w:eastAsia="Times New Roman" w:hAnsi="Times New Roman" w:cs="Times New Roman"/>
                <w:color w:val="000000"/>
                <w:spacing w:val="0"/>
                <w:w w:val="100"/>
                <w:position w:val="0"/>
                <w:sz w:val="18"/>
                <w:szCs w:val="18"/>
              </w:rPr>
              <w:t>2,798,323,598.58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20" w:right="0" w:firstLine="0"/>
              <w:jc w:val="left"/>
              <w:rPr>
                <w:sz w:val="18"/>
                <w:szCs w:val="18"/>
              </w:rPr>
            </w:pPr>
            <w:r>
              <w:rPr>
                <w:rFonts w:ascii="Times New Roman" w:eastAsia="Times New Roman" w:hAnsi="Times New Roman" w:cs="Times New Roman"/>
                <w:color w:val="000000"/>
                <w:spacing w:val="0"/>
                <w:w w:val="100"/>
                <w:position w:val="0"/>
                <w:sz w:val="18"/>
                <w:szCs w:val="18"/>
              </w:rPr>
              <w:t>-92,864,870.53</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负债和所有者权益总计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60" w:right="0" w:firstLine="0"/>
              <w:jc w:val="left"/>
              <w:rPr>
                <w:sz w:val="18"/>
                <w:szCs w:val="18"/>
              </w:rPr>
            </w:pPr>
            <w:r>
              <w:rPr>
                <w:rFonts w:ascii="Times New Roman" w:eastAsia="Times New Roman" w:hAnsi="Times New Roman" w:cs="Times New Roman"/>
                <w:color w:val="000000"/>
                <w:spacing w:val="0"/>
                <w:w w:val="100"/>
                <w:position w:val="0"/>
                <w:sz w:val="18"/>
                <w:szCs w:val="18"/>
              </w:rPr>
              <w:t>5,447,667,192.81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60" w:right="0" w:firstLine="0"/>
              <w:jc w:val="left"/>
              <w:rPr>
                <w:sz w:val="18"/>
                <w:szCs w:val="18"/>
              </w:rPr>
            </w:pPr>
            <w:r>
              <w:rPr>
                <w:rFonts w:ascii="Times New Roman" w:eastAsia="Times New Roman" w:hAnsi="Times New Roman" w:cs="Times New Roman"/>
                <w:color w:val="000000"/>
                <w:spacing w:val="0"/>
                <w:w w:val="100"/>
                <w:position w:val="0"/>
                <w:sz w:val="18"/>
                <w:szCs w:val="18"/>
              </w:rPr>
              <w:t>5,436,062,802.42</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20" w:right="0" w:firstLine="0"/>
              <w:jc w:val="left"/>
              <w:rPr>
                <w:sz w:val="18"/>
                <w:szCs w:val="18"/>
              </w:rPr>
            </w:pPr>
            <w:r>
              <w:rPr>
                <w:rFonts w:ascii="Times New Roman" w:eastAsia="Times New Roman" w:hAnsi="Times New Roman" w:cs="Times New Roman"/>
                <w:color w:val="000000"/>
                <w:spacing w:val="0"/>
                <w:w w:val="100"/>
                <w:position w:val="0"/>
                <w:sz w:val="18"/>
                <w:szCs w:val="18"/>
              </w:rPr>
              <w:t>-11,604,390.39</w:t>
            </w:r>
          </w:p>
        </w:tc>
      </w:tr>
    </w:tbl>
    <w:p>
      <w:pPr>
        <w:pStyle w:val="Style20"/>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各项目调整情况的说明:</w:t>
      </w:r>
    </w:p>
    <w:p>
      <w:pPr>
        <w:pStyle w:val="Style41"/>
        <w:keepNext w:val="0"/>
        <w:keepLines w:val="0"/>
        <w:widowControl w:val="0"/>
        <w:shd w:val="clear" w:color="auto" w:fill="auto"/>
        <w:bidi w:val="0"/>
        <w:spacing w:before="0" w:after="760" w:line="475" w:lineRule="exact"/>
        <w:ind w:left="0" w:right="0"/>
        <w:jc w:val="both"/>
      </w:pPr>
      <w:r>
        <w:rPr>
          <w:color w:val="000000"/>
          <w:spacing w:val="0"/>
          <w:w w:val="100"/>
          <w:position w:val="0"/>
        </w:rPr>
        <w:t>财政部于</w:t>
      </w:r>
      <w:r>
        <w:rPr>
          <w:rFonts w:ascii="Times New Roman" w:eastAsia="Times New Roman" w:hAnsi="Times New Roman" w:cs="Times New Roman"/>
          <w:color w:val="000000"/>
          <w:spacing w:val="0"/>
          <w:w w:val="100"/>
          <w:position w:val="0"/>
          <w:sz w:val="18"/>
          <w:szCs w:val="18"/>
        </w:rPr>
        <w:t>2017</w:t>
      </w:r>
      <w:r>
        <w:rPr>
          <w:color w:val="000000"/>
          <w:spacing w:val="0"/>
          <w:w w:val="100"/>
          <w:position w:val="0"/>
        </w:rPr>
        <w:t>年颁布修订了《企业会计准则第</w:t>
      </w:r>
      <w:r>
        <w:rPr>
          <w:rFonts w:ascii="Times New Roman" w:eastAsia="Times New Roman" w:hAnsi="Times New Roman" w:cs="Times New Roman"/>
          <w:color w:val="000000"/>
          <w:spacing w:val="0"/>
          <w:w w:val="100"/>
          <w:position w:val="0"/>
          <w:sz w:val="18"/>
          <w:szCs w:val="18"/>
        </w:rPr>
        <w:t>14</w:t>
      </w:r>
      <w:r>
        <w:rPr>
          <w:color w:val="000000"/>
          <w:spacing w:val="0"/>
          <w:w w:val="100"/>
          <w:position w:val="0"/>
        </w:rPr>
        <w:t>号</w:t>
      </w:r>
      <w:r>
        <w:rPr>
          <w:color w:val="000000"/>
          <w:spacing w:val="0"/>
          <w:w w:val="100"/>
          <w:position w:val="0"/>
          <w:sz w:val="18"/>
          <w:szCs w:val="18"/>
        </w:rPr>
        <w:t>一</w:t>
      </w:r>
      <w:r>
        <w:rPr>
          <w:color w:val="000000"/>
          <w:spacing w:val="0"/>
          <w:w w:val="100"/>
          <w:position w:val="0"/>
        </w:rPr>
        <w:t>收入》（财会</w:t>
      </w:r>
      <w:r>
        <w:rPr>
          <w:rFonts w:ascii="Times New Roman" w:eastAsia="Times New Roman" w:hAnsi="Times New Roman" w:cs="Times New Roman"/>
          <w:color w:val="000000"/>
          <w:spacing w:val="0"/>
          <w:w w:val="100"/>
          <w:position w:val="0"/>
          <w:sz w:val="18"/>
          <w:szCs w:val="18"/>
        </w:rPr>
        <w:t>[2017]22</w:t>
      </w:r>
      <w:r>
        <w:rPr>
          <w:color w:val="000000"/>
          <w:spacing w:val="0"/>
          <w:w w:val="100"/>
          <w:position w:val="0"/>
        </w:rPr>
        <w:t>号），公司于</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日起 执行上述新收入准则。根据衔接规定，首次执行本准则的企业，应当根据首次执行本准则的累积影响数，调整首次执行本准 则当年年初留存收益及财务报表其他相关项目金额，对可比期间信息不予调整。</w:t>
      </w:r>
    </w:p>
    <w:p>
      <w:pPr>
        <w:pStyle w:val="Style58"/>
        <w:keepNext/>
        <w:keepLines/>
        <w:widowControl w:val="0"/>
        <w:shd w:val="clear" w:color="auto" w:fill="auto"/>
        <w:bidi w:val="0"/>
        <w:spacing w:before="0" w:after="140" w:line="240" w:lineRule="auto"/>
        <w:ind w:left="0" w:right="0" w:firstLine="0"/>
        <w:jc w:val="both"/>
        <w:rPr>
          <w:sz w:val="20"/>
          <w:szCs w:val="20"/>
        </w:rPr>
      </w:pPr>
      <w:bookmarkStart w:id="1196" w:name="bookmark1196"/>
      <w:bookmarkStart w:id="1197" w:name="bookmark1197"/>
      <w:bookmarkStart w:id="1198" w:name="bookmark1198"/>
      <w:bookmarkStart w:id="1199" w:name="bookmark1199"/>
      <w:r>
        <w:rPr>
          <w:b/>
          <w:bCs/>
          <w:color w:val="000000"/>
          <w:spacing w:val="0"/>
          <w:w w:val="100"/>
          <w:position w:val="0"/>
          <w:sz w:val="20"/>
          <w:szCs w:val="20"/>
        </w:rPr>
        <w:t>（</w:t>
      </w:r>
      <w:bookmarkEnd w:id="1198"/>
      <w:r>
        <w:rPr>
          <w:b/>
          <w:bCs/>
          <w:color w:val="000000"/>
          <w:spacing w:val="0"/>
          <w:w w:val="100"/>
          <w:position w:val="0"/>
          <w:sz w:val="20"/>
          <w:szCs w:val="20"/>
        </w:rPr>
        <w:t>4）2020年起首次执行新收入准则、新租赁准则追溯调整前期比较数据说明</w:t>
      </w:r>
      <w:bookmarkEnd w:id="1196"/>
      <w:bookmarkEnd w:id="1197"/>
      <w:bookmarkEnd w:id="1199"/>
    </w:p>
    <w:p>
      <w:pPr>
        <w:pStyle w:val="Style41"/>
        <w:keepNext w:val="0"/>
        <w:keepLines w:val="0"/>
        <w:widowControl w:val="0"/>
        <w:shd w:val="clear" w:color="auto" w:fill="auto"/>
        <w:bidi w:val="0"/>
        <w:spacing w:before="0" w:after="340" w:line="475" w:lineRule="exact"/>
        <w:ind w:left="0" w:right="0" w:firstLine="0"/>
        <w:jc w:val="both"/>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47"/>
        <w:keepNext/>
        <w:keepLines/>
        <w:widowControl w:val="0"/>
        <w:shd w:val="clear" w:color="auto" w:fill="auto"/>
        <w:bidi w:val="0"/>
        <w:spacing w:before="0" w:after="480" w:line="240" w:lineRule="auto"/>
        <w:ind w:left="0" w:right="0" w:firstLine="0"/>
        <w:jc w:val="both"/>
      </w:pPr>
      <w:bookmarkStart w:id="1200" w:name="bookmark1200"/>
      <w:bookmarkStart w:id="1201" w:name="bookmark1201"/>
      <w:bookmarkStart w:id="1202" w:name="bookmark1202"/>
      <w:bookmarkStart w:id="1203" w:name="bookmark1203"/>
      <w:r>
        <w:rPr>
          <w:color w:val="000000"/>
          <w:spacing w:val="0"/>
          <w:w w:val="100"/>
          <w:position w:val="0"/>
        </w:rPr>
        <w:t>4</w:t>
      </w:r>
      <w:bookmarkEnd w:id="1202"/>
      <w:r>
        <w:rPr>
          <w:color w:val="000000"/>
          <w:spacing w:val="0"/>
          <w:w w:val="100"/>
          <w:position w:val="0"/>
        </w:rPr>
        <w:t>5、其他</w:t>
      </w:r>
      <w:bookmarkEnd w:id="1200"/>
      <w:bookmarkEnd w:id="1201"/>
      <w:bookmarkEnd w:id="1203"/>
    </w:p>
    <w:p>
      <w:pPr>
        <w:pStyle w:val="Style41"/>
        <w:keepNext w:val="0"/>
        <w:keepLines w:val="0"/>
        <w:widowControl w:val="0"/>
        <w:shd w:val="clear" w:color="auto" w:fill="auto"/>
        <w:bidi w:val="0"/>
        <w:spacing w:before="0" w:after="480" w:line="475" w:lineRule="exact"/>
        <w:ind w:left="0" w:right="0"/>
        <w:jc w:val="left"/>
      </w:pPr>
      <w:r>
        <w:rPr>
          <w:color w:val="000000"/>
          <w:spacing w:val="0"/>
          <w:w w:val="100"/>
          <w:position w:val="0"/>
        </w:rPr>
        <w:t>无。</w:t>
      </w:r>
    </w:p>
    <w:p>
      <w:pPr>
        <w:pStyle w:val="Style39"/>
        <w:keepNext/>
        <w:keepLines/>
        <w:widowControl w:val="0"/>
        <w:shd w:val="clear" w:color="auto" w:fill="auto"/>
        <w:bidi w:val="0"/>
        <w:spacing w:before="0" w:after="340" w:line="240" w:lineRule="auto"/>
        <w:ind w:left="0" w:right="0" w:firstLine="0"/>
        <w:jc w:val="both"/>
      </w:pPr>
      <w:bookmarkStart w:id="1204" w:name="bookmark1204"/>
      <w:bookmarkStart w:id="1205" w:name="bookmark1205"/>
      <w:bookmarkStart w:id="1206" w:name="bookmark1206"/>
      <w:bookmarkStart w:id="1207" w:name="bookmark1207"/>
      <w:r>
        <w:rPr>
          <w:color w:val="000000"/>
          <w:spacing w:val="0"/>
          <w:w w:val="100"/>
          <w:position w:val="0"/>
          <w:sz w:val="24"/>
          <w:szCs w:val="24"/>
        </w:rPr>
        <w:t>六</w:t>
      </w:r>
      <w:bookmarkEnd w:id="1206"/>
      <w:r>
        <w:rPr>
          <w:color w:val="000000"/>
          <w:spacing w:val="0"/>
          <w:w w:val="100"/>
          <w:position w:val="0"/>
          <w:sz w:val="24"/>
          <w:szCs w:val="24"/>
        </w:rPr>
        <w:t>、税项</w:t>
      </w:r>
      <w:bookmarkEnd w:id="1204"/>
      <w:bookmarkEnd w:id="1205"/>
      <w:bookmarkEnd w:id="1207"/>
    </w:p>
    <w:p>
      <w:pPr>
        <w:pStyle w:val="Style47"/>
        <w:keepNext/>
        <w:keepLines/>
        <w:widowControl w:val="0"/>
        <w:shd w:val="clear" w:color="auto" w:fill="auto"/>
        <w:bidi w:val="0"/>
        <w:spacing w:before="0" w:after="340" w:line="240" w:lineRule="auto"/>
        <w:ind w:left="0" w:right="0" w:firstLine="0"/>
        <w:jc w:val="both"/>
      </w:pPr>
      <w:bookmarkStart w:id="1208" w:name="bookmark1208"/>
      <w:bookmarkStart w:id="1209" w:name="bookmark1209"/>
      <w:bookmarkStart w:id="1210" w:name="bookmark1210"/>
      <w:bookmarkStart w:id="1211" w:name="bookmark1211"/>
      <w:r>
        <w:rPr>
          <w:color w:val="000000"/>
          <w:spacing w:val="0"/>
          <w:w w:val="100"/>
          <w:position w:val="0"/>
        </w:rPr>
        <w:t>1</w:t>
      </w:r>
      <w:bookmarkEnd w:id="1210"/>
      <w:r>
        <w:rPr>
          <w:color w:val="000000"/>
          <w:spacing w:val="0"/>
          <w:w w:val="100"/>
          <w:position w:val="0"/>
        </w:rPr>
        <w:t>、主要税种及税率</w:t>
      </w:r>
      <w:bookmarkEnd w:id="1208"/>
      <w:bookmarkEnd w:id="1209"/>
      <w:bookmarkEnd w:id="1211"/>
    </w:p>
    <w:tbl>
      <w:tblPr>
        <w:tblOverlap w:val="never"/>
        <w:jc w:val="center"/>
        <w:tblLayout w:type="fixed"/>
      </w:tblPr>
      <w:tblGrid>
        <w:gridCol w:w="2275"/>
        <w:gridCol w:w="4114"/>
        <w:gridCol w:w="3202"/>
      </w:tblGrid>
      <w:tr>
        <w:trPr>
          <w:trHeight w:val="40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税种</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计税依据</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税率</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增值税</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按税法规定计算的销售货物和应税劳务收入为基础</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13%</w:t>
            </w:r>
            <w:r>
              <w:rPr>
                <w:color w:val="000000"/>
                <w:spacing w:val="0"/>
                <w:w w:val="100"/>
                <w:position w:val="0"/>
                <w:sz w:val="17"/>
                <w:szCs w:val="17"/>
              </w:rPr>
              <w:t>、</w:t>
            </w:r>
            <w:r>
              <w:rPr>
                <w:rFonts w:ascii="Times New Roman" w:eastAsia="Times New Roman" w:hAnsi="Times New Roman" w:cs="Times New Roman"/>
                <w:color w:val="000000"/>
                <w:spacing w:val="0"/>
                <w:w w:val="100"/>
                <w:position w:val="0"/>
                <w:sz w:val="18"/>
                <w:szCs w:val="18"/>
              </w:rPr>
              <w:t>9%</w:t>
            </w:r>
            <w:r>
              <w:rPr>
                <w:color w:val="000000"/>
                <w:spacing w:val="0"/>
                <w:w w:val="100"/>
                <w:position w:val="0"/>
                <w:sz w:val="17"/>
                <w:szCs w:val="17"/>
              </w:rPr>
              <w:t>、</w:t>
            </w:r>
            <w:r>
              <w:rPr>
                <w:rFonts w:ascii="Times New Roman" w:eastAsia="Times New Roman" w:hAnsi="Times New Roman" w:cs="Times New Roman"/>
                <w:color w:val="000000"/>
                <w:spacing w:val="0"/>
                <w:w w:val="100"/>
                <w:position w:val="0"/>
                <w:sz w:val="18"/>
                <w:szCs w:val="18"/>
              </w:rPr>
              <w:t>6%</w:t>
            </w:r>
            <w:r>
              <w:rPr>
                <w:color w:val="000000"/>
                <w:spacing w:val="0"/>
                <w:w w:val="100"/>
                <w:position w:val="0"/>
                <w:sz w:val="17"/>
                <w:szCs w:val="17"/>
              </w:rPr>
              <w:t>、</w:t>
            </w:r>
            <w:r>
              <w:rPr>
                <w:rFonts w:ascii="Times New Roman" w:eastAsia="Times New Roman" w:hAnsi="Times New Roman" w:cs="Times New Roman"/>
                <w:color w:val="000000"/>
                <w:spacing w:val="0"/>
                <w:w w:val="100"/>
                <w:position w:val="0"/>
                <w:sz w:val="18"/>
                <w:szCs w:val="18"/>
              </w:rPr>
              <w:t>5%</w:t>
            </w:r>
            <w:r>
              <w:rPr>
                <w:color w:val="000000"/>
                <w:spacing w:val="0"/>
                <w:w w:val="100"/>
                <w:position w:val="0"/>
                <w:sz w:val="17"/>
                <w:szCs w:val="17"/>
              </w:rPr>
              <w:t>、</w:t>
            </w:r>
            <w:r>
              <w:rPr>
                <w:rFonts w:ascii="Times New Roman" w:eastAsia="Times New Roman" w:hAnsi="Times New Roman" w:cs="Times New Roman"/>
                <w:color w:val="000000"/>
                <w:spacing w:val="0"/>
                <w:w w:val="100"/>
                <w:position w:val="0"/>
                <w:sz w:val="18"/>
                <w:szCs w:val="18"/>
              </w:rPr>
              <w:t>3%</w:t>
            </w:r>
          </w:p>
        </w:tc>
      </w:tr>
    </w:tbl>
    <w:tbl>
      <w:tblPr>
        <w:tblOverlap w:val="never"/>
        <w:jc w:val="center"/>
        <w:tblLayout w:type="fixed"/>
      </w:tblPr>
      <w:tblGrid>
        <w:gridCol w:w="2275"/>
        <w:gridCol w:w="4114"/>
        <w:gridCol w:w="3202"/>
      </w:tblGrid>
      <w:tr>
        <w:trPr>
          <w:trHeight w:val="749" w:hRule="exact"/>
        </w:trPr>
        <w:tc>
          <w:tcPr>
            <w:gridSpan w:val="3"/>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2300" w:right="0" w:firstLine="0"/>
              <w:jc w:val="left"/>
            </w:pPr>
            <w:r>
              <w:rPr>
                <w:color w:val="000000"/>
                <w:spacing w:val="0"/>
                <w:w w:val="100"/>
                <w:position w:val="0"/>
              </w:rPr>
              <w:t>计算销项税额，在扣除当期允许抵扣的进项税额后， 差额部分为应交增值税</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城市维护建设税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按实际缴纳的增值税及消费税计缴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7%</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企业所得税</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按应纳税所得额计缴</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【注】</w:t>
            </w:r>
          </w:p>
        </w:tc>
      </w:tr>
    </w:tbl>
    <w:p>
      <w:pPr>
        <w:widowControl w:val="0"/>
        <w:spacing w:after="159" w:line="1" w:lineRule="exact"/>
      </w:pPr>
    </w:p>
    <w:p>
      <w:pPr>
        <w:pStyle w:val="Style41"/>
        <w:keepNext w:val="0"/>
        <w:keepLines w:val="0"/>
        <w:widowControl w:val="0"/>
        <w:shd w:val="clear" w:color="auto" w:fill="auto"/>
        <w:bidi w:val="0"/>
        <w:spacing w:before="0" w:after="160" w:line="240" w:lineRule="auto"/>
        <w:ind w:left="0" w:right="0" w:firstLine="0"/>
        <w:jc w:val="both"/>
      </w:pPr>
      <w:r>
        <w:rPr>
          <w:color w:val="000000"/>
          <w:spacing w:val="0"/>
          <w:w w:val="100"/>
          <w:position w:val="0"/>
        </w:rPr>
        <w:t>注：（</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）母公司北京神州泰岳软件股份有限公司法定所得税率为</w:t>
      </w:r>
      <w:r>
        <w:rPr>
          <w:rFonts w:ascii="Times New Roman" w:eastAsia="Times New Roman" w:hAnsi="Times New Roman" w:cs="Times New Roman"/>
          <w:color w:val="000000"/>
          <w:spacing w:val="0"/>
          <w:w w:val="100"/>
          <w:position w:val="0"/>
          <w:sz w:val="18"/>
          <w:szCs w:val="18"/>
        </w:rPr>
        <w:t>25%</w:t>
      </w:r>
      <w:r>
        <w:rPr>
          <w:color w:val="000000"/>
          <w:spacing w:val="0"/>
          <w:w w:val="100"/>
          <w:position w:val="0"/>
        </w:rPr>
        <w:t>。</w:t>
      </w:r>
    </w:p>
    <w:p>
      <w:pPr>
        <w:pStyle w:val="Style20"/>
        <w:keepNext w:val="0"/>
        <w:keepLines w:val="0"/>
        <w:widowControl w:val="0"/>
        <w:shd w:val="clear" w:color="auto" w:fill="auto"/>
        <w:bidi w:val="0"/>
        <w:spacing w:before="0" w:after="0" w:line="240" w:lineRule="auto"/>
        <w:ind w:left="0" w:right="0" w:firstLine="0"/>
        <w:jc w:val="distribute"/>
        <w:rPr>
          <w:sz w:val="17"/>
          <w:szCs w:val="17"/>
        </w:rPr>
      </w:pPr>
      <w:r>
        <w:rPr>
          <w:rFonts w:ascii="SimSun" w:eastAsia="SimSun" w:hAnsi="SimSun" w:cs="SimSun"/>
          <w:color w:val="000000"/>
          <w:spacing w:val="0"/>
          <w:w w:val="100"/>
          <w:position w:val="0"/>
          <w:sz w:val="17"/>
          <w:szCs w:val="17"/>
        </w:rPr>
        <w:t>（</w:t>
      </w:r>
      <w:r>
        <w:rPr>
          <w:rFonts w:ascii="Times New Roman" w:eastAsia="Times New Roman" w:hAnsi="Times New Roman" w:cs="Times New Roman"/>
          <w:color w:val="000000"/>
          <w:spacing w:val="0"/>
          <w:w w:val="100"/>
          <w:position w:val="0"/>
          <w:sz w:val="18"/>
          <w:szCs w:val="18"/>
        </w:rPr>
        <w:t>2</w:t>
      </w:r>
      <w:r>
        <w:rPr>
          <w:rFonts w:ascii="SimSun" w:eastAsia="SimSun" w:hAnsi="SimSun" w:cs="SimSun"/>
          <w:color w:val="000000"/>
          <w:spacing w:val="0"/>
          <w:w w:val="100"/>
          <w:position w:val="0"/>
          <w:sz w:val="17"/>
          <w:szCs w:val="17"/>
        </w:rPr>
        <w:t>）存在不同企业所得税税率纳税主体的，披露情况说明：</w:t>
      </w:r>
    </w:p>
    <w:tbl>
      <w:tblPr>
        <w:tblOverlap w:val="never"/>
        <w:jc w:val="center"/>
        <w:tblLayout w:type="fixed"/>
      </w:tblPr>
      <w:tblGrid>
        <w:gridCol w:w="4790"/>
        <w:gridCol w:w="4790"/>
      </w:tblGrid>
      <w:tr>
        <w:trPr>
          <w:trHeight w:val="40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纳税主体名称</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所得税税率</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CAMEL GAMES INC.</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w:t>
            </w:r>
            <w:r>
              <w:rPr>
                <w:rFonts w:ascii="Arial" w:eastAsia="Arial" w:hAnsi="Arial" w:cs="Arial"/>
                <w:color w:val="000000"/>
                <w:spacing w:val="0"/>
                <w:w w:val="100"/>
                <w:position w:val="0"/>
                <w:sz w:val="18"/>
                <w:szCs w:val="18"/>
              </w:rPr>
              <w:t>1</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Bridge Minds Consulting Pte Ltd</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17%</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宁波普天通信技术（香港）有限公司</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8.25%</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神州泰岳（香港）有限公司</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16.5%</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CAMEL GAMES LIMITED</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16.5%</w:t>
            </w:r>
          </w:p>
        </w:tc>
      </w:tr>
      <w:tr>
        <w:trPr>
          <w:trHeight w:val="41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泰岳小漫（香港）有限公司</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8.25%</w:t>
            </w:r>
          </w:p>
        </w:tc>
      </w:tr>
    </w:tbl>
    <w:p>
      <w:pPr>
        <w:pStyle w:val="Style20"/>
        <w:keepNext w:val="0"/>
        <w:keepLines w:val="0"/>
        <w:widowControl w:val="0"/>
        <w:shd w:val="clear" w:color="auto" w:fill="auto"/>
        <w:bidi w:val="0"/>
        <w:spacing w:before="0" w:after="0" w:line="240" w:lineRule="auto"/>
        <w:ind w:left="259" w:right="0" w:firstLine="0"/>
        <w:jc w:val="left"/>
        <w:rPr>
          <w:sz w:val="17"/>
          <w:szCs w:val="17"/>
        </w:rPr>
      </w:pPr>
      <w:r>
        <w:rPr>
          <w:rFonts w:ascii="Times New Roman" w:eastAsia="Times New Roman" w:hAnsi="Times New Roman" w:cs="Times New Roman"/>
          <w:color w:val="000000"/>
          <w:spacing w:val="0"/>
          <w:w w:val="100"/>
          <w:position w:val="0"/>
          <w:sz w:val="18"/>
          <w:szCs w:val="18"/>
        </w:rPr>
        <w:t>*</w:t>
      </w:r>
      <w:r>
        <w:rPr>
          <w:rFonts w:ascii="SimSun" w:eastAsia="SimSun" w:hAnsi="SimSun" w:cs="SimSun"/>
          <w:color w:val="000000"/>
          <w:spacing w:val="0"/>
          <w:w w:val="100"/>
          <w:position w:val="0"/>
          <w:sz w:val="17"/>
          <w:szCs w:val="17"/>
        </w:rPr>
        <w:t>:所在地为美国特拉华州，公司所得税分为联邦所得税和特拉华州所得税。其中：联邦所得税</w:t>
      </w:r>
      <w:r>
        <w:rPr>
          <w:rFonts w:ascii="Times New Roman" w:eastAsia="Times New Roman" w:hAnsi="Times New Roman" w:cs="Times New Roman"/>
          <w:color w:val="000000"/>
          <w:spacing w:val="0"/>
          <w:w w:val="100"/>
          <w:position w:val="0"/>
          <w:sz w:val="18"/>
          <w:szCs w:val="18"/>
        </w:rPr>
        <w:t>21%</w:t>
      </w:r>
      <w:r>
        <w:rPr>
          <w:rFonts w:ascii="SimSun" w:eastAsia="SimSun" w:hAnsi="SimSun" w:cs="SimSun"/>
          <w:color w:val="000000"/>
          <w:spacing w:val="0"/>
          <w:w w:val="100"/>
          <w:position w:val="0"/>
          <w:sz w:val="17"/>
          <w:szCs w:val="17"/>
        </w:rPr>
        <w:t>，特拉华州所得税</w:t>
      </w:r>
    </w:p>
    <w:p>
      <w:pPr>
        <w:widowControl w:val="0"/>
        <w:spacing w:after="159" w:line="1" w:lineRule="exact"/>
      </w:pPr>
    </w:p>
    <w:p>
      <w:pPr>
        <w:pStyle w:val="Style41"/>
        <w:keepNext w:val="0"/>
        <w:keepLines w:val="0"/>
        <w:widowControl w:val="0"/>
        <w:shd w:val="clear" w:color="auto" w:fill="auto"/>
        <w:bidi w:val="0"/>
        <w:spacing w:before="0" w:after="160" w:line="240" w:lineRule="auto"/>
        <w:ind w:left="0" w:right="0" w:firstLine="0"/>
        <w:jc w:val="both"/>
      </w:pPr>
      <w:r>
        <w:rPr>
          <w:color w:val="000000"/>
          <w:spacing w:val="0"/>
          <w:w w:val="100"/>
          <w:position w:val="0"/>
        </w:rPr>
        <w:t>税率为</w:t>
      </w:r>
      <w:r>
        <w:rPr>
          <w:rFonts w:ascii="Times New Roman" w:eastAsia="Times New Roman" w:hAnsi="Times New Roman" w:cs="Times New Roman"/>
          <w:color w:val="000000"/>
          <w:spacing w:val="0"/>
          <w:w w:val="100"/>
          <w:position w:val="0"/>
          <w:sz w:val="18"/>
          <w:szCs w:val="18"/>
        </w:rPr>
        <w:t>8.7%</w:t>
      </w:r>
      <w:r>
        <w:rPr>
          <w:color w:val="000000"/>
          <w:spacing w:val="0"/>
          <w:w w:val="100"/>
          <w:position w:val="0"/>
        </w:rPr>
        <w:t>。</w:t>
      </w:r>
    </w:p>
    <w:p>
      <w:pPr>
        <w:pStyle w:val="Style41"/>
        <w:keepNext w:val="0"/>
        <w:keepLines w:val="0"/>
        <w:widowControl w:val="0"/>
        <w:shd w:val="clear" w:color="auto" w:fill="auto"/>
        <w:bidi w:val="0"/>
        <w:spacing w:before="0" w:after="360" w:line="240" w:lineRule="auto"/>
        <w:ind w:left="0" w:right="0" w:firstLine="280"/>
        <w:jc w:val="both"/>
      </w:pPr>
      <w:bookmarkStart w:id="1212" w:name="bookmark1212"/>
      <w:r>
        <w:rPr>
          <w:color w:val="000000"/>
          <w:spacing w:val="0"/>
          <w:w w:val="100"/>
          <w:position w:val="0"/>
        </w:rPr>
        <w:t>（</w:t>
      </w:r>
      <w:bookmarkEnd w:id="1212"/>
      <w:r>
        <w:rPr>
          <w:rFonts w:ascii="Times New Roman" w:eastAsia="Times New Roman" w:hAnsi="Times New Roman" w:cs="Times New Roman"/>
          <w:color w:val="000000"/>
          <w:spacing w:val="0"/>
          <w:w w:val="100"/>
          <w:position w:val="0"/>
          <w:sz w:val="18"/>
          <w:szCs w:val="18"/>
        </w:rPr>
        <w:t>3</w:t>
      </w:r>
      <w:r>
        <w:rPr>
          <w:color w:val="000000"/>
          <w:spacing w:val="0"/>
          <w:w w:val="100"/>
          <w:position w:val="0"/>
        </w:rPr>
        <w:t>）除上述公司外，其余子公司法定所得税税率均为</w:t>
      </w:r>
      <w:r>
        <w:rPr>
          <w:rFonts w:ascii="Times New Roman" w:eastAsia="Times New Roman" w:hAnsi="Times New Roman" w:cs="Times New Roman"/>
          <w:color w:val="000000"/>
          <w:spacing w:val="0"/>
          <w:w w:val="100"/>
          <w:position w:val="0"/>
          <w:sz w:val="18"/>
          <w:szCs w:val="18"/>
        </w:rPr>
        <w:t>25%</w:t>
      </w:r>
      <w:r>
        <w:rPr>
          <w:color w:val="000000"/>
          <w:spacing w:val="0"/>
          <w:w w:val="100"/>
          <w:position w:val="0"/>
        </w:rPr>
        <w:t>。</w:t>
      </w:r>
    </w:p>
    <w:p>
      <w:pPr>
        <w:pStyle w:val="Style47"/>
        <w:keepNext/>
        <w:keepLines/>
        <w:widowControl w:val="0"/>
        <w:shd w:val="clear" w:color="auto" w:fill="auto"/>
        <w:bidi w:val="0"/>
        <w:spacing w:before="0" w:after="400" w:line="240" w:lineRule="auto"/>
        <w:ind w:left="0" w:right="0" w:firstLine="0"/>
        <w:jc w:val="left"/>
      </w:pPr>
      <w:bookmarkStart w:id="1213" w:name="bookmark1213"/>
      <w:bookmarkStart w:id="1214" w:name="bookmark1214"/>
      <w:bookmarkStart w:id="1215" w:name="bookmark1215"/>
      <w:bookmarkStart w:id="1216" w:name="bookmark1216"/>
      <w:r>
        <w:rPr>
          <w:color w:val="000000"/>
          <w:spacing w:val="0"/>
          <w:w w:val="100"/>
          <w:position w:val="0"/>
        </w:rPr>
        <w:t>2</w:t>
      </w:r>
      <w:bookmarkEnd w:id="1215"/>
      <w:r>
        <w:rPr>
          <w:color w:val="000000"/>
          <w:spacing w:val="0"/>
          <w:w w:val="100"/>
          <w:position w:val="0"/>
        </w:rPr>
        <w:t>、税收优惠</w:t>
      </w:r>
      <w:bookmarkEnd w:id="1213"/>
      <w:bookmarkEnd w:id="1214"/>
      <w:bookmarkEnd w:id="1216"/>
    </w:p>
    <w:p>
      <w:pPr>
        <w:pStyle w:val="Style41"/>
        <w:keepNext w:val="0"/>
        <w:keepLines w:val="0"/>
        <w:widowControl w:val="0"/>
        <w:shd w:val="clear" w:color="auto" w:fill="auto"/>
        <w:tabs>
          <w:tab w:pos="783" w:val="left"/>
        </w:tabs>
        <w:bidi w:val="0"/>
        <w:spacing w:before="0" w:after="0" w:line="240" w:lineRule="auto"/>
        <w:ind w:left="0" w:right="0" w:firstLine="360"/>
        <w:jc w:val="both"/>
      </w:pPr>
      <w:bookmarkStart w:id="1217" w:name="bookmark1217"/>
      <w:r>
        <w:rPr>
          <w:b/>
          <w:bCs/>
          <w:color w:val="000000"/>
          <w:spacing w:val="0"/>
          <w:w w:val="100"/>
          <w:position w:val="0"/>
        </w:rPr>
        <w:t>（</w:t>
      </w:r>
      <w:bookmarkEnd w:id="1217"/>
      <w:r>
        <w:rPr>
          <w:rFonts w:ascii="Times New Roman" w:eastAsia="Times New Roman" w:hAnsi="Times New Roman" w:cs="Times New Roman"/>
          <w:b/>
          <w:bCs/>
          <w:color w:val="000000"/>
          <w:spacing w:val="0"/>
          <w:w w:val="100"/>
          <w:position w:val="0"/>
          <w:sz w:val="18"/>
          <w:szCs w:val="18"/>
        </w:rPr>
        <w:t>1</w:t>
      </w:r>
      <w:r>
        <w:rPr>
          <w:b/>
          <w:bCs/>
          <w:color w:val="000000"/>
          <w:spacing w:val="0"/>
          <w:w w:val="100"/>
          <w:position w:val="0"/>
        </w:rPr>
        <w:t>）</w:t>
        <w:tab/>
        <w:t>增值税</w:t>
      </w:r>
    </w:p>
    <w:p>
      <w:pPr>
        <w:pStyle w:val="Style41"/>
        <w:keepNext w:val="0"/>
        <w:keepLines w:val="0"/>
        <w:widowControl w:val="0"/>
        <w:shd w:val="clear" w:color="auto" w:fill="auto"/>
        <w:bidi w:val="0"/>
        <w:spacing w:before="0" w:after="0" w:line="471" w:lineRule="exact"/>
        <w:ind w:left="0" w:right="0" w:firstLine="360"/>
        <w:jc w:val="both"/>
      </w:pPr>
      <w:r>
        <w:rPr>
          <w:color w:val="000000"/>
          <w:spacing w:val="0"/>
          <w:w w:val="100"/>
          <w:position w:val="0"/>
        </w:rPr>
        <w:t>根据国务院</w:t>
      </w:r>
      <w:r>
        <w:rPr>
          <w:rFonts w:ascii="Times New Roman" w:eastAsia="Times New Roman" w:hAnsi="Times New Roman" w:cs="Times New Roman"/>
          <w:color w:val="000000"/>
          <w:spacing w:val="0"/>
          <w:w w:val="100"/>
          <w:position w:val="0"/>
          <w:sz w:val="18"/>
          <w:szCs w:val="18"/>
        </w:rPr>
        <w:t>2011</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月发布的国发</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2011</w:t>
      </w:r>
      <w:r>
        <w:rPr>
          <w:rFonts w:ascii="Arial" w:eastAsia="Arial" w:hAnsi="Arial" w:cs="Arial"/>
          <w:color w:val="000000"/>
          <w:spacing w:val="0"/>
          <w:w w:val="100"/>
          <w:position w:val="0"/>
          <w:sz w:val="18"/>
          <w:szCs w:val="18"/>
        </w:rPr>
        <w:t>1</w:t>
      </w:r>
      <w:r>
        <w:rPr>
          <w:rFonts w:ascii="Times New Roman" w:eastAsia="Times New Roman" w:hAnsi="Times New Roman" w:cs="Times New Roman"/>
          <w:color w:val="000000"/>
          <w:spacing w:val="0"/>
          <w:w w:val="100"/>
          <w:position w:val="0"/>
          <w:sz w:val="18"/>
          <w:szCs w:val="18"/>
        </w:rPr>
        <w:t>4</w:t>
      </w:r>
      <w:r>
        <w:rPr>
          <w:color w:val="000000"/>
          <w:spacing w:val="0"/>
          <w:w w:val="100"/>
          <w:position w:val="0"/>
        </w:rPr>
        <w:t>号《关于印发进一步鼓励软件产业和集成电路产业发展若干政策的通知》和 财政部、国家税务总局发布的财税</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2011</w:t>
      </w:r>
      <w:r>
        <w:rPr>
          <w:rFonts w:ascii="Arial" w:eastAsia="Arial" w:hAnsi="Arial" w:cs="Arial"/>
          <w:color w:val="000000"/>
          <w:spacing w:val="0"/>
          <w:w w:val="100"/>
          <w:position w:val="0"/>
          <w:sz w:val="18"/>
          <w:szCs w:val="18"/>
        </w:rPr>
        <w:t xml:space="preserve">1 </w:t>
      </w:r>
      <w:r>
        <w:rPr>
          <w:rFonts w:ascii="Times New Roman" w:eastAsia="Times New Roman" w:hAnsi="Times New Roman" w:cs="Times New Roman"/>
          <w:color w:val="000000"/>
          <w:spacing w:val="0"/>
          <w:w w:val="100"/>
          <w:position w:val="0"/>
          <w:sz w:val="18"/>
          <w:szCs w:val="18"/>
        </w:rPr>
        <w:t>100</w:t>
      </w:r>
      <w:r>
        <w:rPr>
          <w:color w:val="000000"/>
          <w:spacing w:val="0"/>
          <w:w w:val="100"/>
          <w:position w:val="0"/>
        </w:rPr>
        <w:t>号《关于软件产品增值税政策的通知》中的有关规定，公司及下列子公司本 报告期实际享受了</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销售自行开发生产的软件产品时对增值税实际税负超过</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的部分即征即退</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的优惠：北京神州祥升软件 有限公司、奇点新源国际技术开发（北京）有限公司、天津泰岳小漫科技有限公司、鼎富智能科技有限公司，本公司孙公司 宁波金信通讯技术有限公司、宁波移畅通信设备有限公司、宁波捷远科技有限公司。</w:t>
      </w:r>
    </w:p>
    <w:p>
      <w:pPr>
        <w:pStyle w:val="Style41"/>
        <w:keepNext w:val="0"/>
        <w:keepLines w:val="0"/>
        <w:widowControl w:val="0"/>
        <w:shd w:val="clear" w:color="auto" w:fill="auto"/>
        <w:bidi w:val="0"/>
        <w:spacing w:before="0" w:after="0" w:line="471" w:lineRule="exact"/>
        <w:ind w:left="0" w:right="0" w:firstLine="360"/>
        <w:jc w:val="both"/>
      </w:pPr>
      <w:r>
        <w:rPr>
          <w:color w:val="000000"/>
          <w:spacing w:val="0"/>
          <w:w w:val="100"/>
          <w:position w:val="0"/>
        </w:rPr>
        <w:t>根据财政部和国家税务总局财税</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2016</w:t>
      </w:r>
      <w:r>
        <w:rPr>
          <w:rFonts w:ascii="Arial" w:eastAsia="Arial" w:hAnsi="Arial" w:cs="Arial"/>
          <w:color w:val="000000"/>
          <w:spacing w:val="0"/>
          <w:w w:val="100"/>
          <w:position w:val="0"/>
          <w:sz w:val="18"/>
          <w:szCs w:val="18"/>
        </w:rPr>
        <w:t xml:space="preserve">1 </w:t>
      </w:r>
      <w:r>
        <w:rPr>
          <w:rFonts w:ascii="Times New Roman" w:eastAsia="Times New Roman" w:hAnsi="Times New Roman" w:cs="Times New Roman"/>
          <w:color w:val="000000"/>
          <w:spacing w:val="0"/>
          <w:w w:val="100"/>
          <w:position w:val="0"/>
          <w:sz w:val="18"/>
          <w:szCs w:val="18"/>
        </w:rPr>
        <w:t>36</w:t>
      </w:r>
      <w:r>
        <w:rPr>
          <w:color w:val="000000"/>
          <w:spacing w:val="0"/>
          <w:w w:val="100"/>
          <w:position w:val="0"/>
        </w:rPr>
        <w:t>号《关于全面推开营业税改征增值税试点的通知》，公司及下列子公司本报 告期实际享受了</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从事技术转让、技术开发业务和与之相关的技术咨询、技术服务业务取得的收入，符合条件免征增值税</w:t>
      </w:r>
      <w:r>
        <w:rPr>
          <w:rFonts w:ascii="Times New Roman" w:eastAsia="Times New Roman" w:hAnsi="Times New Roman" w:cs="Times New Roman"/>
          <w:color w:val="000000"/>
          <w:spacing w:val="0"/>
          <w:w w:val="100"/>
          <w:position w:val="0"/>
          <w:sz w:val="18"/>
          <w:szCs w:val="18"/>
        </w:rPr>
        <w:t xml:space="preserve">” </w:t>
      </w:r>
      <w:r>
        <w:rPr>
          <w:color w:val="000000"/>
          <w:spacing w:val="0"/>
          <w:w w:val="100"/>
          <w:position w:val="0"/>
        </w:rPr>
        <w:t>的优惠：鼎富智能科技有限公司、北京华泰德丰科技有限公司、奇点新源国际技术开发（北京）有限公司，本公司孙公司霍 尔果斯小小橙软件开发有限责任公司。</w:t>
      </w:r>
    </w:p>
    <w:p>
      <w:pPr>
        <w:pStyle w:val="Style41"/>
        <w:keepNext w:val="0"/>
        <w:keepLines w:val="0"/>
        <w:widowControl w:val="0"/>
        <w:shd w:val="clear" w:color="auto" w:fill="auto"/>
        <w:bidi w:val="0"/>
        <w:spacing w:before="0" w:after="160" w:line="471" w:lineRule="exact"/>
        <w:ind w:left="0" w:right="0" w:firstLine="360"/>
        <w:jc w:val="both"/>
      </w:pPr>
      <w:r>
        <w:rPr>
          <w:color w:val="000000"/>
          <w:spacing w:val="0"/>
          <w:w w:val="100"/>
          <w:position w:val="0"/>
        </w:rPr>
        <w:t>根据财政部和国家税务总局财税</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2016</w:t>
      </w:r>
      <w:r>
        <w:rPr>
          <w:rFonts w:ascii="Arial" w:eastAsia="Arial" w:hAnsi="Arial" w:cs="Arial"/>
          <w:color w:val="000000"/>
          <w:spacing w:val="0"/>
          <w:w w:val="100"/>
          <w:position w:val="0"/>
          <w:sz w:val="18"/>
          <w:szCs w:val="18"/>
        </w:rPr>
        <w:t xml:space="preserve">1 </w:t>
      </w:r>
      <w:r>
        <w:rPr>
          <w:rFonts w:ascii="Times New Roman" w:eastAsia="Times New Roman" w:hAnsi="Times New Roman" w:cs="Times New Roman"/>
          <w:color w:val="000000"/>
          <w:spacing w:val="0"/>
          <w:w w:val="100"/>
          <w:position w:val="0"/>
          <w:sz w:val="18"/>
          <w:szCs w:val="18"/>
        </w:rPr>
        <w:t>36</w:t>
      </w:r>
      <w:r>
        <w:rPr>
          <w:color w:val="000000"/>
          <w:spacing w:val="0"/>
          <w:w w:val="100"/>
          <w:position w:val="0"/>
        </w:rPr>
        <w:t>号《关于全面推开营业税改征增值税试点的通知》的有关规定，本公司子公 司天津泰岳小漫科技有限公司，本公司孙公司北京壳木软件有限责任公司、北京安纳西科技有限公司、霍尔果斯小小橙软件 开发有限责任公司、霍尔果斯于艺网络科技有限公司向境外单位提供服务产生的收入免征增值税。</w:t>
      </w:r>
    </w:p>
    <w:p>
      <w:pPr>
        <w:pStyle w:val="Style41"/>
        <w:keepNext w:val="0"/>
        <w:keepLines w:val="0"/>
        <w:widowControl w:val="0"/>
        <w:shd w:val="clear" w:color="auto" w:fill="auto"/>
        <w:tabs>
          <w:tab w:pos="783" w:val="left"/>
        </w:tabs>
        <w:bidi w:val="0"/>
        <w:spacing w:before="0" w:after="160" w:line="240" w:lineRule="auto"/>
        <w:ind w:left="0" w:right="0" w:firstLine="360"/>
        <w:jc w:val="both"/>
      </w:pPr>
      <w:bookmarkStart w:id="1218" w:name="bookmark1218"/>
      <w:r>
        <w:rPr>
          <w:b/>
          <w:bCs/>
          <w:color w:val="000000"/>
          <w:spacing w:val="0"/>
          <w:w w:val="100"/>
          <w:position w:val="0"/>
        </w:rPr>
        <w:t>（</w:t>
      </w:r>
      <w:bookmarkEnd w:id="1218"/>
      <w:r>
        <w:rPr>
          <w:rFonts w:ascii="Times New Roman" w:eastAsia="Times New Roman" w:hAnsi="Times New Roman" w:cs="Times New Roman"/>
          <w:b/>
          <w:bCs/>
          <w:color w:val="000000"/>
          <w:spacing w:val="0"/>
          <w:w w:val="100"/>
          <w:position w:val="0"/>
          <w:sz w:val="18"/>
          <w:szCs w:val="18"/>
        </w:rPr>
        <w:t>2</w:t>
      </w:r>
      <w:r>
        <w:rPr>
          <w:b/>
          <w:bCs/>
          <w:color w:val="000000"/>
          <w:spacing w:val="0"/>
          <w:w w:val="100"/>
          <w:position w:val="0"/>
        </w:rPr>
        <w:t>）</w:t>
        <w:tab/>
        <w:t>企业所得税</w:t>
      </w:r>
    </w:p>
    <w:p>
      <w:pPr>
        <w:pStyle w:val="Style41"/>
        <w:keepNext w:val="0"/>
        <w:keepLines w:val="0"/>
        <w:widowControl w:val="0"/>
        <w:shd w:val="clear" w:color="auto" w:fill="auto"/>
        <w:bidi w:val="0"/>
        <w:spacing w:before="0" w:after="160" w:line="240" w:lineRule="auto"/>
        <w:ind w:left="0" w:right="0" w:firstLine="360"/>
        <w:jc w:val="both"/>
        <w:sectPr>
          <w:headerReference w:type="default" r:id="rId359"/>
          <w:footerReference w:type="default" r:id="rId360"/>
          <w:headerReference w:type="even" r:id="rId361"/>
          <w:footerReference w:type="even" r:id="rId362"/>
          <w:footnotePr>
            <w:pos w:val="pageBottom"/>
            <w:numFmt w:val="decimal"/>
            <w:numRestart w:val="continuous"/>
          </w:footnotePr>
          <w:pgSz w:w="11904" w:h="17375"/>
          <w:pgMar w:top="1674" w:right="1108" w:bottom="1766" w:left="1085" w:header="0" w:footer="3" w:gutter="0"/>
          <w:cols w:space="720"/>
          <w:noEndnote/>
          <w:rtlGutter w:val="0"/>
          <w:docGrid w:linePitch="360"/>
        </w:sectPr>
      </w:pPr>
      <w:r>
        <w:rPr>
          <w:color w:val="000000"/>
          <w:spacing w:val="0"/>
          <w:w w:val="100"/>
          <w:position w:val="0"/>
        </w:rPr>
        <w:t>本公司与本公司子公司北京新媒传信科技有限公司、重庆新媒农信科技有限公司、宁波普天通信技术有限公司、奇点新</w:t>
      </w:r>
    </w:p>
    <w:p>
      <w:pPr>
        <w:pStyle w:val="Style212"/>
        <w:keepNext w:val="0"/>
        <w:keepLines w:val="0"/>
        <w:widowControl w:val="0"/>
        <w:shd w:val="clear" w:color="auto" w:fill="auto"/>
        <w:bidi w:val="0"/>
        <w:spacing w:before="0" w:after="0" w:line="240" w:lineRule="auto"/>
        <w:ind w:left="0" w:right="0" w:firstLine="0"/>
        <w:jc w:val="left"/>
      </w:pPr>
      <w:r>
        <w:rPr>
          <w:spacing w:val="0"/>
          <w:w w:val="100"/>
          <w:position w:val="0"/>
        </w:rPr>
        <w:t>Ultrapoiuer</w:t>
      </w:r>
    </w:p>
    <w:p>
      <w:pPr>
        <w:pStyle w:val="Style41"/>
        <w:keepNext w:val="0"/>
        <w:keepLines w:val="0"/>
        <w:widowControl w:val="0"/>
        <w:shd w:val="clear" w:color="auto" w:fill="auto"/>
        <w:bidi w:val="0"/>
        <w:spacing w:before="0" w:after="0" w:line="464" w:lineRule="exact"/>
        <w:ind w:left="0" w:right="0" w:firstLine="820"/>
        <w:jc w:val="both"/>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 源国际技术开发（北京）有限公司、北京华泰德丰技术有限公司、鼎富智能科技有限公司、北京神州祥升软件有限公司、北 京神州泰岳信息安全技术有限公司，本公司孙公司宁波金信通讯技术有限公司、北京壳木软件有限责任公司、安徽省泰岳祥 升软件有限公司、霍尔果斯小小橙软件开发有限责任公司，根据《企业所得税法》、《高新技术企业认定管理办法》等规定， 本年减按</w:t>
      </w:r>
      <w:r>
        <w:rPr>
          <w:rFonts w:ascii="Times New Roman" w:eastAsia="Times New Roman" w:hAnsi="Times New Roman" w:cs="Times New Roman"/>
          <w:color w:val="000000"/>
          <w:spacing w:val="0"/>
          <w:w w:val="100"/>
          <w:position w:val="0"/>
          <w:sz w:val="18"/>
          <w:szCs w:val="18"/>
        </w:rPr>
        <w:t>15%</w:t>
      </w:r>
      <w:r>
        <w:rPr>
          <w:color w:val="000000"/>
          <w:spacing w:val="0"/>
          <w:w w:val="100"/>
          <w:position w:val="0"/>
        </w:rPr>
        <w:t>的税率征收企业所得税。</w:t>
      </w:r>
    </w:p>
    <w:p>
      <w:pPr>
        <w:pStyle w:val="Style41"/>
        <w:keepNext w:val="0"/>
        <w:keepLines w:val="0"/>
        <w:widowControl w:val="0"/>
        <w:shd w:val="clear" w:color="auto" w:fill="auto"/>
        <w:bidi w:val="0"/>
        <w:spacing w:before="0" w:after="0" w:line="464" w:lineRule="exact"/>
        <w:ind w:left="0" w:right="0"/>
        <w:jc w:val="both"/>
      </w:pPr>
      <w:r>
        <w:rPr>
          <w:color w:val="000000"/>
          <w:spacing w:val="0"/>
          <w:w w:val="100"/>
          <w:position w:val="0"/>
        </w:rPr>
        <w:t>霍尔果斯于艺网络科技有限公司</w:t>
      </w:r>
      <w:r>
        <w:rPr>
          <w:rFonts w:ascii="Times New Roman" w:eastAsia="Times New Roman" w:hAnsi="Times New Roman" w:cs="Times New Roman"/>
          <w:color w:val="000000"/>
          <w:spacing w:val="0"/>
          <w:w w:val="100"/>
          <w:position w:val="0"/>
          <w:sz w:val="18"/>
          <w:szCs w:val="18"/>
        </w:rPr>
        <w:t>2016</w:t>
      </w:r>
      <w:r>
        <w:rPr>
          <w:color w:val="000000"/>
          <w:spacing w:val="0"/>
          <w:w w:val="100"/>
          <w:position w:val="0"/>
        </w:rPr>
        <w:t>年备案登记为特殊经济开发区新办企业,享受自取得第一笔生产经营收入所属纳税 年度起，五年内免征企业所得税，本年为所得税免征的第五年。</w:t>
      </w:r>
    </w:p>
    <w:p>
      <w:pPr>
        <w:pStyle w:val="Style41"/>
        <w:keepNext w:val="0"/>
        <w:keepLines w:val="0"/>
        <w:widowControl w:val="0"/>
        <w:shd w:val="clear" w:color="auto" w:fill="auto"/>
        <w:bidi w:val="0"/>
        <w:spacing w:before="0" w:after="0" w:line="464" w:lineRule="exact"/>
        <w:ind w:left="0" w:right="0"/>
        <w:jc w:val="both"/>
      </w:pPr>
      <w:r>
        <w:rPr>
          <w:color w:val="000000"/>
          <w:spacing w:val="0"/>
          <w:w w:val="100"/>
          <w:position w:val="0"/>
        </w:rPr>
        <w:t>天津泰岳小漫科技有限公司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年被评估认定为软件企业，自</w:t>
      </w:r>
      <w:r>
        <w:rPr>
          <w:rFonts w:ascii="Times New Roman" w:eastAsia="Times New Roman" w:hAnsi="Times New Roman" w:cs="Times New Roman"/>
          <w:color w:val="000000"/>
          <w:spacing w:val="0"/>
          <w:w w:val="100"/>
          <w:position w:val="0"/>
          <w:sz w:val="18"/>
          <w:szCs w:val="18"/>
        </w:rPr>
        <w:t>2018</w:t>
      </w:r>
      <w:r>
        <w:rPr>
          <w:color w:val="000000"/>
          <w:spacing w:val="0"/>
          <w:w w:val="100"/>
          <w:position w:val="0"/>
        </w:rPr>
        <w:t>年起享受所得税两免三减半优惠政策，本年为所得税 两免三减半的第</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年，即减按</w:t>
      </w:r>
      <w:r>
        <w:rPr>
          <w:rFonts w:ascii="Times New Roman" w:eastAsia="Times New Roman" w:hAnsi="Times New Roman" w:cs="Times New Roman"/>
          <w:color w:val="000000"/>
          <w:spacing w:val="0"/>
          <w:w w:val="100"/>
          <w:position w:val="0"/>
          <w:sz w:val="18"/>
          <w:szCs w:val="18"/>
        </w:rPr>
        <w:t>12.5%</w:t>
      </w:r>
      <w:r>
        <w:rPr>
          <w:color w:val="000000"/>
          <w:spacing w:val="0"/>
          <w:w w:val="100"/>
          <w:position w:val="0"/>
        </w:rPr>
        <w:t>的税率征收企业所得税。</w:t>
      </w:r>
    </w:p>
    <w:p>
      <w:pPr>
        <w:pStyle w:val="Style41"/>
        <w:keepNext w:val="0"/>
        <w:keepLines w:val="0"/>
        <w:widowControl w:val="0"/>
        <w:shd w:val="clear" w:color="auto" w:fill="auto"/>
        <w:bidi w:val="0"/>
        <w:spacing w:before="0" w:after="460" w:line="464" w:lineRule="exact"/>
        <w:ind w:left="0" w:right="0"/>
        <w:jc w:val="both"/>
      </w:pPr>
      <w:r>
        <w:rPr>
          <w:color w:val="000000"/>
          <w:spacing w:val="0"/>
          <w:w w:val="100"/>
          <w:position w:val="0"/>
        </w:rPr>
        <w:t>公司需遵守《深圳证券交易所行业信息披露指引第</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号——上市公司从事软件与信息技术服务业务》的披露要求</w:t>
      </w:r>
    </w:p>
    <w:p>
      <w:pPr>
        <w:pStyle w:val="Style47"/>
        <w:keepNext/>
        <w:keepLines/>
        <w:widowControl w:val="0"/>
        <w:shd w:val="clear" w:color="auto" w:fill="auto"/>
        <w:bidi w:val="0"/>
        <w:spacing w:before="0" w:after="120" w:line="240" w:lineRule="auto"/>
        <w:ind w:left="0" w:right="0" w:firstLine="0"/>
        <w:jc w:val="both"/>
      </w:pPr>
      <w:bookmarkStart w:id="1219" w:name="bookmark1219"/>
      <w:bookmarkStart w:id="1220" w:name="bookmark1220"/>
      <w:bookmarkStart w:id="1221" w:name="bookmark1221"/>
      <w:bookmarkStart w:id="1222" w:name="bookmark1222"/>
      <w:r>
        <w:rPr>
          <w:color w:val="000000"/>
          <w:spacing w:val="0"/>
          <w:w w:val="100"/>
          <w:position w:val="0"/>
        </w:rPr>
        <w:t>3</w:t>
      </w:r>
      <w:bookmarkEnd w:id="1221"/>
      <w:r>
        <w:rPr>
          <w:color w:val="000000"/>
          <w:spacing w:val="0"/>
          <w:w w:val="100"/>
          <w:position w:val="0"/>
        </w:rPr>
        <w:t>、其他</w:t>
      </w:r>
      <w:bookmarkEnd w:id="1219"/>
      <w:bookmarkEnd w:id="1220"/>
      <w:bookmarkEnd w:id="1222"/>
    </w:p>
    <w:p>
      <w:pPr>
        <w:pStyle w:val="Style41"/>
        <w:keepNext w:val="0"/>
        <w:keepLines w:val="0"/>
        <w:widowControl w:val="0"/>
        <w:shd w:val="clear" w:color="auto" w:fill="auto"/>
        <w:bidi w:val="0"/>
        <w:spacing w:before="0" w:after="380" w:line="464" w:lineRule="exact"/>
        <w:ind w:left="0" w:right="0"/>
        <w:jc w:val="both"/>
      </w:pPr>
      <w:r>
        <w:rPr>
          <w:color w:val="000000"/>
          <w:spacing w:val="0"/>
          <w:w w:val="100"/>
          <w:position w:val="0"/>
        </w:rPr>
        <w:t>无。</w:t>
      </w:r>
    </w:p>
    <w:p>
      <w:pPr>
        <w:pStyle w:val="Style39"/>
        <w:keepNext/>
        <w:keepLines/>
        <w:widowControl w:val="0"/>
        <w:shd w:val="clear" w:color="auto" w:fill="auto"/>
        <w:bidi w:val="0"/>
        <w:spacing w:before="0" w:after="380" w:line="240" w:lineRule="auto"/>
        <w:ind w:left="0" w:right="0" w:firstLine="0"/>
        <w:jc w:val="left"/>
      </w:pPr>
      <w:bookmarkStart w:id="1223" w:name="bookmark1223"/>
      <w:bookmarkStart w:id="1224" w:name="bookmark1224"/>
      <w:bookmarkStart w:id="1225" w:name="bookmark1225"/>
      <w:bookmarkStart w:id="1226" w:name="bookmark1226"/>
      <w:r>
        <w:rPr>
          <w:color w:val="000000"/>
          <w:spacing w:val="0"/>
          <w:w w:val="100"/>
          <w:position w:val="0"/>
          <w:sz w:val="24"/>
          <w:szCs w:val="24"/>
        </w:rPr>
        <w:t>七</w:t>
      </w:r>
      <w:bookmarkEnd w:id="1225"/>
      <w:r>
        <w:rPr>
          <w:color w:val="000000"/>
          <w:spacing w:val="0"/>
          <w:w w:val="100"/>
          <w:position w:val="0"/>
          <w:sz w:val="24"/>
          <w:szCs w:val="24"/>
        </w:rPr>
        <w:t>、合并财务报表项目注释</w:t>
      </w:r>
      <w:bookmarkEnd w:id="1223"/>
      <w:bookmarkEnd w:id="1224"/>
      <w:bookmarkEnd w:id="1226"/>
    </w:p>
    <w:p>
      <w:pPr>
        <w:pStyle w:val="Style47"/>
        <w:keepNext/>
        <w:keepLines/>
        <w:widowControl w:val="0"/>
        <w:shd w:val="clear" w:color="auto" w:fill="auto"/>
        <w:bidi w:val="0"/>
        <w:spacing w:before="0" w:after="380" w:line="240" w:lineRule="auto"/>
        <w:ind w:left="0" w:right="0" w:firstLine="0"/>
        <w:jc w:val="left"/>
      </w:pPr>
      <w:bookmarkStart w:id="1227" w:name="bookmark1227"/>
      <w:bookmarkStart w:id="1228" w:name="bookmark1228"/>
      <w:bookmarkStart w:id="1229" w:name="bookmark1229"/>
      <w:bookmarkStart w:id="1230" w:name="bookmark1230"/>
      <w:r>
        <w:rPr>
          <w:color w:val="000000"/>
          <w:spacing w:val="0"/>
          <w:w w:val="100"/>
          <w:position w:val="0"/>
        </w:rPr>
        <w:t>1</w:t>
      </w:r>
      <w:bookmarkEnd w:id="1229"/>
      <w:r>
        <w:rPr>
          <w:color w:val="000000"/>
          <w:spacing w:val="0"/>
          <w:w w:val="100"/>
          <w:position w:val="0"/>
        </w:rPr>
        <w:t>、货币资金</w:t>
      </w:r>
      <w:bookmarkEnd w:id="1227"/>
      <w:bookmarkEnd w:id="1228"/>
      <w:bookmarkEnd w:id="1230"/>
    </w:p>
    <w:p>
      <w:pPr>
        <w:pStyle w:val="Style41"/>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3197"/>
        <w:gridCol w:w="3192"/>
        <w:gridCol w:w="3202"/>
      </w:tblGrid>
      <w:tr>
        <w:trPr>
          <w:trHeight w:val="40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库存现金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93,228.68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45,831.54</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银行存款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rPr>
                <w:sz w:val="18"/>
                <w:szCs w:val="18"/>
              </w:rPr>
            </w:pPr>
            <w:r>
              <w:rPr>
                <w:rFonts w:ascii="Times New Roman" w:eastAsia="Times New Roman" w:hAnsi="Times New Roman" w:cs="Times New Roman"/>
                <w:color w:val="000000"/>
                <w:spacing w:val="0"/>
                <w:w w:val="100"/>
                <w:position w:val="0"/>
                <w:sz w:val="18"/>
                <w:szCs w:val="18"/>
              </w:rPr>
              <w:t>850,552,227.20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rPr>
                <w:sz w:val="18"/>
                <w:szCs w:val="18"/>
              </w:rPr>
            </w:pPr>
            <w:r>
              <w:rPr>
                <w:rFonts w:ascii="Times New Roman" w:eastAsia="Times New Roman" w:hAnsi="Times New Roman" w:cs="Times New Roman"/>
                <w:color w:val="000000"/>
                <w:spacing w:val="0"/>
                <w:w w:val="100"/>
                <w:position w:val="0"/>
                <w:sz w:val="18"/>
                <w:szCs w:val="18"/>
              </w:rPr>
              <w:t>814,312,006.47</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其他货币资金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26,078,888.41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40,121,823.76</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rPr>
                <w:sz w:val="18"/>
                <w:szCs w:val="18"/>
              </w:rPr>
            </w:pPr>
            <w:r>
              <w:rPr>
                <w:rFonts w:ascii="Times New Roman" w:eastAsia="Times New Roman" w:hAnsi="Times New Roman" w:cs="Times New Roman"/>
                <w:color w:val="000000"/>
                <w:spacing w:val="0"/>
                <w:w w:val="100"/>
                <w:position w:val="0"/>
                <w:sz w:val="18"/>
                <w:szCs w:val="18"/>
              </w:rPr>
              <w:t>876,724,344.29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rPr>
                <w:sz w:val="18"/>
                <w:szCs w:val="18"/>
              </w:rPr>
            </w:pPr>
            <w:r>
              <w:rPr>
                <w:rFonts w:ascii="Times New Roman" w:eastAsia="Times New Roman" w:hAnsi="Times New Roman" w:cs="Times New Roman"/>
                <w:color w:val="000000"/>
                <w:spacing w:val="0"/>
                <w:w w:val="100"/>
                <w:position w:val="0"/>
                <w:sz w:val="18"/>
                <w:szCs w:val="18"/>
              </w:rPr>
              <w:t>854,479,661.77</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200"/>
              <w:jc w:val="left"/>
            </w:pPr>
            <w:r>
              <w:rPr>
                <w:color w:val="000000"/>
                <w:spacing w:val="0"/>
                <w:w w:val="100"/>
                <w:position w:val="0"/>
              </w:rPr>
              <w:t>其中：存放在境外的款项总额</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rPr>
                <w:sz w:val="18"/>
                <w:szCs w:val="18"/>
              </w:rPr>
            </w:pPr>
            <w:r>
              <w:rPr>
                <w:rFonts w:ascii="Times New Roman" w:eastAsia="Times New Roman" w:hAnsi="Times New Roman" w:cs="Times New Roman"/>
                <w:color w:val="000000"/>
                <w:spacing w:val="0"/>
                <w:w w:val="100"/>
                <w:position w:val="0"/>
                <w:sz w:val="18"/>
                <w:szCs w:val="18"/>
              </w:rPr>
              <w:t>122,334,739.31</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rPr>
                <w:sz w:val="18"/>
                <w:szCs w:val="18"/>
              </w:rPr>
            </w:pPr>
            <w:r>
              <w:rPr>
                <w:rFonts w:ascii="Times New Roman" w:eastAsia="Times New Roman" w:hAnsi="Times New Roman" w:cs="Times New Roman"/>
                <w:color w:val="000000"/>
                <w:spacing w:val="0"/>
                <w:w w:val="100"/>
                <w:position w:val="0"/>
                <w:sz w:val="18"/>
                <w:szCs w:val="18"/>
              </w:rPr>
              <w:t>117,295,526.13</w:t>
            </w:r>
          </w:p>
        </w:tc>
      </w:tr>
    </w:tbl>
    <w:p>
      <w:pPr>
        <w:widowControl w:val="0"/>
        <w:spacing w:after="119" w:line="1" w:lineRule="exact"/>
      </w:pPr>
    </w:p>
    <w:p>
      <w:pPr>
        <w:pStyle w:val="Style41"/>
        <w:keepNext w:val="0"/>
        <w:keepLines w:val="0"/>
        <w:widowControl w:val="0"/>
        <w:shd w:val="clear" w:color="auto" w:fill="auto"/>
        <w:bidi w:val="0"/>
        <w:spacing w:before="0" w:after="260" w:line="240" w:lineRule="auto"/>
        <w:ind w:left="0" w:right="0"/>
        <w:jc w:val="both"/>
      </w:pPr>
      <w:r>
        <w:rPr>
          <w:color w:val="000000"/>
          <w:spacing w:val="0"/>
          <w:w w:val="100"/>
          <w:position w:val="0"/>
        </w:rPr>
        <w:t>其他说明</w:t>
      </w:r>
    </w:p>
    <w:p>
      <w:pPr>
        <w:pStyle w:val="Style41"/>
        <w:keepNext w:val="0"/>
        <w:keepLines w:val="0"/>
        <w:widowControl w:val="0"/>
        <w:shd w:val="clear" w:color="auto" w:fill="auto"/>
        <w:bidi w:val="0"/>
        <w:spacing w:before="0" w:after="460" w:line="240" w:lineRule="auto"/>
        <w:ind w:left="0" w:right="0"/>
        <w:jc w:val="both"/>
      </w:pPr>
      <w:r>
        <w:rPr>
          <w:color w:val="000000"/>
          <w:spacing w:val="0"/>
          <w:w w:val="100"/>
          <w:position w:val="0"/>
        </w:rPr>
        <w:t>其中因抵押、质押或冻结等对使用有限制，以及放在境外且资金汇回受到限制的货币资金明细如下:</w:t>
      </w:r>
    </w:p>
    <w:tbl>
      <w:tblPr>
        <w:tblOverlap w:val="never"/>
        <w:jc w:val="center"/>
        <w:tblLayout w:type="fixed"/>
      </w:tblPr>
      <w:tblGrid>
        <w:gridCol w:w="4138"/>
        <w:gridCol w:w="2539"/>
        <w:gridCol w:w="2851"/>
      </w:tblGrid>
      <w:tr>
        <w:trPr>
          <w:trHeight w:val="442"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上年年末余额</w:t>
            </w:r>
          </w:p>
        </w:tc>
      </w:tr>
      <w:tr>
        <w:trPr>
          <w:trHeight w:val="427"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使用受限的</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借转补</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资金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21,507,318.63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21,169,117.10</w:t>
            </w:r>
          </w:p>
        </w:tc>
      </w:tr>
      <w:tr>
        <w:trPr>
          <w:trHeight w:val="427"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存放的受限银行存款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79,064.99</w:t>
            </w:r>
          </w:p>
        </w:tc>
        <w:tc>
          <w:tcPr>
            <w:tcBorders>
              <w:top w:val="single" w:sz="4"/>
              <w:left w:val="single" w:sz="4"/>
              <w:right w:val="single" w:sz="4"/>
            </w:tcBorders>
            <w:shd w:val="clear" w:color="auto" w:fill="FFFFFF"/>
            <w:vAlign w:val="top"/>
          </w:tcPr>
          <w:p>
            <w:pPr>
              <w:widowControl w:val="0"/>
              <w:rPr>
                <w:sz w:val="10"/>
                <w:szCs w:val="10"/>
              </w:rPr>
            </w:pPr>
          </w:p>
        </w:tc>
      </w:tr>
      <w:tr>
        <w:trPr>
          <w:trHeight w:val="427"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境外信用卡保证金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2,491,433.43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2,655,828.25</w:t>
            </w:r>
          </w:p>
        </w:tc>
      </w:tr>
      <w:tr>
        <w:trPr>
          <w:trHeight w:val="41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银行保函保证金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20,650,505.60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31,034,230.05</w:t>
            </w:r>
          </w:p>
        </w:tc>
      </w:tr>
      <w:tr>
        <w:trPr>
          <w:trHeight w:val="442"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支付宝保证金</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30,000.00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40,000.00</w:t>
            </w:r>
          </w:p>
        </w:tc>
      </w:tr>
    </w:tbl>
    <w:p>
      <w:pPr>
        <w:sectPr>
          <w:headerReference w:type="default" r:id="rId363"/>
          <w:footerReference w:type="default" r:id="rId364"/>
          <w:headerReference w:type="even" r:id="rId365"/>
          <w:footerReference w:type="even" r:id="rId366"/>
          <w:footnotePr>
            <w:pos w:val="pageBottom"/>
            <w:numFmt w:val="decimal"/>
            <w:numRestart w:val="continuous"/>
          </w:footnotePr>
          <w:pgSz w:w="11904" w:h="17375"/>
          <w:pgMar w:top="1070" w:right="1022" w:bottom="1425" w:left="1099" w:header="0" w:footer="3" w:gutter="0"/>
          <w:cols w:space="720"/>
          <w:noEndnote/>
          <w:rtlGutter w:val="0"/>
          <w:docGrid w:linePitch="360"/>
        </w:sectPr>
      </w:pPr>
    </w:p>
    <w:tbl>
      <w:tblPr>
        <w:tblOverlap w:val="never"/>
        <w:jc w:val="center"/>
        <w:tblLayout w:type="fixed"/>
      </w:tblPr>
      <w:tblGrid>
        <w:gridCol w:w="4138"/>
        <w:gridCol w:w="2544"/>
        <w:gridCol w:w="2846"/>
      </w:tblGrid>
      <w:tr>
        <w:trPr>
          <w:trHeight w:val="499"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其他保证金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1,574.26</w:t>
            </w:r>
          </w:p>
        </w:tc>
      </w:tr>
      <w:tr>
        <w:trPr>
          <w:trHeight w:val="427"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银行承兑汇票保证金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3,541,222.81</w:t>
            </w:r>
          </w:p>
        </w:tc>
      </w:tr>
      <w:tr>
        <w:trPr>
          <w:trHeight w:val="446"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44,758,322.65</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58,441,972.47</w:t>
            </w:r>
          </w:p>
        </w:tc>
      </w:tr>
    </w:tbl>
    <w:p>
      <w:pPr>
        <w:widowControl w:val="0"/>
        <w:spacing w:after="639" w:line="1" w:lineRule="exact"/>
      </w:pPr>
    </w:p>
    <w:p>
      <w:pPr>
        <w:pStyle w:val="Style47"/>
        <w:keepNext/>
        <w:keepLines/>
        <w:widowControl w:val="0"/>
        <w:shd w:val="clear" w:color="auto" w:fill="auto"/>
        <w:bidi w:val="0"/>
        <w:spacing w:before="0" w:after="380" w:line="240" w:lineRule="auto"/>
        <w:ind w:left="0" w:right="0" w:firstLine="0"/>
        <w:jc w:val="left"/>
      </w:pPr>
      <w:bookmarkStart w:id="1231" w:name="bookmark1231"/>
      <w:bookmarkStart w:id="1232" w:name="bookmark1232"/>
      <w:bookmarkStart w:id="1233" w:name="bookmark1233"/>
      <w:bookmarkStart w:id="1234" w:name="bookmark1234"/>
      <w:r>
        <w:rPr>
          <w:color w:val="000000"/>
          <w:spacing w:val="0"/>
          <w:w w:val="100"/>
          <w:position w:val="0"/>
        </w:rPr>
        <w:t>2</w:t>
      </w:r>
      <w:bookmarkEnd w:id="1233"/>
      <w:r>
        <w:rPr>
          <w:color w:val="000000"/>
          <w:spacing w:val="0"/>
          <w:w w:val="100"/>
          <w:position w:val="0"/>
        </w:rPr>
        <w:t>、交易性金融资产</w:t>
      </w:r>
      <w:bookmarkEnd w:id="1231"/>
      <w:bookmarkEnd w:id="1232"/>
      <w:bookmarkEnd w:id="1234"/>
    </w:p>
    <w:p>
      <w:pPr>
        <w:pStyle w:val="Style41"/>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center"/>
        <w:tblLayout w:type="fixed"/>
      </w:tblPr>
      <w:tblGrid>
        <w:gridCol w:w="3197"/>
        <w:gridCol w:w="3192"/>
        <w:gridCol w:w="3202"/>
      </w:tblGrid>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以公允价值计量且其变动计入当期损益 的金融资产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145,591,819.22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left"/>
              <w:rPr>
                <w:sz w:val="18"/>
                <w:szCs w:val="18"/>
              </w:rPr>
            </w:pPr>
            <w:r>
              <w:rPr>
                <w:rFonts w:ascii="Times New Roman" w:eastAsia="Times New Roman" w:hAnsi="Times New Roman" w:cs="Times New Roman"/>
                <w:color w:val="000000"/>
                <w:spacing w:val="0"/>
                <w:w w:val="100"/>
                <w:position w:val="0"/>
                <w:sz w:val="18"/>
                <w:szCs w:val="18"/>
              </w:rPr>
              <w:t>41,752,400.00</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200"/>
              <w:jc w:val="left"/>
            </w:pPr>
            <w:r>
              <w:rPr>
                <w:color w:val="000000"/>
                <w:spacing w:val="0"/>
                <w:w w:val="100"/>
                <w:position w:val="0"/>
              </w:rPr>
              <w:t>其中：</w:t>
            </w:r>
          </w:p>
        </w:tc>
        <w:tc>
          <w:tcPr>
            <w:tcBorders>
              <w:top w:val="single" w:sz="4"/>
              <w:left w:val="single" w:sz="4"/>
            </w:tcBorders>
            <w:shd w:val="clear" w:color="auto" w:fill="D7D7D7"/>
            <w:vAlign w:val="top"/>
          </w:tcPr>
          <w:p>
            <w:pPr>
              <w:widowControl w:val="0"/>
              <w:rPr>
                <w:sz w:val="10"/>
                <w:szCs w:val="10"/>
              </w:rPr>
            </w:pPr>
          </w:p>
        </w:tc>
        <w:tc>
          <w:tcPr>
            <w:tcBorders>
              <w:top w:val="single" w:sz="4"/>
              <w:left w:val="single" w:sz="4"/>
              <w:right w:val="single" w:sz="4"/>
            </w:tcBorders>
            <w:shd w:val="clear" w:color="auto" w:fill="D7D7D7"/>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pPr>
            <w:r>
              <w:rPr>
                <w:color w:val="000000"/>
                <w:spacing w:val="0"/>
                <w:w w:val="100"/>
                <w:position w:val="0"/>
              </w:rPr>
              <w:t>债务工具投资</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银行理财产品</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47,681,508.92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left"/>
              <w:rPr>
                <w:sz w:val="18"/>
                <w:szCs w:val="18"/>
              </w:rPr>
            </w:pPr>
            <w:r>
              <w:rPr>
                <w:rFonts w:ascii="Times New Roman" w:eastAsia="Times New Roman" w:hAnsi="Times New Roman" w:cs="Times New Roman"/>
                <w:color w:val="000000"/>
                <w:spacing w:val="0"/>
                <w:w w:val="100"/>
                <w:position w:val="0"/>
                <w:sz w:val="18"/>
                <w:szCs w:val="18"/>
              </w:rPr>
              <w:t>31,752,400.00</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pPr>
            <w:r>
              <w:rPr>
                <w:color w:val="000000"/>
                <w:spacing w:val="0"/>
                <w:w w:val="100"/>
                <w:position w:val="0"/>
              </w:rPr>
              <w:t>债务工具投资</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结构性存款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97,910,310.30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left"/>
              <w:rPr>
                <w:sz w:val="18"/>
                <w:szCs w:val="18"/>
              </w:rPr>
            </w:pPr>
            <w:r>
              <w:rPr>
                <w:rFonts w:ascii="Times New Roman" w:eastAsia="Times New Roman" w:hAnsi="Times New Roman" w:cs="Times New Roman"/>
                <w:color w:val="000000"/>
                <w:spacing w:val="0"/>
                <w:w w:val="100"/>
                <w:position w:val="0"/>
                <w:sz w:val="18"/>
                <w:szCs w:val="18"/>
              </w:rPr>
              <w:t>10,000,000.00</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145,591,819.22</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left"/>
              <w:rPr>
                <w:sz w:val="18"/>
                <w:szCs w:val="18"/>
              </w:rPr>
            </w:pPr>
            <w:r>
              <w:rPr>
                <w:rFonts w:ascii="Times New Roman" w:eastAsia="Times New Roman" w:hAnsi="Times New Roman" w:cs="Times New Roman"/>
                <w:color w:val="000000"/>
                <w:spacing w:val="0"/>
                <w:w w:val="100"/>
                <w:position w:val="0"/>
                <w:sz w:val="18"/>
                <w:szCs w:val="18"/>
              </w:rPr>
              <w:t>41,752,400.00</w:t>
            </w:r>
          </w:p>
        </w:tc>
      </w:tr>
    </w:tbl>
    <w:p>
      <w:pPr>
        <w:widowControl w:val="0"/>
        <w:spacing w:after="79" w:line="1" w:lineRule="exact"/>
      </w:pPr>
    </w:p>
    <w:p>
      <w:pPr>
        <w:pStyle w:val="Style41"/>
        <w:keepNext w:val="0"/>
        <w:keepLines w:val="0"/>
        <w:widowControl w:val="0"/>
        <w:shd w:val="clear" w:color="auto" w:fill="auto"/>
        <w:bidi w:val="0"/>
        <w:spacing w:before="0" w:after="380" w:line="240" w:lineRule="auto"/>
        <w:ind w:left="0" w:right="0" w:firstLine="0"/>
        <w:jc w:val="left"/>
      </w:pPr>
      <w:r>
        <w:rPr>
          <w:color w:val="000000"/>
          <w:spacing w:val="0"/>
          <w:w w:val="100"/>
          <w:position w:val="0"/>
        </w:rPr>
        <w:t>其他说明：无。</w:t>
      </w:r>
    </w:p>
    <w:p>
      <w:pPr>
        <w:pStyle w:val="Style47"/>
        <w:keepNext/>
        <w:keepLines/>
        <w:widowControl w:val="0"/>
        <w:shd w:val="clear" w:color="auto" w:fill="auto"/>
        <w:bidi w:val="0"/>
        <w:spacing w:before="0" w:after="480" w:line="240" w:lineRule="auto"/>
        <w:ind w:left="0" w:right="0" w:firstLine="0"/>
        <w:jc w:val="both"/>
      </w:pPr>
      <w:bookmarkStart w:id="1235" w:name="bookmark1235"/>
      <w:bookmarkStart w:id="1236" w:name="bookmark1236"/>
      <w:bookmarkStart w:id="1237" w:name="bookmark1237"/>
      <w:bookmarkStart w:id="1238" w:name="bookmark1238"/>
      <w:r>
        <w:rPr>
          <w:color w:val="000000"/>
          <w:spacing w:val="0"/>
          <w:w w:val="100"/>
          <w:position w:val="0"/>
        </w:rPr>
        <w:t>3</w:t>
      </w:r>
      <w:bookmarkEnd w:id="1237"/>
      <w:r>
        <w:rPr>
          <w:color w:val="000000"/>
          <w:spacing w:val="0"/>
          <w:w w:val="100"/>
          <w:position w:val="0"/>
        </w:rPr>
        <w:t>、衍生金融资产</w:t>
      </w:r>
      <w:bookmarkEnd w:id="1235"/>
      <w:bookmarkEnd w:id="1236"/>
      <w:bookmarkEnd w:id="1238"/>
    </w:p>
    <w:p>
      <w:pPr>
        <w:pStyle w:val="Style41"/>
        <w:keepNext w:val="0"/>
        <w:keepLines w:val="0"/>
        <w:widowControl w:val="0"/>
        <w:shd w:val="clear" w:color="auto" w:fill="auto"/>
        <w:bidi w:val="0"/>
        <w:spacing w:before="0" w:after="480" w:line="240" w:lineRule="auto"/>
        <w:ind w:left="0" w:right="0"/>
        <w:jc w:val="left"/>
      </w:pPr>
      <w:r>
        <w:rPr>
          <w:color w:val="000000"/>
          <w:spacing w:val="0"/>
          <w:w w:val="100"/>
          <w:position w:val="0"/>
        </w:rPr>
        <w:t>无。</w:t>
      </w:r>
    </w:p>
    <w:p>
      <w:pPr>
        <w:pStyle w:val="Style47"/>
        <w:keepNext/>
        <w:keepLines/>
        <w:widowControl w:val="0"/>
        <w:shd w:val="clear" w:color="auto" w:fill="auto"/>
        <w:bidi w:val="0"/>
        <w:spacing w:before="0" w:after="380" w:line="240" w:lineRule="auto"/>
        <w:ind w:left="0" w:right="0" w:firstLine="0"/>
        <w:jc w:val="left"/>
      </w:pPr>
      <w:bookmarkStart w:id="1239" w:name="bookmark1239"/>
      <w:bookmarkStart w:id="1240" w:name="bookmark1240"/>
      <w:bookmarkStart w:id="1241" w:name="bookmark1241"/>
      <w:bookmarkStart w:id="1242" w:name="bookmark1242"/>
      <w:r>
        <w:rPr>
          <w:color w:val="000000"/>
          <w:spacing w:val="0"/>
          <w:w w:val="100"/>
          <w:position w:val="0"/>
        </w:rPr>
        <w:t>4</w:t>
      </w:r>
      <w:bookmarkEnd w:id="1241"/>
      <w:r>
        <w:rPr>
          <w:color w:val="000000"/>
          <w:spacing w:val="0"/>
          <w:w w:val="100"/>
          <w:position w:val="0"/>
        </w:rPr>
        <w:t>、应收票据</w:t>
      </w:r>
      <w:bookmarkEnd w:id="1239"/>
      <w:bookmarkEnd w:id="1240"/>
      <w:bookmarkEnd w:id="1242"/>
    </w:p>
    <w:p>
      <w:pPr>
        <w:pStyle w:val="Style58"/>
        <w:keepNext/>
        <w:keepLines/>
        <w:widowControl w:val="0"/>
        <w:numPr>
          <w:ilvl w:val="0"/>
          <w:numId w:val="31"/>
        </w:numPr>
        <w:shd w:val="clear" w:color="auto" w:fill="auto"/>
        <w:bidi w:val="0"/>
        <w:spacing w:before="0" w:after="380" w:line="240" w:lineRule="auto"/>
        <w:ind w:left="0" w:right="0" w:firstLine="140"/>
        <w:jc w:val="left"/>
        <w:rPr>
          <w:sz w:val="20"/>
          <w:szCs w:val="20"/>
        </w:rPr>
      </w:pPr>
      <w:bookmarkStart w:id="1243" w:name="bookmark1243"/>
      <w:bookmarkStart w:id="1244" w:name="bookmark1244"/>
      <w:bookmarkStart w:id="1245" w:name="bookmark1245"/>
      <w:bookmarkStart w:id="1246" w:name="bookmark1246"/>
      <w:bookmarkEnd w:id="1245"/>
      <w:r>
        <w:rPr>
          <w:b/>
          <w:bCs/>
          <w:color w:val="000000"/>
          <w:spacing w:val="0"/>
          <w:w w:val="100"/>
          <w:position w:val="0"/>
          <w:sz w:val="20"/>
          <w:szCs w:val="20"/>
        </w:rPr>
        <w:t>应收票据分类列示</w:t>
      </w:r>
      <w:bookmarkEnd w:id="1243"/>
      <w:bookmarkEnd w:id="1244"/>
      <w:bookmarkEnd w:id="1246"/>
    </w:p>
    <w:p>
      <w:pPr>
        <w:pStyle w:val="Style41"/>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center"/>
        <w:tblLayout w:type="fixed"/>
      </w:tblPr>
      <w:tblGrid>
        <w:gridCol w:w="3192"/>
        <w:gridCol w:w="3192"/>
        <w:gridCol w:w="3202"/>
      </w:tblGrid>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商业承兑票据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3,877,151.40</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3,877,151.40</w:t>
            </w:r>
          </w:p>
        </w:tc>
      </w:tr>
    </w:tbl>
    <w:p>
      <w:pPr>
        <w:widowControl w:val="0"/>
        <w:spacing w:after="79" w:line="1" w:lineRule="exact"/>
      </w:pPr>
    </w:p>
    <w:p>
      <w:pPr>
        <w:pStyle w:val="Style41"/>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center"/>
        <w:tblLayout w:type="fixed"/>
      </w:tblPr>
      <w:tblGrid>
        <w:gridCol w:w="1642"/>
        <w:gridCol w:w="763"/>
        <w:gridCol w:w="758"/>
        <w:gridCol w:w="763"/>
        <w:gridCol w:w="758"/>
        <w:gridCol w:w="797"/>
        <w:gridCol w:w="773"/>
        <w:gridCol w:w="797"/>
        <w:gridCol w:w="931"/>
        <w:gridCol w:w="797"/>
        <w:gridCol w:w="802"/>
      </w:tblGrid>
      <w:tr>
        <w:trPr>
          <w:trHeight w:val="403" w:hRule="exact"/>
        </w:trPr>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类别</w:t>
            </w:r>
          </w:p>
        </w:tc>
        <w:tc>
          <w:tcPr>
            <w:gridSpan w:val="5"/>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gridSpan w:val="5"/>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403" w:hRule="exact"/>
        </w:trPr>
        <w:tc>
          <w:tcPr>
            <w:vMerge/>
            <w:tcBorders>
              <w:left w:val="single" w:sz="4"/>
            </w:tcBorders>
            <w:shd w:val="clear" w:color="auto" w:fill="D7D7D7"/>
            <w:vAlign w:val="center"/>
          </w:tcPr>
          <w:p>
            <w:pPr/>
          </w:p>
        </w:tc>
        <w:tc>
          <w:tcPr>
            <w:gridSpan w:val="2"/>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gridSpan w:val="2"/>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账面价值</w:t>
            </w:r>
          </w:p>
        </w:tc>
        <w:tc>
          <w:tcPr>
            <w:gridSpan w:val="2"/>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gridSpan w:val="2"/>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vMerge w:val="restart"/>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账面价值</w:t>
            </w:r>
          </w:p>
        </w:tc>
      </w:tr>
      <w:tr>
        <w:trPr>
          <w:trHeight w:val="715" w:hRule="exact"/>
        </w:trPr>
        <w:tc>
          <w:tcPr>
            <w:vMerge/>
            <w:tcBorders>
              <w:left w:val="single" w:sz="4"/>
            </w:tcBorders>
            <w:shd w:val="clear" w:color="auto" w:fill="D7D7D7"/>
            <w:vAlign w:val="center"/>
          </w:tcPr>
          <w:p>
            <w:pP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比例</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计提比 例</w:t>
            </w:r>
          </w:p>
        </w:tc>
        <w:tc>
          <w:tcPr>
            <w:vMerge/>
            <w:tcBorders>
              <w:left w:val="single" w:sz="4"/>
            </w:tcBorders>
            <w:shd w:val="clear" w:color="auto" w:fill="D7D7D7"/>
            <w:vAlign w:val="center"/>
          </w:tcPr>
          <w:p>
            <w:pP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200" w:firstLine="0"/>
              <w:jc w:val="right"/>
            </w:pPr>
            <w:r>
              <w:rPr>
                <w:color w:val="000000"/>
                <w:spacing w:val="0"/>
                <w:w w:val="100"/>
                <w:position w:val="0"/>
              </w:rPr>
              <w:t>金额</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比例</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计提比例</w:t>
            </w:r>
          </w:p>
        </w:tc>
        <w:tc>
          <w:tcPr>
            <w:vMerge/>
            <w:tcBorders>
              <w:left w:val="single" w:sz="4"/>
              <w:right w:val="single" w:sz="4"/>
            </w:tcBorders>
            <w:shd w:val="clear" w:color="auto" w:fill="D7D7D7"/>
            <w:vAlign w:val="center"/>
          </w:tcPr>
          <w:p>
            <w:pP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按组合计提坏账准 备的应收票据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4,081,212</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204,060.60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3,877,151</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.40</w:t>
            </w:r>
          </w:p>
        </w:tc>
      </w:tr>
      <w:tr>
        <w:trPr>
          <w:trHeight w:val="720"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4,081,212</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204,060.60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5.00%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3,877,151</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.40</w:t>
            </w:r>
          </w:p>
        </w:tc>
      </w:tr>
    </w:tbl>
    <w:p>
      <w:pPr>
        <w:sectPr>
          <w:footnotePr>
            <w:pos w:val="pageBottom"/>
            <w:numFmt w:val="decimal"/>
            <w:numRestart w:val="continuous"/>
          </w:footnotePr>
          <w:pgSz w:w="11904" w:h="17375"/>
          <w:pgMar w:top="1636" w:right="1190" w:bottom="1636" w:left="1099" w:header="0" w:footer="3" w:gutter="0"/>
          <w:cols w:space="720"/>
          <w:noEndnote/>
          <w:rtlGutter w:val="0"/>
          <w:docGrid w:linePitch="360"/>
        </w:sectPr>
      </w:pPr>
    </w:p>
    <w:p>
      <w:pPr>
        <w:pStyle w:val="Style212"/>
        <w:keepNext w:val="0"/>
        <w:keepLines w:val="0"/>
        <w:widowControl w:val="0"/>
        <w:shd w:val="clear" w:color="auto" w:fill="auto"/>
        <w:bidi w:val="0"/>
        <w:spacing w:before="0" w:after="0" w:line="240" w:lineRule="auto"/>
        <w:ind w:left="0" w:right="0" w:firstLine="0"/>
        <w:jc w:val="left"/>
      </w:pPr>
      <w:r>
        <w:rPr>
          <w:spacing w:val="0"/>
          <w:w w:val="100"/>
          <w:position w:val="0"/>
        </w:rPr>
        <w:t>Ultrapoiuer</w:t>
      </w:r>
    </w:p>
    <w:p>
      <w:pPr>
        <w:pStyle w:val="Style41"/>
        <w:keepNext w:val="0"/>
        <w:keepLines w:val="0"/>
        <w:widowControl w:val="0"/>
        <w:shd w:val="clear" w:color="auto" w:fill="auto"/>
        <w:bidi w:val="0"/>
        <w:spacing w:before="0" w:after="140" w:line="379" w:lineRule="exact"/>
        <w:ind w:left="0" w:right="0" w:firstLine="820"/>
        <w:jc w:val="both"/>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 如是按照预期信用损失一般模型计提应收票据坏账准备，请参照其他应收款的披露方式披露坏账准备的相关信息：</w:t>
      </w:r>
    </w:p>
    <w:p>
      <w:pPr>
        <w:pStyle w:val="Style41"/>
        <w:keepNext w:val="0"/>
        <w:keepLines w:val="0"/>
        <w:widowControl w:val="0"/>
        <w:shd w:val="clear" w:color="auto" w:fill="auto"/>
        <w:bidi w:val="0"/>
        <w:spacing w:before="0" w:after="180" w:line="439"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color w:val="000000"/>
          <w:spacing w:val="0"/>
          <w:w w:val="100"/>
          <w:position w:val="0"/>
          <w:sz w:val="18"/>
          <w:szCs w:val="18"/>
        </w:rPr>
        <w:t>寸</w:t>
      </w:r>
      <w:r>
        <w:rPr>
          <w:color w:val="000000"/>
          <w:spacing w:val="0"/>
          <w:w w:val="100"/>
          <w:position w:val="0"/>
        </w:rPr>
        <w:t>不适用</w:t>
      </w:r>
    </w:p>
    <w:p>
      <w:pPr>
        <w:pStyle w:val="Style58"/>
        <w:keepNext/>
        <w:keepLines/>
        <w:widowControl w:val="0"/>
        <w:shd w:val="clear" w:color="auto" w:fill="auto"/>
        <w:bidi w:val="0"/>
        <w:spacing w:before="0" w:after="240" w:line="240" w:lineRule="auto"/>
        <w:ind w:left="0" w:right="0" w:firstLine="0"/>
        <w:jc w:val="left"/>
        <w:rPr>
          <w:sz w:val="20"/>
          <w:szCs w:val="20"/>
        </w:rPr>
      </w:pPr>
      <w:bookmarkStart w:id="1247" w:name="bookmark1247"/>
      <w:bookmarkStart w:id="1248" w:name="bookmark1248"/>
      <w:bookmarkStart w:id="1249" w:name="bookmark1249"/>
      <w:bookmarkStart w:id="1250" w:name="bookmark1250"/>
      <w:r>
        <w:rPr>
          <w:b/>
          <w:bCs/>
          <w:color w:val="000000"/>
          <w:spacing w:val="0"/>
          <w:w w:val="100"/>
          <w:position w:val="0"/>
          <w:sz w:val="20"/>
          <w:szCs w:val="20"/>
        </w:rPr>
        <w:t>（</w:t>
      </w:r>
      <w:bookmarkEnd w:id="1249"/>
      <w:r>
        <w:rPr>
          <w:b/>
          <w:bCs/>
          <w:color w:val="000000"/>
          <w:spacing w:val="0"/>
          <w:w w:val="100"/>
          <w:position w:val="0"/>
          <w:sz w:val="20"/>
          <w:szCs w:val="20"/>
        </w:rPr>
        <w:t>2）本期计提、收回或转回的坏账准备情况</w:t>
      </w:r>
      <w:bookmarkEnd w:id="1247"/>
      <w:bookmarkEnd w:id="1248"/>
      <w:bookmarkEnd w:id="1250"/>
    </w:p>
    <w:p>
      <w:pPr>
        <w:pStyle w:val="Style41"/>
        <w:keepNext w:val="0"/>
        <w:keepLines w:val="0"/>
        <w:widowControl w:val="0"/>
        <w:shd w:val="clear" w:color="auto" w:fill="auto"/>
        <w:bidi w:val="0"/>
        <w:spacing w:before="0" w:after="140" w:line="379" w:lineRule="exact"/>
        <w:ind w:left="0" w:right="0" w:firstLine="0"/>
        <w:jc w:val="left"/>
      </w:pPr>
      <w:r>
        <w:rPr>
          <w:color w:val="000000"/>
          <w:spacing w:val="0"/>
          <w:w w:val="100"/>
          <w:position w:val="0"/>
        </w:rPr>
        <w:t>本期计提坏账准备情况：</w:t>
      </w:r>
    </w:p>
    <w:p>
      <w:pPr>
        <w:pStyle w:val="Style41"/>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1373"/>
        <w:gridCol w:w="1368"/>
        <w:gridCol w:w="1368"/>
        <w:gridCol w:w="1368"/>
        <w:gridCol w:w="1363"/>
        <w:gridCol w:w="1368"/>
        <w:gridCol w:w="1378"/>
      </w:tblGrid>
      <w:tr>
        <w:trPr>
          <w:trHeight w:val="408" w:hRule="exact"/>
        </w:trPr>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类别</w:t>
            </w:r>
          </w:p>
        </w:tc>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c>
          <w:tcPr>
            <w:gridSpan w:val="4"/>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本期变动金额</w:t>
            </w:r>
          </w:p>
        </w:tc>
        <w:tc>
          <w:tcPr>
            <w:vMerge w:val="restart"/>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r>
      <w:tr>
        <w:trPr>
          <w:trHeight w:val="403" w:hRule="exact"/>
        </w:trPr>
        <w:tc>
          <w:tcPr>
            <w:vMerge/>
            <w:tcBorders>
              <w:left w:val="single" w:sz="4"/>
            </w:tcBorders>
            <w:shd w:val="clear" w:color="auto" w:fill="D7D7D7"/>
            <w:vAlign w:val="center"/>
          </w:tcPr>
          <w:p>
            <w:pPr/>
          </w:p>
        </w:tc>
        <w:tc>
          <w:tcPr>
            <w:vMerge/>
            <w:tcBorders>
              <w:left w:val="single" w:sz="4"/>
            </w:tcBorders>
            <w:shd w:val="clear" w:color="auto" w:fill="D7D7D7"/>
            <w:vAlign w:val="center"/>
          </w:tcPr>
          <w:p>
            <w:pP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计提</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收回或转回</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核销</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w:t>
            </w:r>
          </w:p>
        </w:tc>
        <w:tc>
          <w:tcPr>
            <w:vMerge/>
            <w:tcBorders>
              <w:left w:val="single" w:sz="4"/>
              <w:right w:val="single" w:sz="4"/>
            </w:tcBorders>
            <w:shd w:val="clear" w:color="auto" w:fill="D7D7D7"/>
            <w:vAlign w:val="center"/>
          </w:tcPr>
          <w:p>
            <w:pP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按组合计提坏账 准备的应收票据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left"/>
              <w:rPr>
                <w:sz w:val="18"/>
                <w:szCs w:val="18"/>
              </w:rPr>
            </w:pPr>
            <w:r>
              <w:rPr>
                <w:rFonts w:ascii="Times New Roman" w:eastAsia="Times New Roman" w:hAnsi="Times New Roman" w:cs="Times New Roman"/>
                <w:color w:val="000000"/>
                <w:spacing w:val="0"/>
                <w:w w:val="100"/>
                <w:position w:val="0"/>
                <w:sz w:val="18"/>
                <w:szCs w:val="18"/>
              </w:rPr>
              <w:t>204,060.60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left"/>
              <w:rPr>
                <w:sz w:val="18"/>
                <w:szCs w:val="18"/>
              </w:rPr>
            </w:pPr>
            <w:r>
              <w:rPr>
                <w:rFonts w:ascii="Times New Roman" w:eastAsia="Times New Roman" w:hAnsi="Times New Roman" w:cs="Times New Roman"/>
                <w:color w:val="000000"/>
                <w:spacing w:val="0"/>
                <w:w w:val="100"/>
                <w:position w:val="0"/>
                <w:sz w:val="18"/>
                <w:szCs w:val="18"/>
              </w:rPr>
              <w:t>-204,060.60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left"/>
              <w:rPr>
                <w:sz w:val="18"/>
                <w:szCs w:val="18"/>
              </w:rPr>
            </w:pPr>
            <w:r>
              <w:rPr>
                <w:rFonts w:ascii="Times New Roman" w:eastAsia="Times New Roman" w:hAnsi="Times New Roman" w:cs="Times New Roman"/>
                <w:color w:val="000000"/>
                <w:spacing w:val="0"/>
                <w:w w:val="100"/>
                <w:position w:val="0"/>
                <w:sz w:val="18"/>
                <w:szCs w:val="18"/>
              </w:rPr>
              <w:t>204,060.60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left"/>
              <w:rPr>
                <w:sz w:val="18"/>
                <w:szCs w:val="18"/>
              </w:rPr>
            </w:pPr>
            <w:r>
              <w:rPr>
                <w:rFonts w:ascii="Times New Roman" w:eastAsia="Times New Roman" w:hAnsi="Times New Roman" w:cs="Times New Roman"/>
                <w:color w:val="000000"/>
                <w:spacing w:val="0"/>
                <w:w w:val="100"/>
                <w:position w:val="0"/>
                <w:sz w:val="18"/>
                <w:szCs w:val="18"/>
              </w:rPr>
              <w:t>-204,060.60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79" w:line="1" w:lineRule="exact"/>
      </w:pPr>
    </w:p>
    <w:p>
      <w:pPr>
        <w:pStyle w:val="Style41"/>
        <w:keepNext w:val="0"/>
        <w:keepLines w:val="0"/>
        <w:widowControl w:val="0"/>
        <w:shd w:val="clear" w:color="auto" w:fill="auto"/>
        <w:bidi w:val="0"/>
        <w:spacing w:before="0" w:after="140" w:line="240" w:lineRule="auto"/>
        <w:ind w:left="0" w:right="0" w:firstLine="0"/>
        <w:jc w:val="left"/>
      </w:pPr>
      <w:r>
        <w:rPr>
          <w:color w:val="000000"/>
          <w:spacing w:val="0"/>
          <w:w w:val="100"/>
          <w:position w:val="0"/>
        </w:rPr>
        <w:t>其中本期坏账准备收回或转回金额重要的:</w:t>
      </w:r>
    </w:p>
    <w:p>
      <w:pPr>
        <w:pStyle w:val="Style41"/>
        <w:keepNext w:val="0"/>
        <w:keepLines w:val="0"/>
        <w:widowControl w:val="0"/>
        <w:shd w:val="clear" w:color="auto" w:fill="auto"/>
        <w:bidi w:val="0"/>
        <w:spacing w:before="0" w:after="38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color w:val="000000"/>
          <w:spacing w:val="0"/>
          <w:w w:val="100"/>
          <w:position w:val="0"/>
          <w:sz w:val="18"/>
          <w:szCs w:val="18"/>
        </w:rPr>
        <w:t>寸</w:t>
      </w:r>
      <w:r>
        <w:rPr>
          <w:color w:val="000000"/>
          <w:spacing w:val="0"/>
          <w:w w:val="100"/>
          <w:position w:val="0"/>
        </w:rPr>
        <w:t>不适用</w:t>
      </w:r>
    </w:p>
    <w:p>
      <w:pPr>
        <w:pStyle w:val="Style58"/>
        <w:keepNext/>
        <w:keepLines/>
        <w:widowControl w:val="0"/>
        <w:shd w:val="clear" w:color="auto" w:fill="auto"/>
        <w:tabs>
          <w:tab w:pos="493" w:val="left"/>
        </w:tabs>
        <w:bidi w:val="0"/>
        <w:spacing w:before="0" w:after="480" w:line="240" w:lineRule="auto"/>
        <w:ind w:left="0" w:right="0" w:firstLine="0"/>
        <w:jc w:val="left"/>
        <w:rPr>
          <w:sz w:val="20"/>
          <w:szCs w:val="20"/>
        </w:rPr>
      </w:pPr>
      <w:bookmarkStart w:id="1251" w:name="bookmark1251"/>
      <w:bookmarkStart w:id="1252" w:name="bookmark1252"/>
      <w:bookmarkStart w:id="1253" w:name="bookmark1253"/>
      <w:bookmarkStart w:id="1254" w:name="bookmark1254"/>
      <w:r>
        <w:rPr>
          <w:b/>
          <w:bCs/>
          <w:color w:val="000000"/>
          <w:spacing w:val="0"/>
          <w:w w:val="100"/>
          <w:position w:val="0"/>
          <w:sz w:val="20"/>
          <w:szCs w:val="20"/>
        </w:rPr>
        <w:t>（</w:t>
      </w:r>
      <w:bookmarkEnd w:id="1253"/>
      <w:r>
        <w:rPr>
          <w:b/>
          <w:bCs/>
          <w:color w:val="000000"/>
          <w:spacing w:val="0"/>
          <w:w w:val="100"/>
          <w:position w:val="0"/>
          <w:sz w:val="20"/>
          <w:szCs w:val="20"/>
        </w:rPr>
        <w:t>3）</w:t>
        <w:tab/>
        <w:t>期末公司已质押的应收票据</w:t>
      </w:r>
      <w:bookmarkEnd w:id="1251"/>
      <w:bookmarkEnd w:id="1252"/>
      <w:bookmarkEnd w:id="1254"/>
    </w:p>
    <w:p>
      <w:pPr>
        <w:pStyle w:val="Style41"/>
        <w:keepNext w:val="0"/>
        <w:keepLines w:val="0"/>
        <w:widowControl w:val="0"/>
        <w:shd w:val="clear" w:color="auto" w:fill="auto"/>
        <w:bidi w:val="0"/>
        <w:spacing w:before="0" w:after="480" w:line="240" w:lineRule="auto"/>
        <w:ind w:left="0" w:right="0"/>
        <w:jc w:val="left"/>
      </w:pPr>
      <w:r>
        <w:rPr>
          <w:color w:val="000000"/>
          <w:spacing w:val="0"/>
          <w:w w:val="100"/>
          <w:position w:val="0"/>
        </w:rPr>
        <w:t>无。</w:t>
      </w:r>
    </w:p>
    <w:p>
      <w:pPr>
        <w:pStyle w:val="Style58"/>
        <w:keepNext/>
        <w:keepLines/>
        <w:widowControl w:val="0"/>
        <w:shd w:val="clear" w:color="auto" w:fill="auto"/>
        <w:tabs>
          <w:tab w:pos="493" w:val="left"/>
        </w:tabs>
        <w:bidi w:val="0"/>
        <w:spacing w:before="0" w:after="480" w:line="240" w:lineRule="auto"/>
        <w:ind w:left="0" w:right="0" w:firstLine="0"/>
        <w:jc w:val="left"/>
        <w:rPr>
          <w:sz w:val="20"/>
          <w:szCs w:val="20"/>
        </w:rPr>
      </w:pPr>
      <w:bookmarkStart w:id="1255" w:name="bookmark1255"/>
      <w:bookmarkStart w:id="1256" w:name="bookmark1256"/>
      <w:bookmarkStart w:id="1257" w:name="bookmark1257"/>
      <w:bookmarkStart w:id="1258" w:name="bookmark1258"/>
      <w:r>
        <w:rPr>
          <w:b/>
          <w:bCs/>
          <w:color w:val="000000"/>
          <w:spacing w:val="0"/>
          <w:w w:val="100"/>
          <w:position w:val="0"/>
          <w:sz w:val="20"/>
          <w:szCs w:val="20"/>
        </w:rPr>
        <w:t>（</w:t>
      </w:r>
      <w:bookmarkEnd w:id="1257"/>
      <w:r>
        <w:rPr>
          <w:b/>
          <w:bCs/>
          <w:color w:val="000000"/>
          <w:spacing w:val="0"/>
          <w:w w:val="100"/>
          <w:position w:val="0"/>
          <w:sz w:val="20"/>
          <w:szCs w:val="20"/>
        </w:rPr>
        <w:t>4）</w:t>
        <w:tab/>
        <w:t>期末公司已背书或贴现且在资产负债表日尚未到期的应收票据</w:t>
      </w:r>
      <w:bookmarkEnd w:id="1255"/>
      <w:bookmarkEnd w:id="1256"/>
      <w:bookmarkEnd w:id="1258"/>
    </w:p>
    <w:p>
      <w:pPr>
        <w:pStyle w:val="Style41"/>
        <w:keepNext w:val="0"/>
        <w:keepLines w:val="0"/>
        <w:widowControl w:val="0"/>
        <w:shd w:val="clear" w:color="auto" w:fill="auto"/>
        <w:bidi w:val="0"/>
        <w:spacing w:before="0" w:after="480" w:line="240" w:lineRule="auto"/>
        <w:ind w:left="0" w:right="0"/>
        <w:jc w:val="left"/>
      </w:pPr>
      <w:r>
        <w:rPr>
          <w:color w:val="000000"/>
          <w:spacing w:val="0"/>
          <w:w w:val="100"/>
          <w:position w:val="0"/>
        </w:rPr>
        <w:t>无。</w:t>
      </w:r>
    </w:p>
    <w:p>
      <w:pPr>
        <w:pStyle w:val="Style58"/>
        <w:keepNext/>
        <w:keepLines/>
        <w:widowControl w:val="0"/>
        <w:shd w:val="clear" w:color="auto" w:fill="auto"/>
        <w:tabs>
          <w:tab w:pos="493" w:val="left"/>
        </w:tabs>
        <w:bidi w:val="0"/>
        <w:spacing w:before="0" w:after="480" w:line="240" w:lineRule="auto"/>
        <w:ind w:left="0" w:right="0" w:firstLine="0"/>
        <w:jc w:val="left"/>
        <w:rPr>
          <w:sz w:val="20"/>
          <w:szCs w:val="20"/>
        </w:rPr>
      </w:pPr>
      <w:bookmarkStart w:id="1259" w:name="bookmark1259"/>
      <w:bookmarkStart w:id="1260" w:name="bookmark1260"/>
      <w:bookmarkStart w:id="1261" w:name="bookmark1261"/>
      <w:bookmarkStart w:id="1262" w:name="bookmark1262"/>
      <w:r>
        <w:rPr>
          <w:b/>
          <w:bCs/>
          <w:color w:val="000000"/>
          <w:spacing w:val="0"/>
          <w:w w:val="100"/>
          <w:position w:val="0"/>
          <w:sz w:val="20"/>
          <w:szCs w:val="20"/>
        </w:rPr>
        <w:t>（</w:t>
      </w:r>
      <w:bookmarkEnd w:id="1261"/>
      <w:r>
        <w:rPr>
          <w:b/>
          <w:bCs/>
          <w:color w:val="000000"/>
          <w:spacing w:val="0"/>
          <w:w w:val="100"/>
          <w:position w:val="0"/>
          <w:sz w:val="20"/>
          <w:szCs w:val="20"/>
        </w:rPr>
        <w:t>5）</w:t>
        <w:tab/>
        <w:t>期末公司因出票人未履约而将其转应收账款的票据</w:t>
      </w:r>
      <w:bookmarkEnd w:id="1259"/>
      <w:bookmarkEnd w:id="1260"/>
      <w:bookmarkEnd w:id="1262"/>
    </w:p>
    <w:p>
      <w:pPr>
        <w:pStyle w:val="Style41"/>
        <w:keepNext w:val="0"/>
        <w:keepLines w:val="0"/>
        <w:widowControl w:val="0"/>
        <w:shd w:val="clear" w:color="auto" w:fill="auto"/>
        <w:bidi w:val="0"/>
        <w:spacing w:before="0" w:after="480" w:line="240" w:lineRule="auto"/>
        <w:ind w:left="0" w:right="0"/>
        <w:jc w:val="left"/>
      </w:pPr>
      <w:r>
        <w:rPr>
          <w:color w:val="000000"/>
          <w:spacing w:val="0"/>
          <w:w w:val="100"/>
          <w:position w:val="0"/>
        </w:rPr>
        <w:t>无。</w:t>
      </w:r>
    </w:p>
    <w:p>
      <w:pPr>
        <w:pStyle w:val="Style58"/>
        <w:keepNext/>
        <w:keepLines/>
        <w:widowControl w:val="0"/>
        <w:shd w:val="clear" w:color="auto" w:fill="auto"/>
        <w:tabs>
          <w:tab w:pos="493" w:val="left"/>
        </w:tabs>
        <w:bidi w:val="0"/>
        <w:spacing w:before="0" w:after="480" w:line="240" w:lineRule="auto"/>
        <w:ind w:left="0" w:right="0" w:firstLine="0"/>
        <w:jc w:val="left"/>
        <w:rPr>
          <w:sz w:val="20"/>
          <w:szCs w:val="20"/>
        </w:rPr>
      </w:pPr>
      <w:bookmarkStart w:id="1263" w:name="bookmark1263"/>
      <w:bookmarkStart w:id="1264" w:name="bookmark1264"/>
      <w:bookmarkStart w:id="1265" w:name="bookmark1265"/>
      <w:bookmarkStart w:id="1266" w:name="bookmark1266"/>
      <w:r>
        <w:rPr>
          <w:b/>
          <w:bCs/>
          <w:color w:val="000000"/>
          <w:spacing w:val="0"/>
          <w:w w:val="100"/>
          <w:position w:val="0"/>
          <w:sz w:val="20"/>
          <w:szCs w:val="20"/>
        </w:rPr>
        <w:t>（</w:t>
      </w:r>
      <w:bookmarkEnd w:id="1265"/>
      <w:r>
        <w:rPr>
          <w:b/>
          <w:bCs/>
          <w:color w:val="000000"/>
          <w:spacing w:val="0"/>
          <w:w w:val="100"/>
          <w:position w:val="0"/>
          <w:sz w:val="20"/>
          <w:szCs w:val="20"/>
        </w:rPr>
        <w:t>6）</w:t>
        <w:tab/>
        <w:t>本期实际核销的应收票据情况</w:t>
      </w:r>
      <w:bookmarkEnd w:id="1263"/>
      <w:bookmarkEnd w:id="1264"/>
      <w:bookmarkEnd w:id="1266"/>
    </w:p>
    <w:p>
      <w:pPr>
        <w:pStyle w:val="Style41"/>
        <w:keepNext w:val="0"/>
        <w:keepLines w:val="0"/>
        <w:widowControl w:val="0"/>
        <w:shd w:val="clear" w:color="auto" w:fill="auto"/>
        <w:bidi w:val="0"/>
        <w:spacing w:before="0" w:after="480" w:line="240" w:lineRule="auto"/>
        <w:ind w:left="0" w:right="0"/>
        <w:jc w:val="left"/>
      </w:pPr>
      <w:r>
        <w:rPr>
          <w:color w:val="000000"/>
          <w:spacing w:val="0"/>
          <w:w w:val="100"/>
          <w:position w:val="0"/>
        </w:rPr>
        <w:t>无。</w:t>
      </w:r>
    </w:p>
    <w:p>
      <w:pPr>
        <w:pStyle w:val="Style47"/>
        <w:keepNext/>
        <w:keepLines/>
        <w:widowControl w:val="0"/>
        <w:shd w:val="clear" w:color="auto" w:fill="auto"/>
        <w:bidi w:val="0"/>
        <w:spacing w:before="0" w:after="380" w:line="240" w:lineRule="auto"/>
        <w:ind w:left="0" w:right="0" w:firstLine="0"/>
        <w:jc w:val="left"/>
      </w:pPr>
      <w:bookmarkStart w:id="1267" w:name="bookmark1267"/>
      <w:bookmarkStart w:id="1268" w:name="bookmark1268"/>
      <w:bookmarkStart w:id="1269" w:name="bookmark1269"/>
      <w:bookmarkStart w:id="1270" w:name="bookmark1270"/>
      <w:r>
        <w:rPr>
          <w:color w:val="000000"/>
          <w:spacing w:val="0"/>
          <w:w w:val="100"/>
          <w:position w:val="0"/>
        </w:rPr>
        <w:t>5</w:t>
      </w:r>
      <w:bookmarkEnd w:id="1269"/>
      <w:r>
        <w:rPr>
          <w:color w:val="000000"/>
          <w:spacing w:val="0"/>
          <w:w w:val="100"/>
          <w:position w:val="0"/>
        </w:rPr>
        <w:t>、应收账款</w:t>
      </w:r>
      <w:bookmarkEnd w:id="1267"/>
      <w:bookmarkEnd w:id="1268"/>
      <w:bookmarkEnd w:id="1270"/>
    </w:p>
    <w:p>
      <w:pPr>
        <w:pStyle w:val="Style58"/>
        <w:keepNext/>
        <w:keepLines/>
        <w:widowControl w:val="0"/>
        <w:shd w:val="clear" w:color="auto" w:fill="auto"/>
        <w:bidi w:val="0"/>
        <w:spacing w:before="0" w:after="380" w:line="240" w:lineRule="auto"/>
        <w:ind w:left="0" w:right="0" w:firstLine="0"/>
        <w:jc w:val="left"/>
        <w:rPr>
          <w:sz w:val="20"/>
          <w:szCs w:val="20"/>
        </w:rPr>
      </w:pPr>
      <w:bookmarkStart w:id="1271" w:name="bookmark1271"/>
      <w:bookmarkStart w:id="1272" w:name="bookmark1272"/>
      <w:bookmarkStart w:id="1273" w:name="bookmark1273"/>
      <w:bookmarkStart w:id="1274" w:name="bookmark1274"/>
      <w:r>
        <w:rPr>
          <w:b/>
          <w:bCs/>
          <w:color w:val="000000"/>
          <w:spacing w:val="0"/>
          <w:w w:val="100"/>
          <w:position w:val="0"/>
          <w:sz w:val="20"/>
          <w:szCs w:val="20"/>
        </w:rPr>
        <w:t>（</w:t>
      </w:r>
      <w:bookmarkEnd w:id="1273"/>
      <w:r>
        <w:rPr>
          <w:b/>
          <w:bCs/>
          <w:color w:val="000000"/>
          <w:spacing w:val="0"/>
          <w:w w:val="100"/>
          <w:position w:val="0"/>
          <w:sz w:val="20"/>
          <w:szCs w:val="20"/>
        </w:rPr>
        <w:t>1）应收账款分类披露</w:t>
      </w:r>
      <w:bookmarkEnd w:id="1271"/>
      <w:bookmarkEnd w:id="1272"/>
      <w:bookmarkEnd w:id="1274"/>
    </w:p>
    <w:p>
      <w:pPr>
        <w:pStyle w:val="Style41"/>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1642"/>
        <w:gridCol w:w="763"/>
        <w:gridCol w:w="758"/>
        <w:gridCol w:w="763"/>
        <w:gridCol w:w="754"/>
        <w:gridCol w:w="806"/>
        <w:gridCol w:w="768"/>
        <w:gridCol w:w="797"/>
        <w:gridCol w:w="797"/>
        <w:gridCol w:w="792"/>
        <w:gridCol w:w="941"/>
      </w:tblGrid>
      <w:tr>
        <w:trPr>
          <w:trHeight w:val="408" w:hRule="exact"/>
        </w:trPr>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类别</w:t>
            </w:r>
          </w:p>
        </w:tc>
        <w:tc>
          <w:tcPr>
            <w:gridSpan w:val="5"/>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gridSpan w:val="5"/>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403" w:hRule="exact"/>
        </w:trPr>
        <w:tc>
          <w:tcPr>
            <w:vMerge/>
            <w:tcBorders>
              <w:left w:val="single" w:sz="4"/>
            </w:tcBorders>
            <w:shd w:val="clear" w:color="auto" w:fill="D7D7D7"/>
            <w:vAlign w:val="center"/>
          </w:tcPr>
          <w:p>
            <w:pPr/>
          </w:p>
        </w:tc>
        <w:tc>
          <w:tcPr>
            <w:gridSpan w:val="2"/>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gridSpan w:val="2"/>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账面价值</w:t>
            </w:r>
          </w:p>
        </w:tc>
        <w:tc>
          <w:tcPr>
            <w:gridSpan w:val="2"/>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gridSpan w:val="2"/>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vMerge w:val="restart"/>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账面价值</w:t>
            </w:r>
          </w:p>
        </w:tc>
      </w:tr>
      <w:tr>
        <w:trPr>
          <w:trHeight w:val="725" w:hRule="exact"/>
        </w:trPr>
        <w:tc>
          <w:tcPr>
            <w:vMerge/>
            <w:tcBorders>
              <w:left w:val="single" w:sz="4"/>
              <w:bottom w:val="single" w:sz="4"/>
            </w:tcBorders>
            <w:shd w:val="clear" w:color="auto" w:fill="D7D7D7"/>
            <w:vAlign w:val="center"/>
          </w:tcPr>
          <w:p>
            <w:pPr/>
          </w:p>
        </w:tc>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比例</w:t>
            </w:r>
          </w:p>
        </w:tc>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计提比 例</w:t>
            </w:r>
          </w:p>
        </w:tc>
        <w:tc>
          <w:tcPr>
            <w:vMerge/>
            <w:tcBorders>
              <w:left w:val="single" w:sz="4"/>
              <w:bottom w:val="single" w:sz="4"/>
            </w:tcBorders>
            <w:shd w:val="clear" w:color="auto" w:fill="D7D7D7"/>
            <w:vAlign w:val="center"/>
          </w:tcPr>
          <w:p>
            <w:pPr/>
          </w:p>
        </w:tc>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比例</w:t>
            </w:r>
          </w:p>
        </w:tc>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计提比例</w:t>
            </w:r>
          </w:p>
        </w:tc>
        <w:tc>
          <w:tcPr>
            <w:vMerge/>
            <w:tcBorders>
              <w:left w:val="single" w:sz="4"/>
              <w:bottom w:val="single" w:sz="4"/>
              <w:right w:val="single" w:sz="4"/>
            </w:tcBorders>
            <w:shd w:val="clear" w:color="auto" w:fill="D7D7D7"/>
            <w:vAlign w:val="center"/>
          </w:tcPr>
          <w:p>
            <w:pPr/>
          </w:p>
        </w:tc>
      </w:tr>
    </w:tbl>
    <w:p>
      <w:pPr>
        <w:sectPr>
          <w:footnotePr>
            <w:pos w:val="pageBottom"/>
            <w:numFmt w:val="decimal"/>
            <w:numRestart w:val="continuous"/>
          </w:footnotePr>
          <w:pgSz w:w="11904" w:h="17375"/>
          <w:pgMar w:top="1070" w:right="1142" w:bottom="1425" w:left="1104" w:header="0" w:footer="3" w:gutter="0"/>
          <w:cols w:space="720"/>
          <w:noEndnote/>
          <w:rtlGutter w:val="0"/>
          <w:docGrid w:linePitch="360"/>
        </w:sectPr>
      </w:pPr>
    </w:p>
    <w:tbl>
      <w:tblPr>
        <w:tblOverlap w:val="never"/>
        <w:jc w:val="center"/>
        <w:tblLayout w:type="fixed"/>
      </w:tblPr>
      <w:tblGrid>
        <w:gridCol w:w="1642"/>
        <w:gridCol w:w="763"/>
        <w:gridCol w:w="758"/>
        <w:gridCol w:w="763"/>
        <w:gridCol w:w="763"/>
        <w:gridCol w:w="787"/>
        <w:gridCol w:w="778"/>
        <w:gridCol w:w="797"/>
        <w:gridCol w:w="797"/>
        <w:gridCol w:w="792"/>
        <w:gridCol w:w="941"/>
      </w:tblGrid>
      <w:tr>
        <w:trPr>
          <w:trHeight w:val="792"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07" w:lineRule="exact"/>
              <w:ind w:left="0" w:right="0" w:firstLine="0"/>
              <w:jc w:val="left"/>
            </w:pPr>
            <w:r>
              <w:rPr>
                <w:color w:val="000000"/>
                <w:spacing w:val="0"/>
                <w:w w:val="100"/>
                <w:position w:val="0"/>
              </w:rPr>
              <w:t>按单项计提坏账准 备的应收账款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116,280,</w:t>
            </w:r>
          </w:p>
          <w:p>
            <w:pPr>
              <w:pStyle w:val="Style2"/>
              <w:keepNext w:val="0"/>
              <w:keepLines w:val="0"/>
              <w:widowControl w:val="0"/>
              <w:shd w:val="clear" w:color="auto" w:fill="auto"/>
              <w:bidi w:val="0"/>
              <w:spacing w:before="0" w:after="0" w:line="240" w:lineRule="auto"/>
              <w:ind w:left="0" w:right="0" w:firstLine="240"/>
              <w:jc w:val="left"/>
              <w:rPr>
                <w:sz w:val="18"/>
                <w:szCs w:val="18"/>
              </w:rPr>
            </w:pPr>
            <w:r>
              <w:rPr>
                <w:rFonts w:ascii="Times New Roman" w:eastAsia="Times New Roman" w:hAnsi="Times New Roman" w:cs="Times New Roman"/>
                <w:color w:val="000000"/>
                <w:spacing w:val="0"/>
                <w:w w:val="100"/>
                <w:position w:val="0"/>
                <w:sz w:val="18"/>
                <w:szCs w:val="18"/>
              </w:rPr>
              <w:t>500.37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000000"/>
                <w:spacing w:val="0"/>
                <w:w w:val="100"/>
                <w:position w:val="0"/>
                <w:sz w:val="18"/>
                <w:szCs w:val="18"/>
              </w:rPr>
              <w:t>12.95%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106,615,</w:t>
            </w:r>
          </w:p>
          <w:p>
            <w:pPr>
              <w:pStyle w:val="Style2"/>
              <w:keepNext w:val="0"/>
              <w:keepLines w:val="0"/>
              <w:widowControl w:val="0"/>
              <w:shd w:val="clear" w:color="auto" w:fill="auto"/>
              <w:bidi w:val="0"/>
              <w:spacing w:before="0" w:after="0" w:line="240" w:lineRule="auto"/>
              <w:ind w:left="0" w:right="0" w:firstLine="240"/>
              <w:jc w:val="left"/>
              <w:rPr>
                <w:sz w:val="18"/>
                <w:szCs w:val="18"/>
              </w:rPr>
            </w:pPr>
            <w:r>
              <w:rPr>
                <w:rFonts w:ascii="Times New Roman" w:eastAsia="Times New Roman" w:hAnsi="Times New Roman" w:cs="Times New Roman"/>
                <w:color w:val="000000"/>
                <w:spacing w:val="0"/>
                <w:w w:val="100"/>
                <w:position w:val="0"/>
                <w:sz w:val="18"/>
                <w:szCs w:val="18"/>
              </w:rPr>
              <w:t>776.87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91.69%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9,664,723</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96,522,94</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2.95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10.73%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89,708,11</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9.47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92.94%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6,814,823.4</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w:t>
            </w:r>
          </w:p>
        </w:tc>
      </w:tr>
      <w:tr>
        <w:trPr>
          <w:trHeight w:val="710"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按组合计提坏账准 备的应收账款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781,723,</w:t>
            </w:r>
          </w:p>
          <w:p>
            <w:pPr>
              <w:pStyle w:val="Style2"/>
              <w:keepNext w:val="0"/>
              <w:keepLines w:val="0"/>
              <w:widowControl w:val="0"/>
              <w:shd w:val="clear" w:color="auto" w:fill="auto"/>
              <w:bidi w:val="0"/>
              <w:spacing w:before="0" w:after="0" w:line="240" w:lineRule="auto"/>
              <w:ind w:left="0" w:right="0" w:firstLine="240"/>
              <w:jc w:val="left"/>
              <w:rPr>
                <w:sz w:val="18"/>
                <w:szCs w:val="18"/>
              </w:rPr>
            </w:pPr>
            <w:r>
              <w:rPr>
                <w:rFonts w:ascii="Times New Roman" w:eastAsia="Times New Roman" w:hAnsi="Times New Roman" w:cs="Times New Roman"/>
                <w:color w:val="000000"/>
                <w:spacing w:val="0"/>
                <w:w w:val="100"/>
                <w:position w:val="0"/>
                <w:sz w:val="18"/>
                <w:szCs w:val="18"/>
              </w:rPr>
              <w:t>220.37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000000"/>
                <w:spacing w:val="0"/>
                <w:w w:val="100"/>
                <w:position w:val="0"/>
                <w:sz w:val="18"/>
                <w:szCs w:val="18"/>
              </w:rPr>
              <w:t>87.05%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157,624,</w:t>
            </w:r>
          </w:p>
          <w:p>
            <w:pPr>
              <w:pStyle w:val="Style2"/>
              <w:keepNext w:val="0"/>
              <w:keepLines w:val="0"/>
              <w:widowControl w:val="0"/>
              <w:shd w:val="clear" w:color="auto" w:fill="auto"/>
              <w:bidi w:val="0"/>
              <w:spacing w:before="0" w:after="0" w:line="240" w:lineRule="auto"/>
              <w:ind w:left="0" w:right="0" w:firstLine="240"/>
              <w:jc w:val="left"/>
              <w:rPr>
                <w:sz w:val="18"/>
                <w:szCs w:val="18"/>
              </w:rPr>
            </w:pPr>
            <w:r>
              <w:rPr>
                <w:rFonts w:ascii="Times New Roman" w:eastAsia="Times New Roman" w:hAnsi="Times New Roman" w:cs="Times New Roman"/>
                <w:color w:val="000000"/>
                <w:spacing w:val="0"/>
                <w:w w:val="100"/>
                <w:position w:val="0"/>
                <w:sz w:val="18"/>
                <w:szCs w:val="18"/>
              </w:rPr>
              <w:t>423.33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20.16%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624,098,7</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97.04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802,780,2</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22.00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89.27%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160,389,7</w:t>
            </w:r>
          </w:p>
          <w:p>
            <w:pPr>
              <w:pStyle w:val="Style2"/>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03.34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19.98%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642,390,51</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8.66</w:t>
            </w:r>
          </w:p>
        </w:tc>
      </w:tr>
      <w:tr>
        <w:trPr>
          <w:trHeight w:val="725"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898,003,</w:t>
            </w:r>
          </w:p>
          <w:p>
            <w:pPr>
              <w:pStyle w:val="Style2"/>
              <w:keepNext w:val="0"/>
              <w:keepLines w:val="0"/>
              <w:widowControl w:val="0"/>
              <w:shd w:val="clear" w:color="auto" w:fill="auto"/>
              <w:bidi w:val="0"/>
              <w:spacing w:before="0" w:after="0" w:line="240" w:lineRule="auto"/>
              <w:ind w:left="0" w:right="0" w:firstLine="240"/>
              <w:jc w:val="left"/>
              <w:rPr>
                <w:sz w:val="18"/>
                <w:szCs w:val="18"/>
              </w:rPr>
            </w:pPr>
            <w:r>
              <w:rPr>
                <w:rFonts w:ascii="Times New Roman" w:eastAsia="Times New Roman" w:hAnsi="Times New Roman" w:cs="Times New Roman"/>
                <w:color w:val="000000"/>
                <w:spacing w:val="0"/>
                <w:w w:val="100"/>
                <w:position w:val="0"/>
                <w:sz w:val="18"/>
                <w:szCs w:val="18"/>
              </w:rPr>
              <w:t>720.74</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264,240,</w:t>
            </w:r>
          </w:p>
          <w:p>
            <w:pPr>
              <w:pStyle w:val="Style2"/>
              <w:keepNext w:val="0"/>
              <w:keepLines w:val="0"/>
              <w:widowControl w:val="0"/>
              <w:shd w:val="clear" w:color="auto" w:fill="auto"/>
              <w:bidi w:val="0"/>
              <w:spacing w:before="0" w:after="0" w:line="240" w:lineRule="auto"/>
              <w:ind w:left="0" w:right="0" w:firstLine="240"/>
              <w:jc w:val="left"/>
              <w:rPr>
                <w:sz w:val="18"/>
                <w:szCs w:val="18"/>
              </w:rPr>
            </w:pPr>
            <w:r>
              <w:rPr>
                <w:rFonts w:ascii="Times New Roman" w:eastAsia="Times New Roman" w:hAnsi="Times New Roman" w:cs="Times New Roman"/>
                <w:color w:val="000000"/>
                <w:spacing w:val="0"/>
                <w:w w:val="100"/>
                <w:position w:val="0"/>
                <w:sz w:val="18"/>
                <w:szCs w:val="18"/>
              </w:rPr>
              <w:t>200.20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633,763,5</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20.54</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899,303,1</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64.95</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250,097,8</w:t>
            </w:r>
          </w:p>
          <w:p>
            <w:pPr>
              <w:pStyle w:val="Style2"/>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22.81</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649,205,34</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2.14</w:t>
            </w:r>
          </w:p>
        </w:tc>
      </w:tr>
    </w:tbl>
    <w:p>
      <w:pPr>
        <w:pStyle w:val="Style20"/>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按单项计提坏账准备:</w:t>
      </w:r>
    </w:p>
    <w:p>
      <w:pPr>
        <w:widowControl w:val="0"/>
        <w:spacing w:after="139" w:line="1" w:lineRule="exact"/>
      </w:pPr>
    </w:p>
    <w:p>
      <w:pPr>
        <w:pStyle w:val="Style41"/>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1920"/>
        <w:gridCol w:w="1915"/>
        <w:gridCol w:w="1915"/>
        <w:gridCol w:w="1910"/>
        <w:gridCol w:w="1925"/>
      </w:tblGrid>
      <w:tr>
        <w:trPr>
          <w:trHeight w:val="408" w:hRule="exact"/>
        </w:trPr>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780"/>
              <w:jc w:val="left"/>
            </w:pPr>
            <w:r>
              <w:rPr>
                <w:color w:val="000000"/>
                <w:spacing w:val="0"/>
                <w:w w:val="100"/>
                <w:position w:val="0"/>
              </w:rPr>
              <w:t>名称</w:t>
            </w:r>
          </w:p>
        </w:tc>
        <w:tc>
          <w:tcPr>
            <w:gridSpan w:val="4"/>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r>
      <w:tr>
        <w:trPr>
          <w:trHeight w:val="403" w:hRule="exact"/>
        </w:trPr>
        <w:tc>
          <w:tcPr>
            <w:vMerge/>
            <w:tcBorders>
              <w:left w:val="single" w:sz="4"/>
            </w:tcBorders>
            <w:shd w:val="clear" w:color="auto" w:fill="D7D7D7"/>
            <w:vAlign w:val="center"/>
          </w:tcPr>
          <w:p>
            <w:pP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计提比例</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600"/>
              <w:jc w:val="left"/>
            </w:pPr>
            <w:r>
              <w:rPr>
                <w:color w:val="000000"/>
                <w:spacing w:val="0"/>
                <w:w w:val="100"/>
                <w:position w:val="0"/>
              </w:rPr>
              <w:t>计提理由</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7"/>
                <w:szCs w:val="17"/>
              </w:rPr>
              <w:t>单项计提客户</w:t>
            </w:r>
            <w:r>
              <w:rPr>
                <w:rFonts w:ascii="Times New Roman" w:eastAsia="Times New Roman" w:hAnsi="Times New Roman" w:cs="Times New Roman"/>
                <w:color w:val="000000"/>
                <w:spacing w:val="0"/>
                <w:w w:val="100"/>
                <w:position w:val="0"/>
                <w:sz w:val="18"/>
                <w:szCs w:val="18"/>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left"/>
              <w:rPr>
                <w:sz w:val="18"/>
                <w:szCs w:val="18"/>
              </w:rPr>
            </w:pPr>
            <w:r>
              <w:rPr>
                <w:rFonts w:ascii="Times New Roman" w:eastAsia="Times New Roman" w:hAnsi="Times New Roman" w:cs="Times New Roman"/>
                <w:color w:val="000000"/>
                <w:spacing w:val="0"/>
                <w:w w:val="100"/>
                <w:position w:val="0"/>
                <w:sz w:val="18"/>
                <w:szCs w:val="18"/>
              </w:rPr>
              <w:t>33,382,384.70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33,382,384.70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40" w:right="0" w:firstLine="0"/>
              <w:jc w:val="left"/>
              <w:rPr>
                <w:sz w:val="18"/>
                <w:szCs w:val="18"/>
              </w:rPr>
            </w:pPr>
            <w:r>
              <w:rPr>
                <w:rFonts w:ascii="Times New Roman" w:eastAsia="Times New Roman" w:hAnsi="Times New Roman" w:cs="Times New Roman"/>
                <w:color w:val="000000"/>
                <w:spacing w:val="0"/>
                <w:w w:val="100"/>
                <w:position w:val="0"/>
                <w:sz w:val="18"/>
                <w:szCs w:val="18"/>
              </w:rPr>
              <w:t>100.00%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预计难以收回</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7"/>
                <w:szCs w:val="17"/>
              </w:rPr>
              <w:t>单项计提客户</w:t>
            </w:r>
            <w:r>
              <w:rPr>
                <w:rFonts w:ascii="Times New Roman" w:eastAsia="Times New Roman" w:hAnsi="Times New Roman" w:cs="Times New Roman"/>
                <w:color w:val="000000"/>
                <w:spacing w:val="0"/>
                <w:w w:val="100"/>
                <w:position w:val="0"/>
                <w:sz w:val="18"/>
                <w:szCs w:val="18"/>
              </w:rPr>
              <w:t>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left"/>
              <w:rPr>
                <w:sz w:val="18"/>
                <w:szCs w:val="18"/>
              </w:rPr>
            </w:pPr>
            <w:r>
              <w:rPr>
                <w:rFonts w:ascii="Times New Roman" w:eastAsia="Times New Roman" w:hAnsi="Times New Roman" w:cs="Times New Roman"/>
                <w:color w:val="000000"/>
                <w:spacing w:val="0"/>
                <w:w w:val="100"/>
                <w:position w:val="0"/>
                <w:sz w:val="18"/>
                <w:szCs w:val="18"/>
              </w:rPr>
              <w:t>14,234,323.20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14,234,323.20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40" w:right="0" w:firstLine="0"/>
              <w:jc w:val="left"/>
              <w:rPr>
                <w:sz w:val="18"/>
                <w:szCs w:val="18"/>
              </w:rPr>
            </w:pPr>
            <w:r>
              <w:rPr>
                <w:rFonts w:ascii="Times New Roman" w:eastAsia="Times New Roman" w:hAnsi="Times New Roman" w:cs="Times New Roman"/>
                <w:color w:val="000000"/>
                <w:spacing w:val="0"/>
                <w:w w:val="100"/>
                <w:position w:val="0"/>
                <w:sz w:val="18"/>
                <w:szCs w:val="18"/>
              </w:rPr>
              <w:t>100.00%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预计难以收回</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7"/>
                <w:szCs w:val="17"/>
              </w:rPr>
              <w:t>单项计提客户</w:t>
            </w:r>
            <w:r>
              <w:rPr>
                <w:rFonts w:ascii="Times New Roman" w:eastAsia="Times New Roman" w:hAnsi="Times New Roman" w:cs="Times New Roman"/>
                <w:color w:val="000000"/>
                <w:spacing w:val="0"/>
                <w:w w:val="100"/>
                <w:position w:val="0"/>
                <w:sz w:val="18"/>
                <w:szCs w:val="18"/>
              </w:rPr>
              <w:t>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both"/>
              <w:rPr>
                <w:sz w:val="18"/>
                <w:szCs w:val="18"/>
              </w:rPr>
            </w:pPr>
            <w:r>
              <w:rPr>
                <w:rFonts w:ascii="Times New Roman" w:eastAsia="Times New Roman" w:hAnsi="Times New Roman" w:cs="Times New Roman"/>
                <w:color w:val="000000"/>
                <w:spacing w:val="0"/>
                <w:w w:val="100"/>
                <w:position w:val="0"/>
                <w:sz w:val="18"/>
                <w:szCs w:val="18"/>
              </w:rPr>
              <w:t>6,650,000.00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both"/>
              <w:rPr>
                <w:sz w:val="18"/>
                <w:szCs w:val="18"/>
              </w:rPr>
            </w:pPr>
            <w:r>
              <w:rPr>
                <w:rFonts w:ascii="Times New Roman" w:eastAsia="Times New Roman" w:hAnsi="Times New Roman" w:cs="Times New Roman"/>
                <w:color w:val="000000"/>
                <w:spacing w:val="0"/>
                <w:w w:val="100"/>
                <w:position w:val="0"/>
                <w:sz w:val="18"/>
                <w:szCs w:val="18"/>
              </w:rPr>
              <w:t>5,320,000.00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20" w:right="0" w:firstLine="0"/>
              <w:jc w:val="left"/>
              <w:rPr>
                <w:sz w:val="18"/>
                <w:szCs w:val="18"/>
              </w:rPr>
            </w:pPr>
            <w:r>
              <w:rPr>
                <w:rFonts w:ascii="Times New Roman" w:eastAsia="Times New Roman" w:hAnsi="Times New Roman" w:cs="Times New Roman"/>
                <w:color w:val="000000"/>
                <w:spacing w:val="0"/>
                <w:w w:val="100"/>
                <w:position w:val="0"/>
                <w:sz w:val="18"/>
                <w:szCs w:val="18"/>
              </w:rPr>
              <w:t>80.00%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预计难以收回</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7"/>
                <w:szCs w:val="17"/>
              </w:rPr>
              <w:t>单项计提客户</w:t>
            </w:r>
            <w:r>
              <w:rPr>
                <w:rFonts w:ascii="Times New Roman" w:eastAsia="Times New Roman" w:hAnsi="Times New Roman" w:cs="Times New Roman"/>
                <w:color w:val="000000"/>
                <w:spacing w:val="0"/>
                <w:w w:val="100"/>
                <w:position w:val="0"/>
                <w:sz w:val="18"/>
                <w:szCs w:val="18"/>
              </w:rPr>
              <w:t>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both"/>
              <w:rPr>
                <w:sz w:val="18"/>
                <w:szCs w:val="18"/>
              </w:rPr>
            </w:pPr>
            <w:r>
              <w:rPr>
                <w:rFonts w:ascii="Times New Roman" w:eastAsia="Times New Roman" w:hAnsi="Times New Roman" w:cs="Times New Roman"/>
                <w:color w:val="000000"/>
                <w:spacing w:val="0"/>
                <w:w w:val="100"/>
                <w:position w:val="0"/>
                <w:sz w:val="18"/>
                <w:szCs w:val="18"/>
              </w:rPr>
              <w:t>5,400,000.00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both"/>
              <w:rPr>
                <w:sz w:val="18"/>
                <w:szCs w:val="18"/>
              </w:rPr>
            </w:pPr>
            <w:r>
              <w:rPr>
                <w:rFonts w:ascii="Times New Roman" w:eastAsia="Times New Roman" w:hAnsi="Times New Roman" w:cs="Times New Roman"/>
                <w:color w:val="000000"/>
                <w:spacing w:val="0"/>
                <w:w w:val="100"/>
                <w:position w:val="0"/>
                <w:sz w:val="18"/>
                <w:szCs w:val="18"/>
              </w:rPr>
              <w:t>4,320,000.00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20" w:right="0" w:firstLine="0"/>
              <w:jc w:val="left"/>
              <w:rPr>
                <w:sz w:val="18"/>
                <w:szCs w:val="18"/>
              </w:rPr>
            </w:pPr>
            <w:r>
              <w:rPr>
                <w:rFonts w:ascii="Times New Roman" w:eastAsia="Times New Roman" w:hAnsi="Times New Roman" w:cs="Times New Roman"/>
                <w:color w:val="000000"/>
                <w:spacing w:val="0"/>
                <w:w w:val="100"/>
                <w:position w:val="0"/>
                <w:sz w:val="18"/>
                <w:szCs w:val="18"/>
              </w:rPr>
              <w:t>80.00%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预计难以收回</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7"/>
                <w:szCs w:val="17"/>
              </w:rPr>
              <w:t>单项计提客户</w:t>
            </w:r>
            <w:r>
              <w:rPr>
                <w:rFonts w:ascii="Times New Roman" w:eastAsia="Times New Roman" w:hAnsi="Times New Roman" w:cs="Times New Roman"/>
                <w:color w:val="000000"/>
                <w:spacing w:val="0"/>
                <w:w w:val="100"/>
                <w:position w:val="0"/>
                <w:sz w:val="18"/>
                <w:szCs w:val="18"/>
              </w:rPr>
              <w:t>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both"/>
              <w:rPr>
                <w:sz w:val="18"/>
                <w:szCs w:val="18"/>
              </w:rPr>
            </w:pPr>
            <w:r>
              <w:rPr>
                <w:rFonts w:ascii="Times New Roman" w:eastAsia="Times New Roman" w:hAnsi="Times New Roman" w:cs="Times New Roman"/>
                <w:color w:val="000000"/>
                <w:spacing w:val="0"/>
                <w:w w:val="100"/>
                <w:position w:val="0"/>
                <w:sz w:val="18"/>
                <w:szCs w:val="18"/>
              </w:rPr>
              <w:t>5,400,000.00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both"/>
              <w:rPr>
                <w:sz w:val="18"/>
                <w:szCs w:val="18"/>
              </w:rPr>
            </w:pPr>
            <w:r>
              <w:rPr>
                <w:rFonts w:ascii="Times New Roman" w:eastAsia="Times New Roman" w:hAnsi="Times New Roman" w:cs="Times New Roman"/>
                <w:color w:val="000000"/>
                <w:spacing w:val="0"/>
                <w:w w:val="100"/>
                <w:position w:val="0"/>
                <w:sz w:val="18"/>
                <w:szCs w:val="18"/>
              </w:rPr>
              <w:t>4,320,000.00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20" w:right="0" w:firstLine="0"/>
              <w:jc w:val="left"/>
              <w:rPr>
                <w:sz w:val="18"/>
                <w:szCs w:val="18"/>
              </w:rPr>
            </w:pPr>
            <w:r>
              <w:rPr>
                <w:rFonts w:ascii="Times New Roman" w:eastAsia="Times New Roman" w:hAnsi="Times New Roman" w:cs="Times New Roman"/>
                <w:color w:val="000000"/>
                <w:spacing w:val="0"/>
                <w:w w:val="100"/>
                <w:position w:val="0"/>
                <w:sz w:val="18"/>
                <w:szCs w:val="18"/>
              </w:rPr>
              <w:t>80.00%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预计难以收回</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7"/>
                <w:szCs w:val="17"/>
              </w:rPr>
              <w:t>单项计提客户</w:t>
            </w:r>
            <w:r>
              <w:rPr>
                <w:rFonts w:ascii="Times New Roman" w:eastAsia="Times New Roman" w:hAnsi="Times New Roman" w:cs="Times New Roman"/>
                <w:color w:val="000000"/>
                <w:spacing w:val="0"/>
                <w:w w:val="100"/>
                <w:position w:val="0"/>
                <w:sz w:val="18"/>
                <w:szCs w:val="18"/>
              </w:rPr>
              <w:t>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both"/>
              <w:rPr>
                <w:sz w:val="18"/>
                <w:szCs w:val="18"/>
              </w:rPr>
            </w:pPr>
            <w:r>
              <w:rPr>
                <w:rFonts w:ascii="Times New Roman" w:eastAsia="Times New Roman" w:hAnsi="Times New Roman" w:cs="Times New Roman"/>
                <w:color w:val="000000"/>
                <w:spacing w:val="0"/>
                <w:w w:val="100"/>
                <w:position w:val="0"/>
                <w:sz w:val="18"/>
                <w:szCs w:val="18"/>
              </w:rPr>
              <w:t>5,389,499.46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both"/>
              <w:rPr>
                <w:sz w:val="18"/>
                <w:szCs w:val="18"/>
              </w:rPr>
            </w:pPr>
            <w:r>
              <w:rPr>
                <w:rFonts w:ascii="Times New Roman" w:eastAsia="Times New Roman" w:hAnsi="Times New Roman" w:cs="Times New Roman"/>
                <w:color w:val="000000"/>
                <w:spacing w:val="0"/>
                <w:w w:val="100"/>
                <w:position w:val="0"/>
                <w:sz w:val="18"/>
                <w:szCs w:val="18"/>
              </w:rPr>
              <w:t>5,389,499.46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40" w:right="0" w:firstLine="0"/>
              <w:jc w:val="left"/>
              <w:rPr>
                <w:sz w:val="18"/>
                <w:szCs w:val="18"/>
              </w:rPr>
            </w:pPr>
            <w:r>
              <w:rPr>
                <w:rFonts w:ascii="Times New Roman" w:eastAsia="Times New Roman" w:hAnsi="Times New Roman" w:cs="Times New Roman"/>
                <w:color w:val="000000"/>
                <w:spacing w:val="0"/>
                <w:w w:val="100"/>
                <w:position w:val="0"/>
                <w:sz w:val="18"/>
                <w:szCs w:val="18"/>
              </w:rPr>
              <w:t>100.00%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预计难以收回</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7"/>
                <w:szCs w:val="17"/>
              </w:rPr>
              <w:t>单项计提客户</w:t>
            </w:r>
            <w:r>
              <w:rPr>
                <w:rFonts w:ascii="Times New Roman" w:eastAsia="Times New Roman" w:hAnsi="Times New Roman" w:cs="Times New Roman"/>
                <w:color w:val="000000"/>
                <w:spacing w:val="0"/>
                <w:w w:val="100"/>
                <w:position w:val="0"/>
                <w:sz w:val="18"/>
                <w:szCs w:val="18"/>
              </w:rPr>
              <w:t>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both"/>
              <w:rPr>
                <w:sz w:val="18"/>
                <w:szCs w:val="18"/>
              </w:rPr>
            </w:pPr>
            <w:r>
              <w:rPr>
                <w:rFonts w:ascii="Times New Roman" w:eastAsia="Times New Roman" w:hAnsi="Times New Roman" w:cs="Times New Roman"/>
                <w:color w:val="000000"/>
                <w:spacing w:val="0"/>
                <w:w w:val="100"/>
                <w:position w:val="0"/>
                <w:sz w:val="18"/>
                <w:szCs w:val="18"/>
              </w:rPr>
              <w:t>5,207,641.40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2,603,820.70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20" w:right="0" w:firstLine="0"/>
              <w:jc w:val="left"/>
              <w:rPr>
                <w:sz w:val="18"/>
                <w:szCs w:val="18"/>
              </w:rPr>
            </w:pPr>
            <w:r>
              <w:rPr>
                <w:rFonts w:ascii="Times New Roman" w:eastAsia="Times New Roman" w:hAnsi="Times New Roman" w:cs="Times New Roman"/>
                <w:color w:val="000000"/>
                <w:spacing w:val="0"/>
                <w:w w:val="100"/>
                <w:position w:val="0"/>
                <w:sz w:val="18"/>
                <w:szCs w:val="18"/>
              </w:rPr>
              <w:t>50.00%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预计收回存在困难</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7"/>
                <w:szCs w:val="17"/>
              </w:rPr>
              <w:t>单项计提客户</w:t>
            </w:r>
            <w:r>
              <w:rPr>
                <w:rFonts w:ascii="Times New Roman" w:eastAsia="Times New Roman" w:hAnsi="Times New Roman" w:cs="Times New Roman"/>
                <w:color w:val="000000"/>
                <w:spacing w:val="0"/>
                <w:w w:val="100"/>
                <w:position w:val="0"/>
                <w:sz w:val="18"/>
                <w:szCs w:val="18"/>
              </w:rPr>
              <w:t>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both"/>
              <w:rPr>
                <w:sz w:val="18"/>
                <w:szCs w:val="18"/>
              </w:rPr>
            </w:pPr>
            <w:r>
              <w:rPr>
                <w:rFonts w:ascii="Times New Roman" w:eastAsia="Times New Roman" w:hAnsi="Times New Roman" w:cs="Times New Roman"/>
                <w:color w:val="000000"/>
                <w:spacing w:val="0"/>
                <w:w w:val="100"/>
                <w:position w:val="0"/>
                <w:sz w:val="18"/>
                <w:szCs w:val="18"/>
              </w:rPr>
              <w:t>3,992,500.00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3,194,000.00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20" w:right="0" w:firstLine="0"/>
              <w:jc w:val="left"/>
              <w:rPr>
                <w:sz w:val="18"/>
                <w:szCs w:val="18"/>
              </w:rPr>
            </w:pPr>
            <w:r>
              <w:rPr>
                <w:rFonts w:ascii="Times New Roman" w:eastAsia="Times New Roman" w:hAnsi="Times New Roman" w:cs="Times New Roman"/>
                <w:color w:val="000000"/>
                <w:spacing w:val="0"/>
                <w:w w:val="100"/>
                <w:position w:val="0"/>
                <w:sz w:val="18"/>
                <w:szCs w:val="18"/>
              </w:rPr>
              <w:t>80.00%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预计难以收回</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7"/>
                <w:szCs w:val="17"/>
              </w:rPr>
              <w:t>单项计提客户</w:t>
            </w:r>
            <w:r>
              <w:rPr>
                <w:rFonts w:ascii="Times New Roman" w:eastAsia="Times New Roman" w:hAnsi="Times New Roman" w:cs="Times New Roman"/>
                <w:color w:val="000000"/>
                <w:spacing w:val="0"/>
                <w:w w:val="100"/>
                <w:position w:val="0"/>
                <w:sz w:val="18"/>
                <w:szCs w:val="18"/>
              </w:rPr>
              <w:t>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both"/>
              <w:rPr>
                <w:sz w:val="18"/>
                <w:szCs w:val="18"/>
              </w:rPr>
            </w:pPr>
            <w:r>
              <w:rPr>
                <w:rFonts w:ascii="Times New Roman" w:eastAsia="Times New Roman" w:hAnsi="Times New Roman" w:cs="Times New Roman"/>
                <w:color w:val="000000"/>
                <w:spacing w:val="0"/>
                <w:w w:val="100"/>
                <w:position w:val="0"/>
                <w:sz w:val="18"/>
                <w:szCs w:val="18"/>
              </w:rPr>
              <w:t>3,931,200.00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3,931,200.00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40" w:right="0" w:firstLine="0"/>
              <w:jc w:val="left"/>
              <w:rPr>
                <w:sz w:val="18"/>
                <w:szCs w:val="18"/>
              </w:rPr>
            </w:pPr>
            <w:r>
              <w:rPr>
                <w:rFonts w:ascii="Times New Roman" w:eastAsia="Times New Roman" w:hAnsi="Times New Roman" w:cs="Times New Roman"/>
                <w:color w:val="000000"/>
                <w:spacing w:val="0"/>
                <w:w w:val="100"/>
                <w:position w:val="0"/>
                <w:sz w:val="18"/>
                <w:szCs w:val="18"/>
              </w:rPr>
              <w:t>100.00%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预计难以收回</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7"/>
                <w:szCs w:val="17"/>
              </w:rPr>
              <w:t>单项计提客户</w:t>
            </w:r>
            <w:r>
              <w:rPr>
                <w:rFonts w:ascii="Times New Roman" w:eastAsia="Times New Roman" w:hAnsi="Times New Roman" w:cs="Times New Roman"/>
                <w:color w:val="000000"/>
                <w:spacing w:val="0"/>
                <w:w w:val="100"/>
                <w:position w:val="0"/>
                <w:sz w:val="18"/>
                <w:szCs w:val="18"/>
              </w:rPr>
              <w:t>10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both"/>
              <w:rPr>
                <w:sz w:val="18"/>
                <w:szCs w:val="18"/>
              </w:rPr>
            </w:pPr>
            <w:r>
              <w:rPr>
                <w:rFonts w:ascii="Times New Roman" w:eastAsia="Times New Roman" w:hAnsi="Times New Roman" w:cs="Times New Roman"/>
                <w:color w:val="000000"/>
                <w:spacing w:val="0"/>
                <w:w w:val="100"/>
                <w:position w:val="0"/>
                <w:sz w:val="18"/>
                <w:szCs w:val="18"/>
              </w:rPr>
              <w:t>3,876,017.55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3,876,017.55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40" w:right="0" w:firstLine="0"/>
              <w:jc w:val="left"/>
              <w:rPr>
                <w:sz w:val="18"/>
                <w:szCs w:val="18"/>
              </w:rPr>
            </w:pPr>
            <w:r>
              <w:rPr>
                <w:rFonts w:ascii="Times New Roman" w:eastAsia="Times New Roman" w:hAnsi="Times New Roman" w:cs="Times New Roman"/>
                <w:color w:val="000000"/>
                <w:spacing w:val="0"/>
                <w:w w:val="100"/>
                <w:position w:val="0"/>
                <w:sz w:val="18"/>
                <w:szCs w:val="18"/>
              </w:rPr>
              <w:t>100.00%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预计难以收回</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其他单项计提客户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left"/>
              <w:rPr>
                <w:sz w:val="18"/>
                <w:szCs w:val="18"/>
              </w:rPr>
            </w:pPr>
            <w:r>
              <w:rPr>
                <w:rFonts w:ascii="Times New Roman" w:eastAsia="Times New Roman" w:hAnsi="Times New Roman" w:cs="Times New Roman"/>
                <w:color w:val="000000"/>
                <w:spacing w:val="0"/>
                <w:w w:val="100"/>
                <w:position w:val="0"/>
                <w:sz w:val="18"/>
                <w:szCs w:val="18"/>
              </w:rPr>
              <w:t>28,816,934.06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26,044,531.26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20" w:right="0" w:firstLine="0"/>
              <w:jc w:val="left"/>
              <w:rPr>
                <w:sz w:val="18"/>
                <w:szCs w:val="18"/>
              </w:rPr>
            </w:pPr>
            <w:r>
              <w:rPr>
                <w:rFonts w:ascii="Times New Roman" w:eastAsia="Times New Roman" w:hAnsi="Times New Roman" w:cs="Times New Roman"/>
                <w:color w:val="000000"/>
                <w:spacing w:val="0"/>
                <w:w w:val="100"/>
                <w:position w:val="0"/>
                <w:sz w:val="18"/>
                <w:szCs w:val="18"/>
              </w:rPr>
              <w:t>90.38%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预计难以收回</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116,280,500.37</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106,615,776.87</w:t>
            </w:r>
          </w:p>
        </w:tc>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900"/>
              <w:jc w:val="left"/>
              <w:rPr>
                <w:sz w:val="18"/>
                <w:szCs w:val="18"/>
              </w:rPr>
            </w:pPr>
            <w:r>
              <w:rPr>
                <w:rFonts w:ascii="Times New Roman" w:eastAsia="Times New Roman" w:hAnsi="Times New Roman" w:cs="Times New Roman"/>
                <w:color w:val="000000"/>
                <w:spacing w:val="0"/>
                <w:w w:val="100"/>
                <w:position w:val="0"/>
                <w:sz w:val="18"/>
                <w:szCs w:val="18"/>
              </w:rPr>
              <w:t>--</w:t>
            </w:r>
          </w:p>
        </w:tc>
      </w:tr>
    </w:tbl>
    <w:p>
      <w:pPr>
        <w:pStyle w:val="Style20"/>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按组合计提坏账准备:</w:t>
      </w:r>
    </w:p>
    <w:p>
      <w:pPr>
        <w:widowControl w:val="0"/>
        <w:spacing w:after="139" w:line="1" w:lineRule="exact"/>
      </w:pPr>
    </w:p>
    <w:p>
      <w:pPr>
        <w:pStyle w:val="Style41"/>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2395"/>
        <w:gridCol w:w="2395"/>
        <w:gridCol w:w="2390"/>
        <w:gridCol w:w="2400"/>
      </w:tblGrid>
      <w:tr>
        <w:trPr>
          <w:trHeight w:val="408" w:hRule="exact"/>
        </w:trPr>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名称</w:t>
            </w:r>
          </w:p>
        </w:tc>
        <w:tc>
          <w:tcPr>
            <w:gridSpan w:val="3"/>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r>
      <w:tr>
        <w:trPr>
          <w:trHeight w:val="398" w:hRule="exact"/>
        </w:trPr>
        <w:tc>
          <w:tcPr>
            <w:vMerge/>
            <w:tcBorders>
              <w:left w:val="single" w:sz="4"/>
            </w:tcBorders>
            <w:shd w:val="clear" w:color="auto" w:fill="D7D7D7"/>
            <w:vAlign w:val="center"/>
          </w:tcPr>
          <w:p>
            <w:pP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计提比例</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年以内</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40" w:right="0" w:firstLine="0"/>
              <w:jc w:val="left"/>
              <w:rPr>
                <w:sz w:val="18"/>
                <w:szCs w:val="18"/>
              </w:rPr>
            </w:pPr>
            <w:r>
              <w:rPr>
                <w:rFonts w:ascii="Times New Roman" w:eastAsia="Times New Roman" w:hAnsi="Times New Roman" w:cs="Times New Roman"/>
                <w:color w:val="000000"/>
                <w:spacing w:val="0"/>
                <w:w w:val="100"/>
                <w:position w:val="0"/>
                <w:sz w:val="18"/>
                <w:szCs w:val="18"/>
              </w:rPr>
              <w:t>528,624,540.35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20" w:right="0" w:firstLine="0"/>
              <w:jc w:val="left"/>
              <w:rPr>
                <w:sz w:val="18"/>
                <w:szCs w:val="18"/>
              </w:rPr>
            </w:pPr>
            <w:r>
              <w:rPr>
                <w:rFonts w:ascii="Times New Roman" w:eastAsia="Times New Roman" w:hAnsi="Times New Roman" w:cs="Times New Roman"/>
                <w:color w:val="000000"/>
                <w:spacing w:val="0"/>
                <w:w w:val="100"/>
                <w:position w:val="0"/>
                <w:sz w:val="18"/>
                <w:szCs w:val="18"/>
              </w:rPr>
              <w:t>26,431,227.03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5.00%</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至</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20" w:right="0" w:firstLine="0"/>
              <w:jc w:val="left"/>
              <w:rPr>
                <w:sz w:val="18"/>
                <w:szCs w:val="18"/>
              </w:rPr>
            </w:pPr>
            <w:r>
              <w:rPr>
                <w:rFonts w:ascii="Times New Roman" w:eastAsia="Times New Roman" w:hAnsi="Times New Roman" w:cs="Times New Roman"/>
                <w:color w:val="000000"/>
                <w:spacing w:val="0"/>
                <w:w w:val="100"/>
                <w:position w:val="0"/>
                <w:sz w:val="18"/>
                <w:szCs w:val="18"/>
              </w:rPr>
              <w:t>53,276,644.98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5,330,786.54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10.01%</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至</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20" w:right="0" w:firstLine="0"/>
              <w:jc w:val="left"/>
              <w:rPr>
                <w:sz w:val="18"/>
                <w:szCs w:val="18"/>
              </w:rPr>
            </w:pPr>
            <w:r>
              <w:rPr>
                <w:rFonts w:ascii="Times New Roman" w:eastAsia="Times New Roman" w:hAnsi="Times New Roman" w:cs="Times New Roman"/>
                <w:color w:val="000000"/>
                <w:spacing w:val="0"/>
                <w:w w:val="100"/>
                <w:position w:val="0"/>
                <w:sz w:val="18"/>
                <w:szCs w:val="18"/>
              </w:rPr>
              <w:t>55,194,359.37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20" w:right="0" w:firstLine="0"/>
              <w:jc w:val="left"/>
              <w:rPr>
                <w:sz w:val="18"/>
                <w:szCs w:val="18"/>
              </w:rPr>
            </w:pPr>
            <w:r>
              <w:rPr>
                <w:rFonts w:ascii="Times New Roman" w:eastAsia="Times New Roman" w:hAnsi="Times New Roman" w:cs="Times New Roman"/>
                <w:color w:val="000000"/>
                <w:spacing w:val="0"/>
                <w:w w:val="100"/>
                <w:position w:val="0"/>
                <w:sz w:val="18"/>
                <w:szCs w:val="18"/>
              </w:rPr>
              <w:t>16,559,539.86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30.00%</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3</w:t>
            </w:r>
            <w:r>
              <w:rPr>
                <w:color w:val="000000"/>
                <w:spacing w:val="0"/>
                <w:w w:val="100"/>
                <w:position w:val="0"/>
              </w:rPr>
              <w:t>至</w:t>
            </w:r>
            <w:r>
              <w:rPr>
                <w:rFonts w:ascii="Times New Roman" w:eastAsia="Times New Roman" w:hAnsi="Times New Roman" w:cs="Times New Roman"/>
                <w:color w:val="000000"/>
                <w:spacing w:val="0"/>
                <w:w w:val="100"/>
                <w:position w:val="0"/>
                <w:sz w:val="18"/>
                <w:szCs w:val="18"/>
              </w:rPr>
              <w:t>4</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20" w:right="0" w:firstLine="0"/>
              <w:jc w:val="left"/>
              <w:rPr>
                <w:sz w:val="18"/>
                <w:szCs w:val="18"/>
              </w:rPr>
            </w:pPr>
            <w:r>
              <w:rPr>
                <w:rFonts w:ascii="Times New Roman" w:eastAsia="Times New Roman" w:hAnsi="Times New Roman" w:cs="Times New Roman"/>
                <w:color w:val="000000"/>
                <w:spacing w:val="0"/>
                <w:w w:val="100"/>
                <w:position w:val="0"/>
                <w:sz w:val="18"/>
                <w:szCs w:val="18"/>
              </w:rPr>
              <w:t>57,812,322.42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20" w:right="0" w:firstLine="0"/>
              <w:jc w:val="left"/>
              <w:rPr>
                <w:sz w:val="18"/>
                <w:szCs w:val="18"/>
              </w:rPr>
            </w:pPr>
            <w:r>
              <w:rPr>
                <w:rFonts w:ascii="Times New Roman" w:eastAsia="Times New Roman" w:hAnsi="Times New Roman" w:cs="Times New Roman"/>
                <w:color w:val="000000"/>
                <w:spacing w:val="0"/>
                <w:w w:val="100"/>
                <w:position w:val="0"/>
                <w:sz w:val="18"/>
                <w:szCs w:val="18"/>
              </w:rPr>
              <w:t>28,996,663.93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50.16%</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4</w:t>
            </w:r>
            <w:r>
              <w:rPr>
                <w:color w:val="000000"/>
                <w:spacing w:val="0"/>
                <w:w w:val="100"/>
                <w:position w:val="0"/>
              </w:rPr>
              <w:t>至</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20" w:right="0" w:firstLine="0"/>
              <w:jc w:val="left"/>
              <w:rPr>
                <w:sz w:val="18"/>
                <w:szCs w:val="18"/>
              </w:rPr>
            </w:pPr>
            <w:r>
              <w:rPr>
                <w:rFonts w:ascii="Times New Roman" w:eastAsia="Times New Roman" w:hAnsi="Times New Roman" w:cs="Times New Roman"/>
                <w:color w:val="000000"/>
                <w:spacing w:val="0"/>
                <w:w w:val="100"/>
                <w:position w:val="0"/>
                <w:sz w:val="18"/>
                <w:szCs w:val="18"/>
              </w:rPr>
              <w:t>32,686,653.28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20" w:right="0" w:firstLine="0"/>
              <w:jc w:val="left"/>
              <w:rPr>
                <w:sz w:val="18"/>
                <w:szCs w:val="18"/>
              </w:rPr>
            </w:pPr>
            <w:r>
              <w:rPr>
                <w:rFonts w:ascii="Times New Roman" w:eastAsia="Times New Roman" w:hAnsi="Times New Roman" w:cs="Times New Roman"/>
                <w:color w:val="000000"/>
                <w:spacing w:val="0"/>
                <w:w w:val="100"/>
                <w:position w:val="0"/>
                <w:sz w:val="18"/>
                <w:szCs w:val="18"/>
              </w:rPr>
              <w:t>26,177,506.00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80.09%</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5</w:t>
            </w:r>
            <w:r>
              <w:rPr>
                <w:color w:val="000000"/>
                <w:spacing w:val="0"/>
                <w:w w:val="100"/>
                <w:position w:val="0"/>
              </w:rPr>
              <w:t>年以上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20" w:right="0" w:firstLine="0"/>
              <w:jc w:val="left"/>
              <w:rPr>
                <w:sz w:val="18"/>
                <w:szCs w:val="18"/>
              </w:rPr>
            </w:pPr>
            <w:r>
              <w:rPr>
                <w:rFonts w:ascii="Times New Roman" w:eastAsia="Times New Roman" w:hAnsi="Times New Roman" w:cs="Times New Roman"/>
                <w:color w:val="000000"/>
                <w:spacing w:val="0"/>
                <w:w w:val="100"/>
                <w:position w:val="0"/>
                <w:sz w:val="18"/>
                <w:szCs w:val="18"/>
              </w:rPr>
              <w:t>54,128,699.97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20" w:right="0" w:firstLine="0"/>
              <w:jc w:val="left"/>
              <w:rPr>
                <w:sz w:val="18"/>
                <w:szCs w:val="18"/>
              </w:rPr>
            </w:pPr>
            <w:r>
              <w:rPr>
                <w:rFonts w:ascii="Times New Roman" w:eastAsia="Times New Roman" w:hAnsi="Times New Roman" w:cs="Times New Roman"/>
                <w:color w:val="000000"/>
                <w:spacing w:val="0"/>
                <w:w w:val="100"/>
                <w:position w:val="0"/>
                <w:sz w:val="18"/>
                <w:szCs w:val="18"/>
              </w:rPr>
              <w:t>54,128,699.97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100.00%</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40" w:right="0" w:firstLine="0"/>
              <w:jc w:val="left"/>
              <w:rPr>
                <w:sz w:val="18"/>
                <w:szCs w:val="18"/>
              </w:rPr>
            </w:pPr>
            <w:r>
              <w:rPr>
                <w:rFonts w:ascii="Times New Roman" w:eastAsia="Times New Roman" w:hAnsi="Times New Roman" w:cs="Times New Roman"/>
                <w:color w:val="000000"/>
                <w:spacing w:val="0"/>
                <w:w w:val="100"/>
                <w:position w:val="0"/>
                <w:sz w:val="18"/>
                <w:szCs w:val="18"/>
              </w:rPr>
              <w:t>781,723,220.37</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157,624,423.33</w:t>
            </w:r>
          </w:p>
        </w:tc>
        <w:tc>
          <w:tcPr>
            <w:tcBorders>
              <w:top w:val="single" w:sz="4"/>
              <w:left w:val="single" w:sz="4"/>
              <w:bottom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r>
    </w:tbl>
    <w:p>
      <w:pPr>
        <w:pStyle w:val="Style20"/>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确定该组合依据的说明：信用风险特征组合</w:t>
      </w:r>
    </w:p>
    <w:p>
      <w:pPr>
        <w:widowControl w:val="0"/>
        <w:spacing w:after="479" w:line="1" w:lineRule="exact"/>
      </w:pPr>
    </w:p>
    <w:p>
      <w:pPr>
        <w:pStyle w:val="Style41"/>
        <w:keepNext w:val="0"/>
        <w:keepLines w:val="0"/>
        <w:widowControl w:val="0"/>
        <w:shd w:val="clear" w:color="auto" w:fill="auto"/>
        <w:bidi w:val="0"/>
        <w:spacing w:before="0" w:after="140" w:line="240" w:lineRule="auto"/>
        <w:ind w:left="0" w:right="0" w:firstLine="0"/>
        <w:jc w:val="left"/>
        <w:sectPr>
          <w:footnotePr>
            <w:pos w:val="pageBottom"/>
            <w:numFmt w:val="decimal"/>
            <w:numRestart w:val="continuous"/>
          </w:footnotePr>
          <w:pgSz w:w="11904" w:h="17375"/>
          <w:pgMar w:top="1676" w:right="1030" w:bottom="1663" w:left="1006" w:header="0" w:footer="3" w:gutter="0"/>
          <w:cols w:space="720"/>
          <w:noEndnote/>
          <w:rtlGutter w:val="0"/>
          <w:docGrid w:linePitch="360"/>
        </w:sectPr>
      </w:pPr>
      <w:r>
        <w:rPr>
          <w:color w:val="000000"/>
          <w:spacing w:val="0"/>
          <w:w w:val="100"/>
          <w:position w:val="0"/>
        </w:rPr>
        <w:t>如是按照预期信用损失一般模型计提应收账款坏账准备，请参照其他应收款的披露方式披露坏账准备的相关信息:</w:t>
      </w:r>
    </w:p>
    <w:p>
      <w:pPr>
        <w:pStyle w:val="Style41"/>
        <w:keepNext w:val="0"/>
        <w:keepLines w:val="0"/>
        <w:widowControl w:val="0"/>
        <w:shd w:val="clear" w:color="auto" w:fill="auto"/>
        <w:bidi w:val="0"/>
        <w:spacing w:before="0" w:after="14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color w:val="000000"/>
          <w:spacing w:val="0"/>
          <w:w w:val="100"/>
          <w:position w:val="0"/>
          <w:sz w:val="18"/>
          <w:szCs w:val="18"/>
        </w:rPr>
        <w:t>寸</w:t>
      </w:r>
      <w:r>
        <w:rPr>
          <w:color w:val="000000"/>
          <w:spacing w:val="0"/>
          <w:w w:val="100"/>
          <w:position w:val="0"/>
        </w:rPr>
        <w:t>不适用</w:t>
      </w:r>
    </w:p>
    <w:p>
      <w:pPr>
        <w:pStyle w:val="Style41"/>
        <w:keepNext w:val="0"/>
        <w:keepLines w:val="0"/>
        <w:widowControl w:val="0"/>
        <w:shd w:val="clear" w:color="auto" w:fill="auto"/>
        <w:bidi w:val="0"/>
        <w:spacing w:before="0" w:after="140" w:line="240" w:lineRule="auto"/>
        <w:ind w:left="0" w:right="0" w:firstLine="0"/>
        <w:jc w:val="left"/>
      </w:pPr>
      <w:r>
        <w:rPr>
          <w:color w:val="000000"/>
          <w:spacing w:val="0"/>
          <w:w w:val="100"/>
          <w:position w:val="0"/>
        </w:rPr>
        <w:t>按账龄披露</w:t>
      </w:r>
    </w:p>
    <w:p>
      <w:pPr>
        <w:pStyle w:val="Style41"/>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center"/>
        <w:tblLayout w:type="fixed"/>
      </w:tblPr>
      <w:tblGrid>
        <w:gridCol w:w="4790"/>
        <w:gridCol w:w="4790"/>
      </w:tblGrid>
      <w:tr>
        <w:trPr>
          <w:trHeight w:val="40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账龄</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年以内（含</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528,997,910.03</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至</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64,158,871.75</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至</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82,464,369.40</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3</w:t>
            </w:r>
            <w:r>
              <w:rPr>
                <w:color w:val="000000"/>
                <w:spacing w:val="0"/>
                <w:w w:val="100"/>
                <w:position w:val="0"/>
              </w:rPr>
              <w:t>至</w:t>
            </w:r>
            <w:r>
              <w:rPr>
                <w:rFonts w:ascii="Times New Roman" w:eastAsia="Times New Roman" w:hAnsi="Times New Roman" w:cs="Times New Roman"/>
                <w:color w:val="000000"/>
                <w:spacing w:val="0"/>
                <w:w w:val="100"/>
                <w:position w:val="0"/>
                <w:sz w:val="18"/>
                <w:szCs w:val="18"/>
              </w:rPr>
              <w:t>4</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64,735,045.71</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4</w:t>
            </w:r>
            <w:r>
              <w:rPr>
                <w:color w:val="000000"/>
                <w:spacing w:val="0"/>
                <w:w w:val="100"/>
                <w:position w:val="0"/>
              </w:rPr>
              <w:t>至</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94,416,460.64</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5</w:t>
            </w:r>
            <w:r>
              <w:rPr>
                <w:color w:val="000000"/>
                <w:spacing w:val="0"/>
                <w:w w:val="100"/>
                <w:position w:val="0"/>
              </w:rPr>
              <w:t>年以上</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63,231,063.21</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898,003,720.74</w:t>
            </w:r>
          </w:p>
        </w:tc>
      </w:tr>
    </w:tbl>
    <w:p>
      <w:pPr>
        <w:widowControl w:val="0"/>
        <w:spacing w:after="319" w:line="1" w:lineRule="exact"/>
      </w:pPr>
    </w:p>
    <w:p>
      <w:pPr>
        <w:pStyle w:val="Style58"/>
        <w:keepNext/>
        <w:keepLines/>
        <w:widowControl w:val="0"/>
        <w:shd w:val="clear" w:color="auto" w:fill="auto"/>
        <w:bidi w:val="0"/>
        <w:spacing w:before="0" w:after="400" w:line="240" w:lineRule="auto"/>
        <w:ind w:left="0" w:right="0" w:firstLine="0"/>
        <w:jc w:val="left"/>
        <w:rPr>
          <w:sz w:val="20"/>
          <w:szCs w:val="20"/>
        </w:rPr>
      </w:pPr>
      <w:bookmarkStart w:id="1275" w:name="bookmark1275"/>
      <w:bookmarkStart w:id="1276" w:name="bookmark1276"/>
      <w:bookmarkStart w:id="1277" w:name="bookmark1277"/>
      <w:bookmarkStart w:id="1278" w:name="bookmark1278"/>
      <w:r>
        <w:rPr>
          <w:b/>
          <w:bCs/>
          <w:color w:val="000000"/>
          <w:spacing w:val="0"/>
          <w:w w:val="100"/>
          <w:position w:val="0"/>
          <w:sz w:val="20"/>
          <w:szCs w:val="20"/>
        </w:rPr>
        <w:t>（</w:t>
      </w:r>
      <w:bookmarkEnd w:id="1277"/>
      <w:r>
        <w:rPr>
          <w:b/>
          <w:bCs/>
          <w:color w:val="000000"/>
          <w:spacing w:val="0"/>
          <w:w w:val="100"/>
          <w:position w:val="0"/>
          <w:sz w:val="20"/>
          <w:szCs w:val="20"/>
        </w:rPr>
        <w:t>2）本期计提、收回或转回的坏账准备情况</w:t>
      </w:r>
      <w:bookmarkEnd w:id="1275"/>
      <w:bookmarkEnd w:id="1276"/>
      <w:bookmarkEnd w:id="1278"/>
    </w:p>
    <w:p>
      <w:pPr>
        <w:pStyle w:val="Style41"/>
        <w:keepNext w:val="0"/>
        <w:keepLines w:val="0"/>
        <w:widowControl w:val="0"/>
        <w:shd w:val="clear" w:color="auto" w:fill="auto"/>
        <w:bidi w:val="0"/>
        <w:spacing w:before="0" w:after="140" w:line="240" w:lineRule="auto"/>
        <w:ind w:left="0" w:right="0" w:firstLine="0"/>
        <w:jc w:val="left"/>
      </w:pPr>
      <w:r>
        <w:rPr>
          <w:color w:val="000000"/>
          <w:spacing w:val="0"/>
          <w:w w:val="100"/>
          <w:position w:val="0"/>
        </w:rPr>
        <w:t>本期计提坏账准备情况：</w:t>
      </w:r>
    </w:p>
    <w:p>
      <w:pPr>
        <w:pStyle w:val="Style41"/>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center"/>
        <w:tblLayout w:type="fixed"/>
      </w:tblPr>
      <w:tblGrid>
        <w:gridCol w:w="1704"/>
        <w:gridCol w:w="1421"/>
        <w:gridCol w:w="1277"/>
        <w:gridCol w:w="1075"/>
        <w:gridCol w:w="1363"/>
        <w:gridCol w:w="1368"/>
        <w:gridCol w:w="1378"/>
      </w:tblGrid>
      <w:tr>
        <w:trPr>
          <w:trHeight w:val="408" w:hRule="exact"/>
        </w:trPr>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类别</w:t>
            </w:r>
          </w:p>
        </w:tc>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c>
          <w:tcPr>
            <w:gridSpan w:val="4"/>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本期变动金额</w:t>
            </w:r>
          </w:p>
        </w:tc>
        <w:tc>
          <w:tcPr>
            <w:vMerge w:val="restart"/>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r>
      <w:tr>
        <w:trPr>
          <w:trHeight w:val="403" w:hRule="exact"/>
        </w:trPr>
        <w:tc>
          <w:tcPr>
            <w:vMerge/>
            <w:tcBorders>
              <w:left w:val="single" w:sz="4"/>
            </w:tcBorders>
            <w:shd w:val="clear" w:color="auto" w:fill="D7D7D7"/>
            <w:vAlign w:val="center"/>
          </w:tcPr>
          <w:p>
            <w:pPr/>
          </w:p>
        </w:tc>
        <w:tc>
          <w:tcPr>
            <w:vMerge/>
            <w:tcBorders>
              <w:left w:val="single" w:sz="4"/>
            </w:tcBorders>
            <w:shd w:val="clear" w:color="auto" w:fill="D7D7D7"/>
            <w:vAlign w:val="center"/>
          </w:tcPr>
          <w:p>
            <w:pP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计提</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收回或转回</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核销</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w:t>
            </w:r>
          </w:p>
        </w:tc>
        <w:tc>
          <w:tcPr>
            <w:vMerge/>
            <w:tcBorders>
              <w:left w:val="single" w:sz="4"/>
              <w:right w:val="single" w:sz="4"/>
            </w:tcBorders>
            <w:shd w:val="clear" w:color="auto" w:fill="D7D7D7"/>
            <w:vAlign w:val="center"/>
          </w:tcPr>
          <w:p>
            <w:pP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按单项计提坏账准备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89,708,119.47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35,093,216.29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-18,185,558.89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rFonts w:ascii="Times New Roman" w:eastAsia="Times New Roman" w:hAnsi="Times New Roman" w:cs="Times New Roman"/>
                <w:color w:val="000000"/>
                <w:spacing w:val="0"/>
                <w:w w:val="100"/>
                <w:position w:val="0"/>
                <w:sz w:val="18"/>
                <w:szCs w:val="18"/>
              </w:rPr>
              <w:t>106,615,776.87</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按组合计提坏账准备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rPr>
                <w:sz w:val="18"/>
                <w:szCs w:val="18"/>
              </w:rPr>
            </w:pPr>
            <w:r>
              <w:rPr>
                <w:rFonts w:ascii="Times New Roman" w:eastAsia="Times New Roman" w:hAnsi="Times New Roman" w:cs="Times New Roman"/>
                <w:color w:val="000000"/>
                <w:spacing w:val="0"/>
                <w:w w:val="100"/>
                <w:position w:val="0"/>
                <w:sz w:val="18"/>
                <w:szCs w:val="18"/>
              </w:rPr>
              <w:t>160,389,703.34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3,225,713.04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-5,990,993.05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rFonts w:ascii="Times New Roman" w:eastAsia="Times New Roman" w:hAnsi="Times New Roman" w:cs="Times New Roman"/>
                <w:color w:val="000000"/>
                <w:spacing w:val="0"/>
                <w:w w:val="100"/>
                <w:position w:val="0"/>
                <w:sz w:val="18"/>
                <w:szCs w:val="18"/>
              </w:rPr>
              <w:t>157,624,423.33</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rPr>
                <w:sz w:val="18"/>
                <w:szCs w:val="18"/>
              </w:rPr>
            </w:pPr>
            <w:r>
              <w:rPr>
                <w:rFonts w:ascii="Times New Roman" w:eastAsia="Times New Roman" w:hAnsi="Times New Roman" w:cs="Times New Roman"/>
                <w:color w:val="000000"/>
                <w:spacing w:val="0"/>
                <w:w w:val="100"/>
                <w:position w:val="0"/>
                <w:sz w:val="18"/>
                <w:szCs w:val="18"/>
              </w:rPr>
              <w:t>250,097,822.81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38,318,929.33</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-24,176,551.94</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rFonts w:ascii="Times New Roman" w:eastAsia="Times New Roman" w:hAnsi="Times New Roman" w:cs="Times New Roman"/>
                <w:color w:val="000000"/>
                <w:spacing w:val="0"/>
                <w:w w:val="100"/>
                <w:position w:val="0"/>
                <w:sz w:val="18"/>
                <w:szCs w:val="18"/>
              </w:rPr>
              <w:t>264,240,200.20</w:t>
            </w:r>
          </w:p>
        </w:tc>
      </w:tr>
    </w:tbl>
    <w:p>
      <w:pPr>
        <w:widowControl w:val="0"/>
        <w:spacing w:after="79" w:line="1" w:lineRule="exact"/>
      </w:pPr>
    </w:p>
    <w:p>
      <w:pPr>
        <w:pStyle w:val="Style41"/>
        <w:keepNext w:val="0"/>
        <w:keepLines w:val="0"/>
        <w:widowControl w:val="0"/>
        <w:shd w:val="clear" w:color="auto" w:fill="auto"/>
        <w:bidi w:val="0"/>
        <w:spacing w:before="0" w:after="400" w:line="240" w:lineRule="auto"/>
        <w:ind w:left="0" w:right="0" w:firstLine="0"/>
        <w:jc w:val="left"/>
      </w:pPr>
      <w:r>
        <w:rPr>
          <w:color w:val="000000"/>
          <w:spacing w:val="0"/>
          <w:w w:val="100"/>
          <w:position w:val="0"/>
        </w:rPr>
        <w:t>注：本期其他变动主要系子公司退出合并范围及外币汇率变动形成。</w:t>
      </w:r>
    </w:p>
    <w:p>
      <w:pPr>
        <w:pStyle w:val="Style58"/>
        <w:keepNext/>
        <w:keepLines/>
        <w:widowControl w:val="0"/>
        <w:shd w:val="clear" w:color="auto" w:fill="auto"/>
        <w:bidi w:val="0"/>
        <w:spacing w:before="0" w:after="480" w:line="240" w:lineRule="auto"/>
        <w:ind w:left="0" w:right="0" w:firstLine="0"/>
        <w:jc w:val="left"/>
        <w:rPr>
          <w:sz w:val="20"/>
          <w:szCs w:val="20"/>
        </w:rPr>
      </w:pPr>
      <w:bookmarkStart w:id="1279" w:name="bookmark1279"/>
      <w:bookmarkStart w:id="1280" w:name="bookmark1280"/>
      <w:bookmarkStart w:id="1281" w:name="bookmark1281"/>
      <w:bookmarkStart w:id="1282" w:name="bookmark1282"/>
      <w:r>
        <w:rPr>
          <w:b/>
          <w:bCs/>
          <w:color w:val="000000"/>
          <w:spacing w:val="0"/>
          <w:w w:val="100"/>
          <w:position w:val="0"/>
          <w:sz w:val="20"/>
          <w:szCs w:val="20"/>
        </w:rPr>
        <w:t>（</w:t>
      </w:r>
      <w:bookmarkEnd w:id="1281"/>
      <w:r>
        <w:rPr>
          <w:b/>
          <w:bCs/>
          <w:color w:val="000000"/>
          <w:spacing w:val="0"/>
          <w:w w:val="100"/>
          <w:position w:val="0"/>
          <w:sz w:val="20"/>
          <w:szCs w:val="20"/>
        </w:rPr>
        <w:t>3）本期实际核销的应收账款情况</w:t>
      </w:r>
      <w:bookmarkEnd w:id="1279"/>
      <w:bookmarkEnd w:id="1280"/>
      <w:bookmarkEnd w:id="1282"/>
    </w:p>
    <w:p>
      <w:pPr>
        <w:pStyle w:val="Style41"/>
        <w:keepNext w:val="0"/>
        <w:keepLines w:val="0"/>
        <w:widowControl w:val="0"/>
        <w:shd w:val="clear" w:color="auto" w:fill="auto"/>
        <w:bidi w:val="0"/>
        <w:spacing w:before="0" w:after="480" w:line="240" w:lineRule="auto"/>
        <w:ind w:left="0" w:right="0"/>
        <w:jc w:val="left"/>
      </w:pPr>
      <w:r>
        <w:rPr>
          <w:color w:val="000000"/>
          <w:spacing w:val="0"/>
          <w:w w:val="100"/>
          <w:position w:val="0"/>
        </w:rPr>
        <w:t>无。</w:t>
      </w:r>
    </w:p>
    <w:p>
      <w:pPr>
        <w:pStyle w:val="Style58"/>
        <w:keepNext/>
        <w:keepLines/>
        <w:widowControl w:val="0"/>
        <w:shd w:val="clear" w:color="auto" w:fill="auto"/>
        <w:bidi w:val="0"/>
        <w:spacing w:before="0" w:after="400" w:line="240" w:lineRule="auto"/>
        <w:ind w:left="0" w:right="0" w:firstLine="140"/>
        <w:jc w:val="left"/>
        <w:rPr>
          <w:sz w:val="20"/>
          <w:szCs w:val="20"/>
        </w:rPr>
      </w:pPr>
      <w:bookmarkStart w:id="1283" w:name="bookmark1283"/>
      <w:bookmarkStart w:id="1284" w:name="bookmark1284"/>
      <w:bookmarkStart w:id="1285" w:name="bookmark1285"/>
      <w:bookmarkStart w:id="1286" w:name="bookmark1286"/>
      <w:r>
        <w:rPr>
          <w:b/>
          <w:bCs/>
          <w:color w:val="000000"/>
          <w:spacing w:val="0"/>
          <w:w w:val="100"/>
          <w:position w:val="0"/>
          <w:sz w:val="20"/>
          <w:szCs w:val="20"/>
        </w:rPr>
        <w:t>（</w:t>
      </w:r>
      <w:bookmarkEnd w:id="1285"/>
      <w:r>
        <w:rPr>
          <w:b/>
          <w:bCs/>
          <w:color w:val="000000"/>
          <w:spacing w:val="0"/>
          <w:w w:val="100"/>
          <w:position w:val="0"/>
          <w:sz w:val="20"/>
          <w:szCs w:val="20"/>
        </w:rPr>
        <w:t>4）按欠款方归集的期末余额前五名的应收账款情况</w:t>
      </w:r>
      <w:bookmarkEnd w:id="1283"/>
      <w:bookmarkEnd w:id="1284"/>
      <w:bookmarkEnd w:id="1286"/>
    </w:p>
    <w:p>
      <w:pPr>
        <w:pStyle w:val="Style41"/>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center"/>
        <w:tblLayout w:type="fixed"/>
      </w:tblPr>
      <w:tblGrid>
        <w:gridCol w:w="1987"/>
        <w:gridCol w:w="2270"/>
        <w:gridCol w:w="2784"/>
        <w:gridCol w:w="2539"/>
      </w:tblGrid>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620"/>
              <w:jc w:val="left"/>
            </w:pPr>
            <w:r>
              <w:rPr>
                <w:color w:val="000000"/>
                <w:spacing w:val="0"/>
                <w:w w:val="100"/>
                <w:position w:val="0"/>
              </w:rPr>
              <w:t>单位名称</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400"/>
              <w:jc w:val="left"/>
            </w:pPr>
            <w:r>
              <w:rPr>
                <w:color w:val="000000"/>
                <w:spacing w:val="0"/>
                <w:w w:val="100"/>
                <w:position w:val="0"/>
              </w:rPr>
              <w:t>应收账款期末余额</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占应收账款期末余额合计数的比例</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540"/>
              <w:jc w:val="left"/>
            </w:pPr>
            <w:r>
              <w:rPr>
                <w:color w:val="000000"/>
                <w:spacing w:val="0"/>
                <w:w w:val="100"/>
                <w:position w:val="0"/>
              </w:rPr>
              <w:t>坏账准备期末余额</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7"/>
                <w:szCs w:val="17"/>
              </w:rPr>
              <w:t>客户</w:t>
            </w:r>
            <w:r>
              <w:rPr>
                <w:rFonts w:ascii="Times New Roman" w:eastAsia="Times New Roman" w:hAnsi="Times New Roman" w:cs="Times New Roman"/>
                <w:color w:val="000000"/>
                <w:spacing w:val="0"/>
                <w:w w:val="100"/>
                <w:position w:val="0"/>
                <w:sz w:val="18"/>
                <w:szCs w:val="18"/>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20" w:right="0" w:firstLine="0"/>
              <w:jc w:val="left"/>
              <w:rPr>
                <w:sz w:val="18"/>
                <w:szCs w:val="18"/>
              </w:rPr>
            </w:pPr>
            <w:r>
              <w:rPr>
                <w:rFonts w:ascii="Times New Roman" w:eastAsia="Times New Roman" w:hAnsi="Times New Roman" w:cs="Times New Roman"/>
                <w:color w:val="000000"/>
                <w:spacing w:val="0"/>
                <w:w w:val="100"/>
                <w:position w:val="0"/>
                <w:sz w:val="18"/>
                <w:szCs w:val="18"/>
              </w:rPr>
              <w:t>281,161,808.89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rPr>
                <w:sz w:val="18"/>
                <w:szCs w:val="18"/>
              </w:rPr>
            </w:pPr>
            <w:r>
              <w:rPr>
                <w:rFonts w:ascii="Times New Roman" w:eastAsia="Times New Roman" w:hAnsi="Times New Roman" w:cs="Times New Roman"/>
                <w:color w:val="000000"/>
                <w:spacing w:val="0"/>
                <w:w w:val="100"/>
                <w:position w:val="0"/>
                <w:sz w:val="18"/>
                <w:szCs w:val="18"/>
              </w:rPr>
              <w:t>31.31%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86,467,517.00</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7"/>
                <w:szCs w:val="17"/>
              </w:rPr>
              <w:t>客户</w:t>
            </w:r>
            <w:r>
              <w:rPr>
                <w:rFonts w:ascii="Times New Roman" w:eastAsia="Times New Roman" w:hAnsi="Times New Roman" w:cs="Times New Roman"/>
                <w:color w:val="000000"/>
                <w:spacing w:val="0"/>
                <w:w w:val="100"/>
                <w:position w:val="0"/>
                <w:sz w:val="18"/>
                <w:szCs w:val="18"/>
              </w:rPr>
              <w:t>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00" w:right="0" w:firstLine="0"/>
              <w:jc w:val="left"/>
              <w:rPr>
                <w:sz w:val="18"/>
                <w:szCs w:val="18"/>
              </w:rPr>
            </w:pPr>
            <w:r>
              <w:rPr>
                <w:rFonts w:ascii="Times New Roman" w:eastAsia="Times New Roman" w:hAnsi="Times New Roman" w:cs="Times New Roman"/>
                <w:color w:val="000000"/>
                <w:spacing w:val="0"/>
                <w:w w:val="100"/>
                <w:position w:val="0"/>
                <w:sz w:val="18"/>
                <w:szCs w:val="18"/>
              </w:rPr>
              <w:t>98,148,481.24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rPr>
                <w:sz w:val="18"/>
                <w:szCs w:val="18"/>
              </w:rPr>
            </w:pPr>
            <w:r>
              <w:rPr>
                <w:rFonts w:ascii="Times New Roman" w:eastAsia="Times New Roman" w:hAnsi="Times New Roman" w:cs="Times New Roman"/>
                <w:color w:val="000000"/>
                <w:spacing w:val="0"/>
                <w:w w:val="100"/>
                <w:position w:val="0"/>
                <w:sz w:val="18"/>
                <w:szCs w:val="18"/>
              </w:rPr>
              <w:t>10.93%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560" w:right="0" w:firstLine="0"/>
              <w:jc w:val="both"/>
              <w:rPr>
                <w:sz w:val="18"/>
                <w:szCs w:val="18"/>
              </w:rPr>
            </w:pPr>
            <w:r>
              <w:rPr>
                <w:rFonts w:ascii="Times New Roman" w:eastAsia="Times New Roman" w:hAnsi="Times New Roman" w:cs="Times New Roman"/>
                <w:color w:val="000000"/>
                <w:spacing w:val="0"/>
                <w:w w:val="100"/>
                <w:position w:val="0"/>
                <w:sz w:val="18"/>
                <w:szCs w:val="18"/>
              </w:rPr>
              <w:t>4,907,424.06</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7"/>
                <w:szCs w:val="17"/>
              </w:rPr>
              <w:t>客户</w:t>
            </w:r>
            <w:r>
              <w:rPr>
                <w:rFonts w:ascii="Times New Roman" w:eastAsia="Times New Roman" w:hAnsi="Times New Roman" w:cs="Times New Roman"/>
                <w:color w:val="000000"/>
                <w:spacing w:val="0"/>
                <w:w w:val="100"/>
                <w:position w:val="0"/>
                <w:sz w:val="18"/>
                <w:szCs w:val="18"/>
              </w:rPr>
              <w:t>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00" w:right="0" w:firstLine="0"/>
              <w:jc w:val="left"/>
              <w:rPr>
                <w:sz w:val="18"/>
                <w:szCs w:val="18"/>
              </w:rPr>
            </w:pPr>
            <w:r>
              <w:rPr>
                <w:rFonts w:ascii="Times New Roman" w:eastAsia="Times New Roman" w:hAnsi="Times New Roman" w:cs="Times New Roman"/>
                <w:color w:val="000000"/>
                <w:spacing w:val="0"/>
                <w:w w:val="100"/>
                <w:position w:val="0"/>
                <w:sz w:val="18"/>
                <w:szCs w:val="18"/>
              </w:rPr>
              <w:t>77,184,431.05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80" w:right="0" w:firstLine="0"/>
              <w:jc w:val="both"/>
              <w:rPr>
                <w:sz w:val="18"/>
                <w:szCs w:val="18"/>
              </w:rPr>
            </w:pPr>
            <w:r>
              <w:rPr>
                <w:rFonts w:ascii="Times New Roman" w:eastAsia="Times New Roman" w:hAnsi="Times New Roman" w:cs="Times New Roman"/>
                <w:color w:val="000000"/>
                <w:spacing w:val="0"/>
                <w:w w:val="100"/>
                <w:position w:val="0"/>
                <w:sz w:val="18"/>
                <w:szCs w:val="18"/>
              </w:rPr>
              <w:t>8.60%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560" w:right="0" w:firstLine="0"/>
              <w:jc w:val="both"/>
              <w:rPr>
                <w:sz w:val="18"/>
                <w:szCs w:val="18"/>
              </w:rPr>
            </w:pPr>
            <w:r>
              <w:rPr>
                <w:rFonts w:ascii="Times New Roman" w:eastAsia="Times New Roman" w:hAnsi="Times New Roman" w:cs="Times New Roman"/>
                <w:color w:val="000000"/>
                <w:spacing w:val="0"/>
                <w:w w:val="100"/>
                <w:position w:val="0"/>
                <w:sz w:val="18"/>
                <w:szCs w:val="18"/>
              </w:rPr>
              <w:t>3,859,221.55</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7"/>
                <w:szCs w:val="17"/>
              </w:rPr>
              <w:t>客户</w:t>
            </w:r>
            <w:r>
              <w:rPr>
                <w:rFonts w:ascii="Times New Roman" w:eastAsia="Times New Roman" w:hAnsi="Times New Roman" w:cs="Times New Roman"/>
                <w:color w:val="000000"/>
                <w:spacing w:val="0"/>
                <w:w w:val="100"/>
                <w:position w:val="0"/>
                <w:sz w:val="18"/>
                <w:szCs w:val="18"/>
              </w:rPr>
              <w:t>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00" w:right="0" w:firstLine="0"/>
              <w:jc w:val="left"/>
              <w:rPr>
                <w:sz w:val="18"/>
                <w:szCs w:val="18"/>
              </w:rPr>
            </w:pPr>
            <w:r>
              <w:rPr>
                <w:rFonts w:ascii="Times New Roman" w:eastAsia="Times New Roman" w:hAnsi="Times New Roman" w:cs="Times New Roman"/>
                <w:color w:val="000000"/>
                <w:spacing w:val="0"/>
                <w:w w:val="100"/>
                <w:position w:val="0"/>
                <w:sz w:val="18"/>
                <w:szCs w:val="18"/>
              </w:rPr>
              <w:t>43,310,622.51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80" w:right="0" w:firstLine="0"/>
              <w:jc w:val="both"/>
              <w:rPr>
                <w:sz w:val="18"/>
                <w:szCs w:val="18"/>
              </w:rPr>
            </w:pPr>
            <w:r>
              <w:rPr>
                <w:rFonts w:ascii="Times New Roman" w:eastAsia="Times New Roman" w:hAnsi="Times New Roman" w:cs="Times New Roman"/>
                <w:color w:val="000000"/>
                <w:spacing w:val="0"/>
                <w:w w:val="100"/>
                <w:position w:val="0"/>
                <w:sz w:val="18"/>
                <w:szCs w:val="18"/>
              </w:rPr>
              <w:t>4.82%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560" w:right="0" w:firstLine="0"/>
              <w:jc w:val="both"/>
              <w:rPr>
                <w:sz w:val="18"/>
                <w:szCs w:val="18"/>
              </w:rPr>
            </w:pPr>
            <w:r>
              <w:rPr>
                <w:rFonts w:ascii="Times New Roman" w:eastAsia="Times New Roman" w:hAnsi="Times New Roman" w:cs="Times New Roman"/>
                <w:color w:val="000000"/>
                <w:spacing w:val="0"/>
                <w:w w:val="100"/>
                <w:position w:val="0"/>
                <w:sz w:val="18"/>
                <w:szCs w:val="18"/>
              </w:rPr>
              <w:t>2,165,531.13</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7"/>
                <w:szCs w:val="17"/>
              </w:rPr>
              <w:t>客户</w:t>
            </w:r>
            <w:r>
              <w:rPr>
                <w:rFonts w:ascii="Times New Roman" w:eastAsia="Times New Roman" w:hAnsi="Times New Roman" w:cs="Times New Roman"/>
                <w:color w:val="000000"/>
                <w:spacing w:val="0"/>
                <w:w w:val="100"/>
                <w:position w:val="0"/>
                <w:sz w:val="18"/>
                <w:szCs w:val="18"/>
              </w:rPr>
              <w:t>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00" w:right="0" w:firstLine="0"/>
              <w:jc w:val="left"/>
              <w:rPr>
                <w:sz w:val="18"/>
                <w:szCs w:val="18"/>
              </w:rPr>
            </w:pPr>
            <w:r>
              <w:rPr>
                <w:rFonts w:ascii="Times New Roman" w:eastAsia="Times New Roman" w:hAnsi="Times New Roman" w:cs="Times New Roman"/>
                <w:color w:val="000000"/>
                <w:spacing w:val="0"/>
                <w:w w:val="100"/>
                <w:position w:val="0"/>
                <w:sz w:val="18"/>
                <w:szCs w:val="18"/>
              </w:rPr>
              <w:t>33,855,046.97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80" w:right="0" w:firstLine="0"/>
              <w:jc w:val="both"/>
              <w:rPr>
                <w:sz w:val="18"/>
                <w:szCs w:val="18"/>
              </w:rPr>
            </w:pPr>
            <w:r>
              <w:rPr>
                <w:rFonts w:ascii="Times New Roman" w:eastAsia="Times New Roman" w:hAnsi="Times New Roman" w:cs="Times New Roman"/>
                <w:color w:val="000000"/>
                <w:spacing w:val="0"/>
                <w:w w:val="100"/>
                <w:position w:val="0"/>
                <w:sz w:val="18"/>
                <w:szCs w:val="18"/>
              </w:rPr>
              <w:t>3.77%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560" w:right="0" w:firstLine="0"/>
              <w:jc w:val="both"/>
              <w:rPr>
                <w:sz w:val="18"/>
                <w:szCs w:val="18"/>
              </w:rPr>
            </w:pPr>
            <w:r>
              <w:rPr>
                <w:rFonts w:ascii="Times New Roman" w:eastAsia="Times New Roman" w:hAnsi="Times New Roman" w:cs="Times New Roman"/>
                <w:color w:val="000000"/>
                <w:spacing w:val="0"/>
                <w:w w:val="100"/>
                <w:position w:val="0"/>
                <w:sz w:val="18"/>
                <w:szCs w:val="18"/>
              </w:rPr>
              <w:t>7,101,544.71</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20" w:right="0" w:firstLine="0"/>
              <w:jc w:val="left"/>
              <w:rPr>
                <w:sz w:val="18"/>
                <w:szCs w:val="18"/>
              </w:rPr>
            </w:pPr>
            <w:r>
              <w:rPr>
                <w:rFonts w:ascii="Times New Roman" w:eastAsia="Times New Roman" w:hAnsi="Times New Roman" w:cs="Times New Roman"/>
                <w:color w:val="000000"/>
                <w:spacing w:val="0"/>
                <w:w w:val="100"/>
                <w:position w:val="0"/>
                <w:sz w:val="18"/>
                <w:szCs w:val="18"/>
              </w:rPr>
              <w:t>533,660,390.66</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rPr>
                <w:sz w:val="18"/>
                <w:szCs w:val="18"/>
              </w:rPr>
            </w:pPr>
            <w:r>
              <w:rPr>
                <w:rFonts w:ascii="Times New Roman" w:eastAsia="Times New Roman" w:hAnsi="Times New Roman" w:cs="Times New Roman"/>
                <w:color w:val="000000"/>
                <w:spacing w:val="0"/>
                <w:w w:val="100"/>
                <w:position w:val="0"/>
                <w:sz w:val="18"/>
                <w:szCs w:val="18"/>
              </w:rPr>
              <w:t>59.43%</w:t>
            </w:r>
          </w:p>
        </w:tc>
        <w:tc>
          <w:tcPr>
            <w:tcBorders>
              <w:top w:val="single" w:sz="4"/>
              <w:left w:val="single" w:sz="4"/>
              <w:bottom w:val="single" w:sz="4"/>
              <w:right w:val="single" w:sz="4"/>
            </w:tcBorders>
            <w:shd w:val="clear" w:color="auto" w:fill="D7D7D7"/>
            <w:vAlign w:val="top"/>
          </w:tcPr>
          <w:p>
            <w:pPr>
              <w:widowControl w:val="0"/>
              <w:rPr>
                <w:sz w:val="10"/>
                <w:szCs w:val="10"/>
              </w:rPr>
            </w:pPr>
          </w:p>
        </w:tc>
      </w:tr>
    </w:tbl>
    <w:p>
      <w:pPr>
        <w:pStyle w:val="Style58"/>
        <w:keepNext/>
        <w:keepLines/>
        <w:widowControl w:val="0"/>
        <w:shd w:val="clear" w:color="auto" w:fill="auto"/>
        <w:tabs>
          <w:tab w:pos="493" w:val="left"/>
        </w:tabs>
        <w:bidi w:val="0"/>
        <w:spacing w:before="0" w:after="480" w:line="240" w:lineRule="auto"/>
        <w:ind w:left="0" w:right="0" w:firstLine="0"/>
        <w:jc w:val="left"/>
        <w:rPr>
          <w:sz w:val="20"/>
          <w:szCs w:val="20"/>
        </w:rPr>
      </w:pPr>
      <w:bookmarkStart w:id="1287" w:name="bookmark1287"/>
      <w:bookmarkStart w:id="1288" w:name="bookmark1288"/>
      <w:bookmarkStart w:id="1289" w:name="bookmark1289"/>
      <w:bookmarkStart w:id="1290" w:name="bookmark1290"/>
      <w:r>
        <w:rPr>
          <w:b/>
          <w:bCs/>
          <w:color w:val="000000"/>
          <w:spacing w:val="0"/>
          <w:w w:val="100"/>
          <w:position w:val="0"/>
          <w:sz w:val="20"/>
          <w:szCs w:val="20"/>
        </w:rPr>
        <w:t>（</w:t>
      </w:r>
      <w:bookmarkEnd w:id="1289"/>
      <w:r>
        <w:rPr>
          <w:b/>
          <w:bCs/>
          <w:color w:val="000000"/>
          <w:spacing w:val="0"/>
          <w:w w:val="100"/>
          <w:position w:val="0"/>
          <w:sz w:val="20"/>
          <w:szCs w:val="20"/>
        </w:rPr>
        <w:t>5）</w:t>
        <w:tab/>
        <w:t>因金融资产转移而终止确认的应收账款</w:t>
      </w:r>
      <w:bookmarkEnd w:id="1287"/>
      <w:bookmarkEnd w:id="1288"/>
      <w:bookmarkEnd w:id="1290"/>
    </w:p>
    <w:p>
      <w:pPr>
        <w:pStyle w:val="Style41"/>
        <w:keepNext w:val="0"/>
        <w:keepLines w:val="0"/>
        <w:widowControl w:val="0"/>
        <w:shd w:val="clear" w:color="auto" w:fill="auto"/>
        <w:bidi w:val="0"/>
        <w:spacing w:before="0" w:after="480" w:line="240" w:lineRule="auto"/>
        <w:ind w:left="0" w:right="0"/>
        <w:jc w:val="left"/>
      </w:pPr>
      <w:r>
        <w:rPr>
          <w:color w:val="000000"/>
          <w:spacing w:val="0"/>
          <w:w w:val="100"/>
          <w:position w:val="0"/>
        </w:rPr>
        <w:t>无。</w:t>
      </w:r>
    </w:p>
    <w:p>
      <w:pPr>
        <w:pStyle w:val="Style58"/>
        <w:keepNext/>
        <w:keepLines/>
        <w:widowControl w:val="0"/>
        <w:shd w:val="clear" w:color="auto" w:fill="auto"/>
        <w:tabs>
          <w:tab w:pos="493" w:val="left"/>
        </w:tabs>
        <w:bidi w:val="0"/>
        <w:spacing w:before="0" w:after="480" w:line="240" w:lineRule="auto"/>
        <w:ind w:left="0" w:right="0" w:firstLine="0"/>
        <w:jc w:val="left"/>
        <w:rPr>
          <w:sz w:val="20"/>
          <w:szCs w:val="20"/>
        </w:rPr>
      </w:pPr>
      <w:bookmarkStart w:id="1291" w:name="bookmark1291"/>
      <w:bookmarkStart w:id="1292" w:name="bookmark1292"/>
      <w:bookmarkStart w:id="1293" w:name="bookmark1293"/>
      <w:bookmarkStart w:id="1294" w:name="bookmark1294"/>
      <w:r>
        <w:rPr>
          <w:b/>
          <w:bCs/>
          <w:color w:val="000000"/>
          <w:spacing w:val="0"/>
          <w:w w:val="100"/>
          <w:position w:val="0"/>
          <w:sz w:val="20"/>
          <w:szCs w:val="20"/>
        </w:rPr>
        <w:t>（</w:t>
      </w:r>
      <w:bookmarkEnd w:id="1293"/>
      <w:r>
        <w:rPr>
          <w:b/>
          <w:bCs/>
          <w:color w:val="000000"/>
          <w:spacing w:val="0"/>
          <w:w w:val="100"/>
          <w:position w:val="0"/>
          <w:sz w:val="20"/>
          <w:szCs w:val="20"/>
        </w:rPr>
        <w:t>6）</w:t>
        <w:tab/>
        <w:t>转移应收账款且继续涉入形成的资产、负债金额</w:t>
      </w:r>
      <w:bookmarkEnd w:id="1291"/>
      <w:bookmarkEnd w:id="1292"/>
      <w:bookmarkEnd w:id="1294"/>
    </w:p>
    <w:p>
      <w:pPr>
        <w:pStyle w:val="Style41"/>
        <w:keepNext w:val="0"/>
        <w:keepLines w:val="0"/>
        <w:widowControl w:val="0"/>
        <w:shd w:val="clear" w:color="auto" w:fill="auto"/>
        <w:bidi w:val="0"/>
        <w:spacing w:before="0" w:after="480" w:line="240" w:lineRule="auto"/>
        <w:ind w:left="0" w:right="0"/>
        <w:jc w:val="left"/>
      </w:pPr>
      <w:r>
        <w:rPr>
          <w:color w:val="000000"/>
          <w:spacing w:val="0"/>
          <w:w w:val="100"/>
          <w:position w:val="0"/>
        </w:rPr>
        <w:t>无。</w:t>
      </w:r>
    </w:p>
    <w:p>
      <w:pPr>
        <w:pStyle w:val="Style47"/>
        <w:keepNext/>
        <w:keepLines/>
        <w:widowControl w:val="0"/>
        <w:shd w:val="clear" w:color="auto" w:fill="auto"/>
        <w:bidi w:val="0"/>
        <w:spacing w:before="0" w:after="380" w:line="240" w:lineRule="auto"/>
        <w:ind w:left="0" w:right="0" w:firstLine="0"/>
        <w:jc w:val="left"/>
      </w:pPr>
      <w:bookmarkStart w:id="1295" w:name="bookmark1295"/>
      <w:bookmarkStart w:id="1296" w:name="bookmark1296"/>
      <w:bookmarkStart w:id="1297" w:name="bookmark1297"/>
      <w:bookmarkStart w:id="1298" w:name="bookmark1298"/>
      <w:r>
        <w:rPr>
          <w:color w:val="000000"/>
          <w:spacing w:val="0"/>
          <w:w w:val="100"/>
          <w:position w:val="0"/>
        </w:rPr>
        <w:t>6</w:t>
      </w:r>
      <w:bookmarkEnd w:id="1297"/>
      <w:r>
        <w:rPr>
          <w:color w:val="000000"/>
          <w:spacing w:val="0"/>
          <w:w w:val="100"/>
          <w:position w:val="0"/>
        </w:rPr>
        <w:t>、应收款项融资</w:t>
      </w:r>
      <w:bookmarkEnd w:id="1295"/>
      <w:bookmarkEnd w:id="1296"/>
      <w:bookmarkEnd w:id="1298"/>
    </w:p>
    <w:p>
      <w:pPr>
        <w:pStyle w:val="Style41"/>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3192"/>
        <w:gridCol w:w="3192"/>
        <w:gridCol w:w="3202"/>
      </w:tblGrid>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应收票据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9,157,699.17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14,520,394.13</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9,157,699.17</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14,520,394.13</w:t>
            </w:r>
          </w:p>
        </w:tc>
      </w:tr>
    </w:tbl>
    <w:p>
      <w:pPr>
        <w:widowControl w:val="0"/>
        <w:spacing w:after="79" w:line="1" w:lineRule="exact"/>
      </w:pPr>
    </w:p>
    <w:p>
      <w:pPr>
        <w:pStyle w:val="Style41"/>
        <w:keepNext w:val="0"/>
        <w:keepLines w:val="0"/>
        <w:widowControl w:val="0"/>
        <w:shd w:val="clear" w:color="auto" w:fill="auto"/>
        <w:bidi w:val="0"/>
        <w:spacing w:before="0" w:after="140" w:line="240" w:lineRule="auto"/>
        <w:ind w:left="0" w:right="0" w:firstLine="0"/>
        <w:jc w:val="left"/>
      </w:pPr>
      <w:r>
        <w:rPr>
          <w:color w:val="000000"/>
          <w:spacing w:val="0"/>
          <w:w w:val="100"/>
          <w:position w:val="0"/>
        </w:rPr>
        <w:t>应收款项融资本期增减变动及公允价值变动情况</w:t>
      </w:r>
    </w:p>
    <w:p>
      <w:pPr>
        <w:pStyle w:val="Style41"/>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sz w:val="18"/>
          <w:szCs w:val="18"/>
        </w:rPr>
        <w:t>V</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tbl>
      <w:tblPr>
        <w:tblOverlap w:val="never"/>
        <w:jc w:val="center"/>
        <w:tblLayout w:type="fixed"/>
      </w:tblPr>
      <w:tblGrid>
        <w:gridCol w:w="1142"/>
        <w:gridCol w:w="1291"/>
        <w:gridCol w:w="1363"/>
        <w:gridCol w:w="1363"/>
        <w:gridCol w:w="1229"/>
        <w:gridCol w:w="1277"/>
        <w:gridCol w:w="1958"/>
      </w:tblGrid>
      <w:tr>
        <w:trPr>
          <w:trHeight w:val="662"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项目</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上年年末余额</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本期新增</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本期终止确认</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其他变动</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累计在其他综合收益中 确认的损失准备</w:t>
            </w:r>
          </w:p>
        </w:tc>
      </w:tr>
      <w:tr>
        <w:trPr>
          <w:trHeight w:val="365"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应收票据</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8"/>
                <w:szCs w:val="18"/>
              </w:rPr>
            </w:pPr>
            <w:r>
              <w:rPr>
                <w:rFonts w:ascii="Times New Roman" w:eastAsia="Times New Roman" w:hAnsi="Times New Roman" w:cs="Times New Roman"/>
                <w:color w:val="000000"/>
                <w:spacing w:val="0"/>
                <w:w w:val="100"/>
                <w:position w:val="0"/>
                <w:sz w:val="18"/>
                <w:szCs w:val="18"/>
              </w:rPr>
              <w:t>14,520,394.13</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15,396,749.97</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20,759,444.93</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9,157,699.17</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259" w:line="1" w:lineRule="exact"/>
      </w:pPr>
    </w:p>
    <w:p>
      <w:pPr>
        <w:pStyle w:val="Style41"/>
        <w:keepNext w:val="0"/>
        <w:keepLines w:val="0"/>
        <w:widowControl w:val="0"/>
        <w:shd w:val="clear" w:color="auto" w:fill="auto"/>
        <w:bidi w:val="0"/>
        <w:spacing w:before="0" w:after="380" w:line="341" w:lineRule="exact"/>
        <w:ind w:left="0" w:right="0" w:firstLine="0"/>
        <w:jc w:val="left"/>
      </w:pPr>
      <w:r>
        <w:rPr>
          <w:color w:val="000000"/>
          <w:spacing w:val="0"/>
          <w:w w:val="100"/>
          <w:position w:val="0"/>
        </w:rPr>
        <w:t xml:space="preserve">如是按照预期信用损失一般模型计提应收款项融资减值准备，请参照其他应收款的披露方式披露减值准备的相关信息: </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47"/>
        <w:keepNext/>
        <w:keepLines/>
        <w:widowControl w:val="0"/>
        <w:shd w:val="clear" w:color="auto" w:fill="auto"/>
        <w:bidi w:val="0"/>
        <w:spacing w:before="0" w:after="380" w:line="240" w:lineRule="auto"/>
        <w:ind w:left="0" w:right="0" w:firstLine="0"/>
        <w:jc w:val="left"/>
      </w:pPr>
      <w:bookmarkStart w:id="1299" w:name="bookmark1299"/>
      <w:bookmarkStart w:id="1300" w:name="bookmark1300"/>
      <w:bookmarkStart w:id="1301" w:name="bookmark1301"/>
      <w:bookmarkStart w:id="1302" w:name="bookmark1302"/>
      <w:r>
        <w:rPr>
          <w:color w:val="000000"/>
          <w:spacing w:val="0"/>
          <w:w w:val="100"/>
          <w:position w:val="0"/>
        </w:rPr>
        <w:t>7</w:t>
      </w:r>
      <w:bookmarkEnd w:id="1301"/>
      <w:r>
        <w:rPr>
          <w:color w:val="000000"/>
          <w:spacing w:val="0"/>
          <w:w w:val="100"/>
          <w:position w:val="0"/>
        </w:rPr>
        <w:t>、预付款项</w:t>
      </w:r>
      <w:bookmarkEnd w:id="1299"/>
      <w:bookmarkEnd w:id="1300"/>
      <w:bookmarkEnd w:id="1302"/>
    </w:p>
    <w:p>
      <w:pPr>
        <w:pStyle w:val="Style58"/>
        <w:keepNext/>
        <w:keepLines/>
        <w:widowControl w:val="0"/>
        <w:shd w:val="clear" w:color="auto" w:fill="auto"/>
        <w:bidi w:val="0"/>
        <w:spacing w:before="0" w:after="380" w:line="240" w:lineRule="auto"/>
        <w:ind w:left="0" w:right="0" w:firstLine="0"/>
        <w:jc w:val="left"/>
        <w:rPr>
          <w:sz w:val="20"/>
          <w:szCs w:val="20"/>
        </w:rPr>
      </w:pPr>
      <w:bookmarkStart w:id="1303" w:name="bookmark1303"/>
      <w:bookmarkStart w:id="1304" w:name="bookmark1304"/>
      <w:bookmarkStart w:id="1305" w:name="bookmark1305"/>
      <w:bookmarkStart w:id="1306" w:name="bookmark1306"/>
      <w:r>
        <w:rPr>
          <w:b/>
          <w:bCs/>
          <w:color w:val="000000"/>
          <w:spacing w:val="0"/>
          <w:w w:val="100"/>
          <w:position w:val="0"/>
          <w:sz w:val="20"/>
          <w:szCs w:val="20"/>
        </w:rPr>
        <w:t>（</w:t>
      </w:r>
      <w:bookmarkEnd w:id="1305"/>
      <w:r>
        <w:rPr>
          <w:b/>
          <w:bCs/>
          <w:color w:val="000000"/>
          <w:spacing w:val="0"/>
          <w:w w:val="100"/>
          <w:position w:val="0"/>
          <w:sz w:val="20"/>
          <w:szCs w:val="20"/>
        </w:rPr>
        <w:t>1）预付款项按账龄列示</w:t>
      </w:r>
      <w:bookmarkEnd w:id="1303"/>
      <w:bookmarkEnd w:id="1304"/>
      <w:bookmarkEnd w:id="1306"/>
    </w:p>
    <w:p>
      <w:pPr>
        <w:pStyle w:val="Style41"/>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1915"/>
        <w:gridCol w:w="1915"/>
        <w:gridCol w:w="1915"/>
        <w:gridCol w:w="1915"/>
        <w:gridCol w:w="1925"/>
      </w:tblGrid>
      <w:tr>
        <w:trPr>
          <w:trHeight w:val="403" w:hRule="exact"/>
        </w:trPr>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账龄</w:t>
            </w:r>
          </w:p>
        </w:tc>
        <w:tc>
          <w:tcPr>
            <w:gridSpan w:val="2"/>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gridSpan w:val="2"/>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403" w:hRule="exact"/>
        </w:trPr>
        <w:tc>
          <w:tcPr>
            <w:vMerge/>
            <w:tcBorders>
              <w:left w:val="single" w:sz="4"/>
            </w:tcBorders>
            <w:shd w:val="clear" w:color="auto" w:fill="D7D7D7"/>
            <w:vAlign w:val="center"/>
          </w:tcPr>
          <w:p>
            <w:pP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比例</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比例</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年以内</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left"/>
              <w:rPr>
                <w:sz w:val="18"/>
                <w:szCs w:val="18"/>
              </w:rPr>
            </w:pPr>
            <w:r>
              <w:rPr>
                <w:rFonts w:ascii="Times New Roman" w:eastAsia="Times New Roman" w:hAnsi="Times New Roman" w:cs="Times New Roman"/>
                <w:color w:val="000000"/>
                <w:spacing w:val="0"/>
                <w:w w:val="100"/>
                <w:position w:val="0"/>
                <w:sz w:val="18"/>
                <w:szCs w:val="18"/>
              </w:rPr>
              <w:t>13,788,588.88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89.74%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38,515,012.39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98.18%</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至</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1,235,543.98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20" w:right="0" w:firstLine="0"/>
              <w:jc w:val="left"/>
              <w:rPr>
                <w:sz w:val="18"/>
                <w:szCs w:val="18"/>
              </w:rPr>
            </w:pPr>
            <w:r>
              <w:rPr>
                <w:rFonts w:ascii="Times New Roman" w:eastAsia="Times New Roman" w:hAnsi="Times New Roman" w:cs="Times New Roman"/>
                <w:color w:val="000000"/>
                <w:spacing w:val="0"/>
                <w:w w:val="100"/>
                <w:position w:val="0"/>
                <w:sz w:val="18"/>
                <w:szCs w:val="18"/>
              </w:rPr>
              <w:t>8.04%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442,232.62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1.13%</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至</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60" w:right="0" w:firstLine="0"/>
              <w:jc w:val="both"/>
              <w:rPr>
                <w:sz w:val="18"/>
                <w:szCs w:val="18"/>
              </w:rPr>
            </w:pPr>
            <w:r>
              <w:rPr>
                <w:rFonts w:ascii="Times New Roman" w:eastAsia="Times New Roman" w:hAnsi="Times New Roman" w:cs="Times New Roman"/>
                <w:color w:val="000000"/>
                <w:spacing w:val="0"/>
                <w:w w:val="100"/>
                <w:position w:val="0"/>
                <w:sz w:val="18"/>
                <w:szCs w:val="18"/>
              </w:rPr>
              <w:t>100,021.37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20" w:right="0" w:firstLine="0"/>
              <w:jc w:val="left"/>
              <w:rPr>
                <w:sz w:val="18"/>
                <w:szCs w:val="18"/>
              </w:rPr>
            </w:pPr>
            <w:r>
              <w:rPr>
                <w:rFonts w:ascii="Times New Roman" w:eastAsia="Times New Roman" w:hAnsi="Times New Roman" w:cs="Times New Roman"/>
                <w:color w:val="000000"/>
                <w:spacing w:val="0"/>
                <w:w w:val="100"/>
                <w:position w:val="0"/>
                <w:sz w:val="18"/>
                <w:szCs w:val="18"/>
              </w:rPr>
              <w:t>0.65%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109,065.26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0.28%</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3</w:t>
            </w:r>
            <w:r>
              <w:rPr>
                <w:color w:val="000000"/>
                <w:spacing w:val="0"/>
                <w:w w:val="100"/>
                <w:position w:val="0"/>
              </w:rPr>
              <w:t>年以上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60" w:right="0" w:firstLine="0"/>
              <w:jc w:val="both"/>
              <w:rPr>
                <w:sz w:val="18"/>
                <w:szCs w:val="18"/>
              </w:rPr>
            </w:pPr>
            <w:r>
              <w:rPr>
                <w:rFonts w:ascii="Times New Roman" w:eastAsia="Times New Roman" w:hAnsi="Times New Roman" w:cs="Times New Roman"/>
                <w:color w:val="000000"/>
                <w:spacing w:val="0"/>
                <w:w w:val="100"/>
                <w:position w:val="0"/>
                <w:sz w:val="18"/>
                <w:szCs w:val="18"/>
              </w:rPr>
              <w:t>240,841.01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20" w:right="0" w:firstLine="0"/>
              <w:jc w:val="left"/>
              <w:rPr>
                <w:sz w:val="18"/>
                <w:szCs w:val="18"/>
              </w:rPr>
            </w:pPr>
            <w:r>
              <w:rPr>
                <w:rFonts w:ascii="Times New Roman" w:eastAsia="Times New Roman" w:hAnsi="Times New Roman" w:cs="Times New Roman"/>
                <w:color w:val="000000"/>
                <w:spacing w:val="0"/>
                <w:w w:val="100"/>
                <w:position w:val="0"/>
                <w:sz w:val="18"/>
                <w:szCs w:val="18"/>
              </w:rPr>
              <w:t>1.57%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162,353.75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0.41%</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left"/>
              <w:rPr>
                <w:sz w:val="18"/>
                <w:szCs w:val="18"/>
              </w:rPr>
            </w:pPr>
            <w:r>
              <w:rPr>
                <w:rFonts w:ascii="Times New Roman" w:eastAsia="Times New Roman" w:hAnsi="Times New Roman" w:cs="Times New Roman"/>
                <w:color w:val="000000"/>
                <w:spacing w:val="0"/>
                <w:w w:val="100"/>
                <w:position w:val="0"/>
                <w:sz w:val="18"/>
                <w:szCs w:val="18"/>
              </w:rPr>
              <w:t>15,364,995.24</w:t>
            </w:r>
          </w:p>
        </w:tc>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39,228,664.02</w:t>
            </w:r>
          </w:p>
        </w:tc>
        <w:tc>
          <w:tcPr>
            <w:tcBorders>
              <w:top w:val="single" w:sz="4"/>
              <w:left w:val="single" w:sz="4"/>
              <w:bottom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r>
    </w:tbl>
    <w:p>
      <w:pPr>
        <w:widowControl w:val="0"/>
        <w:spacing w:after="319" w:line="1" w:lineRule="exact"/>
      </w:pPr>
    </w:p>
    <w:p>
      <w:pPr>
        <w:pStyle w:val="Style58"/>
        <w:keepNext/>
        <w:keepLines/>
        <w:widowControl w:val="0"/>
        <w:shd w:val="clear" w:color="auto" w:fill="auto"/>
        <w:bidi w:val="0"/>
        <w:spacing w:before="0" w:after="320" w:line="240" w:lineRule="auto"/>
        <w:ind w:left="0" w:right="0" w:firstLine="140"/>
        <w:jc w:val="left"/>
        <w:rPr>
          <w:sz w:val="20"/>
          <w:szCs w:val="20"/>
        </w:rPr>
      </w:pPr>
      <w:bookmarkStart w:id="1307" w:name="bookmark1307"/>
      <w:bookmarkStart w:id="1308" w:name="bookmark1308"/>
      <w:bookmarkStart w:id="1309" w:name="bookmark1309"/>
      <w:bookmarkStart w:id="1310" w:name="bookmark1310"/>
      <w:r>
        <w:rPr>
          <w:b/>
          <w:bCs/>
          <w:color w:val="000000"/>
          <w:spacing w:val="0"/>
          <w:w w:val="100"/>
          <w:position w:val="0"/>
          <w:sz w:val="20"/>
          <w:szCs w:val="20"/>
        </w:rPr>
        <w:t>（</w:t>
      </w:r>
      <w:bookmarkEnd w:id="1309"/>
      <w:r>
        <w:rPr>
          <w:b/>
          <w:bCs/>
          <w:color w:val="000000"/>
          <w:spacing w:val="0"/>
          <w:w w:val="100"/>
          <w:position w:val="0"/>
          <w:sz w:val="20"/>
          <w:szCs w:val="20"/>
        </w:rPr>
        <w:t>2）按预付对象归集的期末余额前五名的预付款情况</w:t>
      </w:r>
      <w:bookmarkEnd w:id="1307"/>
      <w:bookmarkEnd w:id="1308"/>
      <w:bookmarkEnd w:id="1310"/>
    </w:p>
    <w:tbl>
      <w:tblPr>
        <w:tblOverlap w:val="never"/>
        <w:jc w:val="center"/>
        <w:tblLayout w:type="fixed"/>
      </w:tblPr>
      <w:tblGrid>
        <w:gridCol w:w="2736"/>
        <w:gridCol w:w="2947"/>
        <w:gridCol w:w="3994"/>
      </w:tblGrid>
      <w:tr>
        <w:trPr>
          <w:trHeight w:val="370"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预付对象</w:t>
            </w:r>
          </w:p>
        </w:tc>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bottom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7"/>
                <w:szCs w:val="17"/>
              </w:rPr>
              <w:t>占预付款项期末余额合计数的比例</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w:t>
            </w:r>
          </w:p>
        </w:tc>
      </w:tr>
    </w:tbl>
    <w:p>
      <w:pPr>
        <w:widowControl w:val="0"/>
        <w:spacing w:line="1" w:lineRule="exact"/>
        <w:sectPr>
          <w:headerReference w:type="default" r:id="rId367"/>
          <w:footerReference w:type="default" r:id="rId368"/>
          <w:headerReference w:type="even" r:id="rId369"/>
          <w:footerReference w:type="even" r:id="rId370"/>
          <w:footnotePr>
            <w:pos w:val="pageBottom"/>
            <w:numFmt w:val="decimal"/>
            <w:numRestart w:val="continuous"/>
          </w:footnotePr>
          <w:pgSz w:w="11904" w:h="17375"/>
          <w:pgMar w:top="1676" w:right="1030" w:bottom="1663" w:left="1006" w:header="0" w:footer="3" w:gutter="0"/>
          <w:cols w:space="720"/>
          <w:noEndnote/>
          <w:rtlGutter w:val="0"/>
          <w:docGrid w:linePitch="360"/>
        </w:sectPr>
      </w:pPr>
    </w:p>
    <w:tbl>
      <w:tblPr>
        <w:tblOverlap w:val="never"/>
        <w:jc w:val="center"/>
        <w:tblLayout w:type="fixed"/>
      </w:tblPr>
      <w:tblGrid>
        <w:gridCol w:w="2736"/>
        <w:gridCol w:w="2947"/>
        <w:gridCol w:w="3994"/>
      </w:tblGrid>
      <w:tr>
        <w:trPr>
          <w:trHeight w:val="35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7"/>
                <w:szCs w:val="17"/>
              </w:rPr>
              <w:t>供应商</w:t>
            </w:r>
            <w:r>
              <w:rPr>
                <w:rFonts w:ascii="Times New Roman" w:eastAsia="Times New Roman" w:hAnsi="Times New Roman" w:cs="Times New Roman"/>
                <w:color w:val="000000"/>
                <w:spacing w:val="0"/>
                <w:w w:val="100"/>
                <w:position w:val="0"/>
                <w:sz w:val="18"/>
                <w:szCs w:val="18"/>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80" w:right="0" w:firstLine="0"/>
              <w:jc w:val="left"/>
              <w:rPr>
                <w:sz w:val="18"/>
                <w:szCs w:val="18"/>
              </w:rPr>
            </w:pPr>
            <w:r>
              <w:rPr>
                <w:rFonts w:ascii="Times New Roman" w:eastAsia="Times New Roman" w:hAnsi="Times New Roman" w:cs="Times New Roman"/>
                <w:color w:val="000000"/>
                <w:spacing w:val="0"/>
                <w:w w:val="100"/>
                <w:position w:val="0"/>
                <w:sz w:val="18"/>
                <w:szCs w:val="18"/>
              </w:rPr>
              <w:t>2,997,882.00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560" w:right="0" w:firstLine="0"/>
              <w:jc w:val="left"/>
              <w:rPr>
                <w:sz w:val="18"/>
                <w:szCs w:val="18"/>
              </w:rPr>
            </w:pPr>
            <w:r>
              <w:rPr>
                <w:rFonts w:ascii="Times New Roman" w:eastAsia="Times New Roman" w:hAnsi="Times New Roman" w:cs="Times New Roman"/>
                <w:color w:val="000000"/>
                <w:spacing w:val="0"/>
                <w:w w:val="100"/>
                <w:position w:val="0"/>
                <w:sz w:val="18"/>
                <w:szCs w:val="18"/>
              </w:rPr>
              <w:t>19.51</w:t>
            </w:r>
          </w:p>
        </w:tc>
      </w:tr>
      <w:tr>
        <w:trPr>
          <w:trHeight w:val="35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7"/>
                <w:szCs w:val="17"/>
              </w:rPr>
              <w:t>供应商</w:t>
            </w:r>
            <w:r>
              <w:rPr>
                <w:rFonts w:ascii="Times New Roman" w:eastAsia="Times New Roman" w:hAnsi="Times New Roman" w:cs="Times New Roman"/>
                <w:color w:val="000000"/>
                <w:spacing w:val="0"/>
                <w:w w:val="100"/>
                <w:position w:val="0"/>
                <w:sz w:val="18"/>
                <w:szCs w:val="18"/>
              </w:rPr>
              <w:t>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80" w:right="0" w:firstLine="0"/>
              <w:jc w:val="left"/>
              <w:rPr>
                <w:sz w:val="18"/>
                <w:szCs w:val="18"/>
              </w:rPr>
            </w:pPr>
            <w:r>
              <w:rPr>
                <w:rFonts w:ascii="Times New Roman" w:eastAsia="Times New Roman" w:hAnsi="Times New Roman" w:cs="Times New Roman"/>
                <w:color w:val="000000"/>
                <w:spacing w:val="0"/>
                <w:w w:val="100"/>
                <w:position w:val="0"/>
                <w:sz w:val="18"/>
                <w:szCs w:val="18"/>
              </w:rPr>
              <w:t>2,373,275.86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560" w:right="0" w:firstLine="0"/>
              <w:jc w:val="left"/>
              <w:rPr>
                <w:sz w:val="18"/>
                <w:szCs w:val="18"/>
              </w:rPr>
            </w:pPr>
            <w:r>
              <w:rPr>
                <w:rFonts w:ascii="Times New Roman" w:eastAsia="Times New Roman" w:hAnsi="Times New Roman" w:cs="Times New Roman"/>
                <w:color w:val="000000"/>
                <w:spacing w:val="0"/>
                <w:w w:val="100"/>
                <w:position w:val="0"/>
                <w:sz w:val="18"/>
                <w:szCs w:val="18"/>
              </w:rPr>
              <w:t>15.45</w:t>
            </w:r>
          </w:p>
        </w:tc>
      </w:tr>
      <w:tr>
        <w:trPr>
          <w:trHeight w:val="3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7"/>
                <w:szCs w:val="17"/>
              </w:rPr>
              <w:t>供应商</w:t>
            </w:r>
            <w:r>
              <w:rPr>
                <w:rFonts w:ascii="Times New Roman" w:eastAsia="Times New Roman" w:hAnsi="Times New Roman" w:cs="Times New Roman"/>
                <w:color w:val="000000"/>
                <w:spacing w:val="0"/>
                <w:w w:val="100"/>
                <w:position w:val="0"/>
                <w:sz w:val="18"/>
                <w:szCs w:val="18"/>
              </w:rPr>
              <w:t>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left"/>
              <w:rPr>
                <w:sz w:val="18"/>
                <w:szCs w:val="18"/>
              </w:rPr>
            </w:pPr>
            <w:r>
              <w:rPr>
                <w:rFonts w:ascii="Times New Roman" w:eastAsia="Times New Roman" w:hAnsi="Times New Roman" w:cs="Times New Roman"/>
                <w:color w:val="000000"/>
                <w:spacing w:val="0"/>
                <w:w w:val="100"/>
                <w:position w:val="0"/>
                <w:sz w:val="18"/>
                <w:szCs w:val="18"/>
              </w:rPr>
              <w:t>966,169.00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660" w:right="0" w:firstLine="0"/>
              <w:jc w:val="left"/>
              <w:rPr>
                <w:sz w:val="18"/>
                <w:szCs w:val="18"/>
              </w:rPr>
            </w:pPr>
            <w:r>
              <w:rPr>
                <w:rFonts w:ascii="Times New Roman" w:eastAsia="Times New Roman" w:hAnsi="Times New Roman" w:cs="Times New Roman"/>
                <w:color w:val="000000"/>
                <w:spacing w:val="0"/>
                <w:w w:val="100"/>
                <w:position w:val="0"/>
                <w:sz w:val="18"/>
                <w:szCs w:val="18"/>
              </w:rPr>
              <w:t>6.29</w:t>
            </w:r>
          </w:p>
        </w:tc>
      </w:tr>
      <w:tr>
        <w:trPr>
          <w:trHeight w:val="3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7"/>
                <w:szCs w:val="17"/>
              </w:rPr>
              <w:t>供应商</w:t>
            </w:r>
            <w:r>
              <w:rPr>
                <w:rFonts w:ascii="Times New Roman" w:eastAsia="Times New Roman" w:hAnsi="Times New Roman" w:cs="Times New Roman"/>
                <w:color w:val="000000"/>
                <w:spacing w:val="0"/>
                <w:w w:val="100"/>
                <w:position w:val="0"/>
                <w:sz w:val="18"/>
                <w:szCs w:val="18"/>
              </w:rPr>
              <w:t>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left"/>
              <w:rPr>
                <w:sz w:val="18"/>
                <w:szCs w:val="18"/>
              </w:rPr>
            </w:pPr>
            <w:r>
              <w:rPr>
                <w:rFonts w:ascii="Times New Roman" w:eastAsia="Times New Roman" w:hAnsi="Times New Roman" w:cs="Times New Roman"/>
                <w:color w:val="000000"/>
                <w:spacing w:val="0"/>
                <w:w w:val="100"/>
                <w:position w:val="0"/>
                <w:sz w:val="18"/>
                <w:szCs w:val="18"/>
              </w:rPr>
              <w:t>685,376.63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660" w:right="0" w:firstLine="0"/>
              <w:jc w:val="left"/>
              <w:rPr>
                <w:sz w:val="18"/>
                <w:szCs w:val="18"/>
              </w:rPr>
            </w:pPr>
            <w:r>
              <w:rPr>
                <w:rFonts w:ascii="Times New Roman" w:eastAsia="Times New Roman" w:hAnsi="Times New Roman" w:cs="Times New Roman"/>
                <w:color w:val="000000"/>
                <w:spacing w:val="0"/>
                <w:w w:val="100"/>
                <w:position w:val="0"/>
                <w:sz w:val="18"/>
                <w:szCs w:val="18"/>
              </w:rPr>
              <w:t>4.46</w:t>
            </w:r>
          </w:p>
        </w:tc>
      </w:tr>
      <w:tr>
        <w:trPr>
          <w:trHeight w:val="3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7"/>
                <w:szCs w:val="17"/>
              </w:rPr>
              <w:t>供应商</w:t>
            </w:r>
            <w:r>
              <w:rPr>
                <w:rFonts w:ascii="Times New Roman" w:eastAsia="Times New Roman" w:hAnsi="Times New Roman" w:cs="Times New Roman"/>
                <w:color w:val="000000"/>
                <w:spacing w:val="0"/>
                <w:w w:val="100"/>
                <w:position w:val="0"/>
                <w:sz w:val="18"/>
                <w:szCs w:val="18"/>
              </w:rPr>
              <w:t>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left"/>
              <w:rPr>
                <w:sz w:val="18"/>
                <w:szCs w:val="18"/>
              </w:rPr>
            </w:pPr>
            <w:r>
              <w:rPr>
                <w:rFonts w:ascii="Times New Roman" w:eastAsia="Times New Roman" w:hAnsi="Times New Roman" w:cs="Times New Roman"/>
                <w:color w:val="000000"/>
                <w:spacing w:val="0"/>
                <w:w w:val="100"/>
                <w:position w:val="0"/>
                <w:sz w:val="18"/>
                <w:szCs w:val="18"/>
              </w:rPr>
              <w:t>472,144.11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660" w:right="0" w:firstLine="0"/>
              <w:jc w:val="left"/>
              <w:rPr>
                <w:sz w:val="18"/>
                <w:szCs w:val="18"/>
              </w:rPr>
            </w:pPr>
            <w:r>
              <w:rPr>
                <w:rFonts w:ascii="Times New Roman" w:eastAsia="Times New Roman" w:hAnsi="Times New Roman" w:cs="Times New Roman"/>
                <w:color w:val="000000"/>
                <w:spacing w:val="0"/>
                <w:w w:val="100"/>
                <w:position w:val="0"/>
                <w:sz w:val="18"/>
                <w:szCs w:val="18"/>
              </w:rPr>
              <w:t>3.07</w:t>
            </w:r>
          </w:p>
        </w:tc>
      </w:tr>
      <w:tr>
        <w:trPr>
          <w:trHeight w:val="360"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80" w:right="0" w:firstLine="0"/>
              <w:jc w:val="left"/>
              <w:rPr>
                <w:sz w:val="18"/>
                <w:szCs w:val="18"/>
              </w:rPr>
            </w:pPr>
            <w:r>
              <w:rPr>
                <w:rFonts w:ascii="Times New Roman" w:eastAsia="Times New Roman" w:hAnsi="Times New Roman" w:cs="Times New Roman"/>
                <w:color w:val="000000"/>
                <w:spacing w:val="0"/>
                <w:w w:val="100"/>
                <w:position w:val="0"/>
                <w:sz w:val="18"/>
                <w:szCs w:val="18"/>
              </w:rPr>
              <w:t>7,494,847.60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560" w:right="0" w:firstLine="0"/>
              <w:jc w:val="left"/>
              <w:rPr>
                <w:sz w:val="18"/>
                <w:szCs w:val="18"/>
              </w:rPr>
            </w:pPr>
            <w:r>
              <w:rPr>
                <w:rFonts w:ascii="Times New Roman" w:eastAsia="Times New Roman" w:hAnsi="Times New Roman" w:cs="Times New Roman"/>
                <w:color w:val="000000"/>
                <w:spacing w:val="0"/>
                <w:w w:val="100"/>
                <w:position w:val="0"/>
                <w:sz w:val="18"/>
                <w:szCs w:val="18"/>
              </w:rPr>
              <w:t>48.78</w:t>
            </w:r>
          </w:p>
        </w:tc>
      </w:tr>
    </w:tbl>
    <w:p>
      <w:pPr>
        <w:widowControl w:val="0"/>
        <w:spacing w:after="679" w:line="1" w:lineRule="exact"/>
      </w:pPr>
    </w:p>
    <w:p>
      <w:pPr>
        <w:pStyle w:val="Style47"/>
        <w:keepNext/>
        <w:keepLines/>
        <w:widowControl w:val="0"/>
        <w:shd w:val="clear" w:color="auto" w:fill="auto"/>
        <w:bidi w:val="0"/>
        <w:spacing w:before="0" w:after="400" w:line="240" w:lineRule="auto"/>
        <w:ind w:left="0" w:right="0" w:firstLine="0"/>
        <w:jc w:val="left"/>
      </w:pPr>
      <w:bookmarkStart w:id="1311" w:name="bookmark1311"/>
      <w:bookmarkStart w:id="1312" w:name="bookmark1312"/>
      <w:bookmarkStart w:id="1313" w:name="bookmark1313"/>
      <w:bookmarkStart w:id="1314" w:name="bookmark1314"/>
      <w:r>
        <w:rPr>
          <w:color w:val="000000"/>
          <w:spacing w:val="0"/>
          <w:w w:val="100"/>
          <w:position w:val="0"/>
        </w:rPr>
        <w:t>8</w:t>
      </w:r>
      <w:bookmarkEnd w:id="1313"/>
      <w:r>
        <w:rPr>
          <w:color w:val="000000"/>
          <w:spacing w:val="0"/>
          <w:w w:val="100"/>
          <w:position w:val="0"/>
        </w:rPr>
        <w:t>、其他应收款</w:t>
      </w:r>
      <w:bookmarkEnd w:id="1311"/>
      <w:bookmarkEnd w:id="1312"/>
      <w:bookmarkEnd w:id="1314"/>
    </w:p>
    <w:p>
      <w:pPr>
        <w:pStyle w:val="Style41"/>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3192"/>
        <w:gridCol w:w="3192"/>
        <w:gridCol w:w="3202"/>
      </w:tblGrid>
      <w:tr>
        <w:trPr>
          <w:trHeight w:val="40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应收利息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应收股利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其他应收款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20,302,809.45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60,212,377.79</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20,302,809.45</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60,212,377.79</w:t>
            </w:r>
          </w:p>
        </w:tc>
      </w:tr>
    </w:tbl>
    <w:p>
      <w:pPr>
        <w:widowControl w:val="0"/>
        <w:spacing w:after="319" w:line="1" w:lineRule="exact"/>
      </w:pPr>
    </w:p>
    <w:p>
      <w:pPr>
        <w:pStyle w:val="Style58"/>
        <w:keepNext/>
        <w:keepLines/>
        <w:widowControl w:val="0"/>
        <w:shd w:val="clear" w:color="auto" w:fill="auto"/>
        <w:bidi w:val="0"/>
        <w:spacing w:before="0" w:after="400" w:line="240" w:lineRule="auto"/>
        <w:ind w:left="0" w:right="0" w:firstLine="220"/>
        <w:jc w:val="left"/>
        <w:rPr>
          <w:sz w:val="20"/>
          <w:szCs w:val="20"/>
        </w:rPr>
      </w:pPr>
      <w:bookmarkStart w:id="1315" w:name="bookmark1315"/>
      <w:bookmarkStart w:id="1316" w:name="bookmark1316"/>
      <w:bookmarkStart w:id="1317" w:name="bookmark1317"/>
      <w:bookmarkStart w:id="1318" w:name="bookmark1318"/>
      <w:r>
        <w:rPr>
          <w:b/>
          <w:bCs/>
          <w:color w:val="000000"/>
          <w:spacing w:val="0"/>
          <w:w w:val="100"/>
          <w:position w:val="0"/>
          <w:sz w:val="20"/>
          <w:szCs w:val="20"/>
        </w:rPr>
        <w:t>（</w:t>
      </w:r>
      <w:bookmarkEnd w:id="1317"/>
      <w:r>
        <w:rPr>
          <w:b/>
          <w:bCs/>
          <w:color w:val="000000"/>
          <w:spacing w:val="0"/>
          <w:w w:val="100"/>
          <w:position w:val="0"/>
          <w:sz w:val="20"/>
          <w:szCs w:val="20"/>
        </w:rPr>
        <w:t>1）应收利息</w:t>
      </w:r>
      <w:bookmarkEnd w:id="1315"/>
      <w:bookmarkEnd w:id="1316"/>
      <w:bookmarkEnd w:id="1318"/>
    </w:p>
    <w:p>
      <w:pPr>
        <w:pStyle w:val="Style41"/>
        <w:keepNext w:val="0"/>
        <w:keepLines w:val="0"/>
        <w:widowControl w:val="0"/>
        <w:shd w:val="clear" w:color="auto" w:fill="auto"/>
        <w:bidi w:val="0"/>
        <w:spacing w:before="0" w:after="400" w:line="240" w:lineRule="auto"/>
        <w:ind w:left="0" w:right="0" w:firstLine="460"/>
        <w:jc w:val="left"/>
      </w:pPr>
      <w:r>
        <w:rPr>
          <w:color w:val="000000"/>
          <w:spacing w:val="0"/>
          <w:w w:val="100"/>
          <w:position w:val="0"/>
        </w:rPr>
        <w:t>无。</w:t>
      </w:r>
    </w:p>
    <w:p>
      <w:pPr>
        <w:pStyle w:val="Style58"/>
        <w:keepNext/>
        <w:keepLines/>
        <w:widowControl w:val="0"/>
        <w:shd w:val="clear" w:color="auto" w:fill="auto"/>
        <w:tabs>
          <w:tab w:pos="493" w:val="left"/>
        </w:tabs>
        <w:bidi w:val="0"/>
        <w:spacing w:before="0" w:after="400" w:line="240" w:lineRule="auto"/>
        <w:ind w:left="0" w:right="0" w:firstLine="0"/>
        <w:jc w:val="left"/>
        <w:rPr>
          <w:sz w:val="20"/>
          <w:szCs w:val="20"/>
        </w:rPr>
      </w:pPr>
      <w:bookmarkStart w:id="1319" w:name="bookmark1319"/>
      <w:bookmarkStart w:id="1320" w:name="bookmark1320"/>
      <w:bookmarkStart w:id="1321" w:name="bookmark1321"/>
      <w:bookmarkStart w:id="1322" w:name="bookmark1322"/>
      <w:r>
        <w:rPr>
          <w:b/>
          <w:bCs/>
          <w:color w:val="000000"/>
          <w:spacing w:val="0"/>
          <w:w w:val="100"/>
          <w:position w:val="0"/>
          <w:sz w:val="20"/>
          <w:szCs w:val="20"/>
        </w:rPr>
        <w:t>（</w:t>
      </w:r>
      <w:bookmarkEnd w:id="1321"/>
      <w:r>
        <w:rPr>
          <w:b/>
          <w:bCs/>
          <w:color w:val="000000"/>
          <w:spacing w:val="0"/>
          <w:w w:val="100"/>
          <w:position w:val="0"/>
          <w:sz w:val="20"/>
          <w:szCs w:val="20"/>
        </w:rPr>
        <w:t>2）</w:t>
        <w:tab/>
        <w:t>应收股利</w:t>
      </w:r>
      <w:bookmarkEnd w:id="1319"/>
      <w:bookmarkEnd w:id="1320"/>
      <w:bookmarkEnd w:id="1322"/>
    </w:p>
    <w:p>
      <w:pPr>
        <w:pStyle w:val="Style41"/>
        <w:keepNext w:val="0"/>
        <w:keepLines w:val="0"/>
        <w:widowControl w:val="0"/>
        <w:shd w:val="clear" w:color="auto" w:fill="auto"/>
        <w:bidi w:val="0"/>
        <w:spacing w:before="0" w:after="400" w:line="240" w:lineRule="auto"/>
        <w:ind w:left="0" w:right="0" w:firstLine="460"/>
        <w:jc w:val="left"/>
      </w:pPr>
      <w:r>
        <w:rPr>
          <w:color w:val="000000"/>
          <w:spacing w:val="0"/>
          <w:w w:val="100"/>
          <w:position w:val="0"/>
        </w:rPr>
        <w:t>无。</w:t>
      </w:r>
    </w:p>
    <w:p>
      <w:pPr>
        <w:pStyle w:val="Style58"/>
        <w:keepNext/>
        <w:keepLines/>
        <w:widowControl w:val="0"/>
        <w:shd w:val="clear" w:color="auto" w:fill="auto"/>
        <w:tabs>
          <w:tab w:pos="493" w:val="left"/>
        </w:tabs>
        <w:bidi w:val="0"/>
        <w:spacing w:before="0" w:after="400" w:line="240" w:lineRule="auto"/>
        <w:ind w:left="0" w:right="0" w:firstLine="0"/>
        <w:jc w:val="left"/>
        <w:rPr>
          <w:sz w:val="20"/>
          <w:szCs w:val="20"/>
        </w:rPr>
      </w:pPr>
      <w:bookmarkStart w:id="1323" w:name="bookmark1323"/>
      <w:bookmarkStart w:id="1324" w:name="bookmark1324"/>
      <w:bookmarkStart w:id="1325" w:name="bookmark1325"/>
      <w:bookmarkStart w:id="1326" w:name="bookmark1326"/>
      <w:r>
        <w:rPr>
          <w:b/>
          <w:bCs/>
          <w:color w:val="000000"/>
          <w:spacing w:val="0"/>
          <w:w w:val="100"/>
          <w:position w:val="0"/>
          <w:sz w:val="20"/>
          <w:szCs w:val="20"/>
        </w:rPr>
        <w:t>（</w:t>
      </w:r>
      <w:bookmarkEnd w:id="1325"/>
      <w:r>
        <w:rPr>
          <w:b/>
          <w:bCs/>
          <w:color w:val="000000"/>
          <w:spacing w:val="0"/>
          <w:w w:val="100"/>
          <w:position w:val="0"/>
          <w:sz w:val="20"/>
          <w:szCs w:val="20"/>
        </w:rPr>
        <w:t>3）</w:t>
        <w:tab/>
        <w:t>其他应收款</w:t>
      </w:r>
      <w:bookmarkEnd w:id="1323"/>
      <w:bookmarkEnd w:id="1324"/>
      <w:bookmarkEnd w:id="1326"/>
    </w:p>
    <w:p>
      <w:pPr>
        <w:pStyle w:val="Style248"/>
        <w:keepNext/>
        <w:keepLines/>
        <w:widowControl w:val="0"/>
        <w:shd w:val="clear" w:color="auto" w:fill="auto"/>
        <w:bidi w:val="0"/>
        <w:spacing w:before="0" w:line="240" w:lineRule="auto"/>
        <w:ind w:left="0" w:right="0" w:firstLine="0"/>
        <w:jc w:val="left"/>
      </w:pPr>
      <w:bookmarkStart w:id="1327" w:name="bookmark1327"/>
      <w:bookmarkStart w:id="1328" w:name="bookmark1328"/>
      <w:bookmarkStart w:id="1329" w:name="bookmark1329"/>
      <w:bookmarkStart w:id="1330" w:name="bookmark1330"/>
      <w:r>
        <w:rPr>
          <w:color w:val="000000"/>
          <w:spacing w:val="0"/>
          <w:w w:val="100"/>
          <w:position w:val="0"/>
        </w:rPr>
        <w:t>1</w:t>
      </w:r>
      <w:bookmarkEnd w:id="1329"/>
      <w:r>
        <w:rPr>
          <w:color w:val="000000"/>
          <w:spacing w:val="0"/>
          <w:w w:val="100"/>
          <w:position w:val="0"/>
        </w:rPr>
        <w:t>）其他应收款按按款分类披露</w:t>
      </w:r>
      <w:bookmarkEnd w:id="1327"/>
      <w:bookmarkEnd w:id="1328"/>
      <w:bookmarkEnd w:id="1330"/>
    </w:p>
    <w:p>
      <w:pPr>
        <w:pStyle w:val="Style20"/>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单位：元</w:t>
      </w:r>
    </w:p>
    <w:tbl>
      <w:tblPr>
        <w:tblOverlap w:val="never"/>
        <w:jc w:val="center"/>
        <w:tblLayout w:type="fixed"/>
      </w:tblPr>
      <w:tblGrid>
        <w:gridCol w:w="2386"/>
        <w:gridCol w:w="1843"/>
        <w:gridCol w:w="989"/>
        <w:gridCol w:w="1344"/>
        <w:gridCol w:w="1291"/>
        <w:gridCol w:w="2016"/>
      </w:tblGrid>
      <w:tr>
        <w:trPr>
          <w:trHeight w:val="326" w:hRule="exact"/>
        </w:trPr>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1000"/>
              <w:jc w:val="left"/>
            </w:pPr>
            <w:r>
              <w:rPr>
                <w:color w:val="000000"/>
                <w:spacing w:val="0"/>
                <w:w w:val="100"/>
                <w:position w:val="0"/>
              </w:rPr>
              <w:t>类别</w:t>
            </w:r>
          </w:p>
        </w:tc>
        <w:tc>
          <w:tcPr>
            <w:gridSpan w:val="5"/>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r>
      <w:tr>
        <w:trPr>
          <w:trHeight w:val="322" w:hRule="exact"/>
        </w:trPr>
        <w:tc>
          <w:tcPr>
            <w:vMerge/>
            <w:tcBorders>
              <w:left w:val="single" w:sz="4"/>
            </w:tcBorders>
            <w:shd w:val="clear" w:color="auto" w:fill="D7D7D7"/>
            <w:vAlign w:val="center"/>
          </w:tcPr>
          <w:p>
            <w:pPr/>
          </w:p>
        </w:tc>
        <w:tc>
          <w:tcPr>
            <w:gridSpan w:val="2"/>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gridSpan w:val="2"/>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vMerge w:val="restart"/>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账面价值</w:t>
            </w:r>
          </w:p>
        </w:tc>
      </w:tr>
      <w:tr>
        <w:trPr>
          <w:trHeight w:val="326" w:hRule="exact"/>
        </w:trPr>
        <w:tc>
          <w:tcPr>
            <w:vMerge/>
            <w:tcBorders>
              <w:left w:val="single" w:sz="4"/>
            </w:tcBorders>
            <w:shd w:val="clear" w:color="auto" w:fill="D7D7D7"/>
            <w:vAlign w:val="center"/>
          </w:tcPr>
          <w:p>
            <w:pP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比例（</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计提比例（%）</w:t>
            </w:r>
          </w:p>
        </w:tc>
        <w:tc>
          <w:tcPr>
            <w:vMerge/>
            <w:tcBorders>
              <w:left w:val="single" w:sz="4"/>
              <w:right w:val="single" w:sz="4"/>
            </w:tcBorders>
            <w:shd w:val="clear" w:color="auto" w:fill="D7D7D7"/>
            <w:vAlign w:val="center"/>
          </w:tcPr>
          <w:p>
            <w:pPr/>
          </w:p>
        </w:tc>
      </w:tr>
      <w:tr>
        <w:trPr>
          <w:trHeight w:val="4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按单项计提坏账准备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rPr>
                <w:sz w:val="18"/>
                <w:szCs w:val="18"/>
              </w:rPr>
            </w:pPr>
            <w:r>
              <w:rPr>
                <w:rFonts w:ascii="Times New Roman" w:eastAsia="Times New Roman" w:hAnsi="Times New Roman" w:cs="Times New Roman"/>
                <w:color w:val="000000"/>
                <w:spacing w:val="0"/>
                <w:w w:val="100"/>
                <w:position w:val="0"/>
                <w:sz w:val="18"/>
                <w:szCs w:val="18"/>
              </w:rPr>
              <w:t>305,422,477.60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95.95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297,382,277.73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97.37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8,040,199.87</w:t>
            </w:r>
          </w:p>
        </w:tc>
      </w:tr>
      <w:tr>
        <w:trPr>
          <w:trHeight w:val="4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按组合计提坏账准备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left"/>
              <w:rPr>
                <w:sz w:val="18"/>
                <w:szCs w:val="18"/>
              </w:rPr>
            </w:pPr>
            <w:r>
              <w:rPr>
                <w:rFonts w:ascii="Times New Roman" w:eastAsia="Times New Roman" w:hAnsi="Times New Roman" w:cs="Times New Roman"/>
                <w:color w:val="000000"/>
                <w:spacing w:val="0"/>
                <w:w w:val="100"/>
                <w:position w:val="0"/>
                <w:sz w:val="18"/>
                <w:szCs w:val="18"/>
              </w:rPr>
              <w:t>12,888,921.16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4.05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626,311.58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4.86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12,262,609.58</w:t>
            </w:r>
          </w:p>
        </w:tc>
      </w:tr>
      <w:tr>
        <w:trPr>
          <w:trHeight w:val="456"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rPr>
                <w:sz w:val="18"/>
                <w:szCs w:val="18"/>
              </w:rPr>
            </w:pPr>
            <w:r>
              <w:rPr>
                <w:rFonts w:ascii="Times New Roman" w:eastAsia="Times New Roman" w:hAnsi="Times New Roman" w:cs="Times New Roman"/>
                <w:color w:val="000000"/>
                <w:spacing w:val="0"/>
                <w:w w:val="100"/>
                <w:position w:val="0"/>
                <w:sz w:val="18"/>
                <w:szCs w:val="18"/>
              </w:rPr>
              <w:t>318,311,398.76</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298,008,589.31</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20,302,809.45</w:t>
            </w:r>
          </w:p>
        </w:tc>
      </w:tr>
    </w:tbl>
    <w:p>
      <w:pPr>
        <w:widowControl w:val="0"/>
        <w:spacing w:after="399" w:line="1" w:lineRule="exact"/>
      </w:pPr>
    </w:p>
    <w:p>
      <w:pPr>
        <w:widowControl w:val="0"/>
        <w:spacing w:line="1" w:lineRule="exact"/>
      </w:pPr>
    </w:p>
    <w:tbl>
      <w:tblPr>
        <w:tblOverlap w:val="never"/>
        <w:jc w:val="center"/>
        <w:tblLayout w:type="fixed"/>
      </w:tblPr>
      <w:tblGrid>
        <w:gridCol w:w="2386"/>
        <w:gridCol w:w="1838"/>
        <w:gridCol w:w="994"/>
        <w:gridCol w:w="1339"/>
        <w:gridCol w:w="1354"/>
        <w:gridCol w:w="1958"/>
      </w:tblGrid>
      <w:tr>
        <w:trPr>
          <w:trHeight w:val="326" w:hRule="exact"/>
        </w:trPr>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1000"/>
              <w:jc w:val="left"/>
            </w:pPr>
            <w:r>
              <w:rPr>
                <w:color w:val="000000"/>
                <w:spacing w:val="0"/>
                <w:w w:val="100"/>
                <w:position w:val="0"/>
              </w:rPr>
              <w:t>类别</w:t>
            </w:r>
          </w:p>
        </w:tc>
        <w:tc>
          <w:tcPr>
            <w:gridSpan w:val="5"/>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322" w:hRule="exact"/>
        </w:trPr>
        <w:tc>
          <w:tcPr>
            <w:vMerge/>
            <w:tcBorders>
              <w:left w:val="single" w:sz="4"/>
            </w:tcBorders>
            <w:shd w:val="clear" w:color="auto" w:fill="D7D7D7"/>
            <w:vAlign w:val="center"/>
          </w:tcPr>
          <w:p>
            <w:pPr/>
          </w:p>
        </w:tc>
        <w:tc>
          <w:tcPr>
            <w:gridSpan w:val="2"/>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gridSpan w:val="2"/>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vMerge w:val="restart"/>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账面价值</w:t>
            </w:r>
          </w:p>
        </w:tc>
      </w:tr>
      <w:tr>
        <w:trPr>
          <w:trHeight w:val="485" w:hRule="exact"/>
        </w:trPr>
        <w:tc>
          <w:tcPr>
            <w:vMerge/>
            <w:tcBorders>
              <w:left w:val="single" w:sz="4"/>
              <w:bottom w:val="single" w:sz="4"/>
            </w:tcBorders>
            <w:shd w:val="clear" w:color="auto" w:fill="D7D7D7"/>
            <w:vAlign w:val="center"/>
          </w:tcPr>
          <w:p>
            <w:pPr/>
          </w:p>
        </w:tc>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比例（</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tc>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计提比例（</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tc>
        <w:tc>
          <w:tcPr>
            <w:vMerge/>
            <w:tcBorders>
              <w:left w:val="single" w:sz="4"/>
              <w:bottom w:val="single" w:sz="4"/>
              <w:right w:val="single" w:sz="4"/>
            </w:tcBorders>
            <w:shd w:val="clear" w:color="auto" w:fill="D7D7D7"/>
            <w:vAlign w:val="center"/>
          </w:tcPr>
          <w:p>
            <w:pPr/>
          </w:p>
        </w:tc>
      </w:tr>
    </w:tbl>
    <w:p>
      <w:pPr>
        <w:widowControl w:val="0"/>
        <w:spacing w:line="1" w:lineRule="exact"/>
      </w:pPr>
      <w:r>
        <w:br w:type="page"/>
      </w:r>
    </w:p>
    <w:tbl>
      <w:tblPr>
        <w:tblOverlap w:val="never"/>
        <w:jc w:val="center"/>
        <w:tblLayout w:type="fixed"/>
      </w:tblPr>
      <w:tblGrid>
        <w:gridCol w:w="2386"/>
        <w:gridCol w:w="1838"/>
        <w:gridCol w:w="994"/>
        <w:gridCol w:w="1339"/>
        <w:gridCol w:w="1354"/>
        <w:gridCol w:w="1958"/>
      </w:tblGrid>
      <w:tr>
        <w:trPr>
          <w:trHeight w:val="52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按单项计提坏账准备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rPr>
                <w:sz w:val="18"/>
                <w:szCs w:val="18"/>
              </w:rPr>
            </w:pPr>
            <w:r>
              <w:rPr>
                <w:rFonts w:ascii="Times New Roman" w:eastAsia="Times New Roman" w:hAnsi="Times New Roman" w:cs="Times New Roman"/>
                <w:color w:val="000000"/>
                <w:spacing w:val="0"/>
                <w:w w:val="100"/>
                <w:position w:val="0"/>
                <w:sz w:val="18"/>
                <w:szCs w:val="18"/>
              </w:rPr>
              <w:t>421,359,787.49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95.8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378,725,775.66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89.88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42,634,011.83</w:t>
            </w:r>
          </w:p>
        </w:tc>
      </w:tr>
      <w:tr>
        <w:trPr>
          <w:trHeight w:val="461"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按组合计提坏账准备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18,466,545.32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888,179.36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4.81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17,578,365.96</w:t>
            </w:r>
          </w:p>
        </w:tc>
      </w:tr>
      <w:tr>
        <w:trPr>
          <w:trHeight w:val="33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00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rPr>
                <w:sz w:val="18"/>
                <w:szCs w:val="18"/>
              </w:rPr>
            </w:pPr>
            <w:r>
              <w:rPr>
                <w:rFonts w:ascii="Times New Roman" w:eastAsia="Times New Roman" w:hAnsi="Times New Roman" w:cs="Times New Roman"/>
                <w:color w:val="000000"/>
                <w:spacing w:val="0"/>
                <w:w w:val="100"/>
                <w:position w:val="0"/>
                <w:sz w:val="18"/>
                <w:szCs w:val="18"/>
              </w:rPr>
              <w:t>439,826,332.81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379,613,955.02</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60,212,377.79</w:t>
            </w:r>
          </w:p>
        </w:tc>
      </w:tr>
    </w:tbl>
    <w:p>
      <w:pPr>
        <w:widowControl w:val="0"/>
        <w:spacing w:after="419" w:line="1" w:lineRule="exact"/>
      </w:pPr>
    </w:p>
    <w:p>
      <w:pPr>
        <w:pStyle w:val="Style41"/>
        <w:keepNext w:val="0"/>
        <w:keepLines w:val="0"/>
        <w:widowControl w:val="0"/>
        <w:shd w:val="clear" w:color="auto" w:fill="auto"/>
        <w:bidi w:val="0"/>
        <w:spacing w:before="0" w:after="140" w:line="240" w:lineRule="auto"/>
        <w:ind w:left="0" w:right="0" w:firstLine="460"/>
        <w:jc w:val="left"/>
      </w:pPr>
      <w:r>
        <w:rPr>
          <w:color w:val="000000"/>
          <w:spacing w:val="0"/>
          <w:w w:val="100"/>
          <w:position w:val="0"/>
        </w:rPr>
        <w:t>按单项计提坏账准备:</w:t>
      </w:r>
    </w:p>
    <w:p>
      <w:pPr>
        <w:pStyle w:val="Style20"/>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单位：元</w:t>
      </w:r>
    </w:p>
    <w:tbl>
      <w:tblPr>
        <w:tblOverlap w:val="never"/>
        <w:jc w:val="center"/>
        <w:tblLayout w:type="fixed"/>
      </w:tblPr>
      <w:tblGrid>
        <w:gridCol w:w="2386"/>
        <w:gridCol w:w="1982"/>
        <w:gridCol w:w="1843"/>
        <w:gridCol w:w="1579"/>
        <w:gridCol w:w="2078"/>
      </w:tblGrid>
      <w:tr>
        <w:trPr>
          <w:trHeight w:val="413" w:hRule="exact"/>
        </w:trPr>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1000"/>
              <w:jc w:val="left"/>
            </w:pPr>
            <w:r>
              <w:rPr>
                <w:color w:val="000000"/>
                <w:spacing w:val="0"/>
                <w:w w:val="100"/>
                <w:position w:val="0"/>
              </w:rPr>
              <w:t>名称</w:t>
            </w:r>
          </w:p>
        </w:tc>
        <w:tc>
          <w:tcPr>
            <w:gridSpan w:val="4"/>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r>
      <w:tr>
        <w:trPr>
          <w:trHeight w:val="408" w:hRule="exact"/>
        </w:trPr>
        <w:tc>
          <w:tcPr>
            <w:vMerge/>
            <w:tcBorders>
              <w:left w:val="single" w:sz="4"/>
            </w:tcBorders>
            <w:shd w:val="clear" w:color="auto" w:fill="D7D7D7"/>
            <w:vAlign w:val="center"/>
          </w:tcPr>
          <w:p>
            <w:pP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180"/>
              <w:jc w:val="left"/>
            </w:pPr>
            <w:r>
              <w:rPr>
                <w:color w:val="000000"/>
                <w:spacing w:val="0"/>
                <w:w w:val="100"/>
                <w:position w:val="0"/>
              </w:rPr>
              <w:t>计提比例（</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680"/>
              <w:jc w:val="left"/>
            </w:pPr>
            <w:r>
              <w:rPr>
                <w:color w:val="000000"/>
                <w:spacing w:val="0"/>
                <w:w w:val="100"/>
                <w:position w:val="0"/>
              </w:rPr>
              <w:t>计提理由</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涉诉应收款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left"/>
              <w:rPr>
                <w:sz w:val="18"/>
                <w:szCs w:val="18"/>
              </w:rPr>
            </w:pPr>
            <w:r>
              <w:rPr>
                <w:rFonts w:ascii="Times New Roman" w:eastAsia="Times New Roman" w:hAnsi="Times New Roman" w:cs="Times New Roman"/>
                <w:color w:val="000000"/>
                <w:spacing w:val="0"/>
                <w:w w:val="100"/>
                <w:position w:val="0"/>
                <w:sz w:val="18"/>
                <w:szCs w:val="18"/>
              </w:rPr>
              <w:t>275,595,809.35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rPr>
                <w:sz w:val="18"/>
                <w:szCs w:val="18"/>
              </w:rPr>
            </w:pPr>
            <w:r>
              <w:rPr>
                <w:rFonts w:ascii="Times New Roman" w:eastAsia="Times New Roman" w:hAnsi="Times New Roman" w:cs="Times New Roman"/>
                <w:color w:val="000000"/>
                <w:spacing w:val="0"/>
                <w:w w:val="100"/>
                <w:position w:val="0"/>
                <w:sz w:val="18"/>
                <w:szCs w:val="18"/>
              </w:rPr>
              <w:t>275,595,809.35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预计难以收回</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原子公司欠款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24,186,478.37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16,686,478.37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60" w:right="0" w:firstLine="0"/>
              <w:jc w:val="left"/>
              <w:rPr>
                <w:sz w:val="18"/>
                <w:szCs w:val="18"/>
              </w:rPr>
            </w:pPr>
            <w:r>
              <w:rPr>
                <w:rFonts w:ascii="Times New Roman" w:eastAsia="Times New Roman" w:hAnsi="Times New Roman" w:cs="Times New Roman"/>
                <w:color w:val="000000"/>
                <w:spacing w:val="0"/>
                <w:w w:val="100"/>
                <w:position w:val="0"/>
                <w:sz w:val="18"/>
                <w:szCs w:val="18"/>
              </w:rPr>
              <w:t>68.99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预计收回存在困难</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股权转让款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20"/>
              <w:jc w:val="left"/>
              <w:rPr>
                <w:sz w:val="18"/>
                <w:szCs w:val="18"/>
              </w:rPr>
            </w:pPr>
            <w:r>
              <w:rPr>
                <w:rFonts w:ascii="Times New Roman" w:eastAsia="Times New Roman" w:hAnsi="Times New Roman" w:cs="Times New Roman"/>
                <w:color w:val="000000"/>
                <w:spacing w:val="0"/>
                <w:w w:val="100"/>
                <w:position w:val="0"/>
                <w:sz w:val="18"/>
                <w:szCs w:val="18"/>
              </w:rPr>
              <w:t>2,265,000.00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80"/>
              <w:jc w:val="left"/>
              <w:rPr>
                <w:sz w:val="18"/>
                <w:szCs w:val="18"/>
              </w:rPr>
            </w:pPr>
            <w:r>
              <w:rPr>
                <w:rFonts w:ascii="Times New Roman" w:eastAsia="Times New Roman" w:hAnsi="Times New Roman" w:cs="Times New Roman"/>
                <w:color w:val="000000"/>
                <w:spacing w:val="0"/>
                <w:w w:val="100"/>
                <w:position w:val="0"/>
                <w:sz w:val="18"/>
                <w:szCs w:val="18"/>
              </w:rPr>
              <w:t>1,812,000.00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60" w:right="0" w:firstLine="0"/>
              <w:jc w:val="left"/>
              <w:rPr>
                <w:sz w:val="18"/>
                <w:szCs w:val="18"/>
              </w:rPr>
            </w:pPr>
            <w:r>
              <w:rPr>
                <w:rFonts w:ascii="Times New Roman" w:eastAsia="Times New Roman" w:hAnsi="Times New Roman" w:cs="Times New Roman"/>
                <w:color w:val="000000"/>
                <w:spacing w:val="0"/>
                <w:w w:val="100"/>
                <w:position w:val="0"/>
                <w:sz w:val="18"/>
                <w:szCs w:val="18"/>
              </w:rPr>
              <w:t>80.00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预计难以收回</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20"/>
              <w:jc w:val="left"/>
              <w:rPr>
                <w:sz w:val="18"/>
                <w:szCs w:val="18"/>
              </w:rPr>
            </w:pPr>
            <w:r>
              <w:rPr>
                <w:rFonts w:ascii="Times New Roman" w:eastAsia="Times New Roman" w:hAnsi="Times New Roman" w:cs="Times New Roman"/>
                <w:color w:val="000000"/>
                <w:spacing w:val="0"/>
                <w:w w:val="100"/>
                <w:position w:val="0"/>
                <w:sz w:val="18"/>
                <w:szCs w:val="18"/>
              </w:rPr>
              <w:t>3,375,189.88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80"/>
              <w:jc w:val="left"/>
              <w:rPr>
                <w:sz w:val="18"/>
                <w:szCs w:val="18"/>
              </w:rPr>
            </w:pPr>
            <w:r>
              <w:rPr>
                <w:rFonts w:ascii="Times New Roman" w:eastAsia="Times New Roman" w:hAnsi="Times New Roman" w:cs="Times New Roman"/>
                <w:color w:val="000000"/>
                <w:spacing w:val="0"/>
                <w:w w:val="100"/>
                <w:position w:val="0"/>
                <w:sz w:val="18"/>
                <w:szCs w:val="18"/>
              </w:rPr>
              <w:t>3,287,990.01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60" w:right="0" w:firstLine="0"/>
              <w:jc w:val="left"/>
              <w:rPr>
                <w:sz w:val="18"/>
                <w:szCs w:val="18"/>
              </w:rPr>
            </w:pPr>
            <w:r>
              <w:rPr>
                <w:rFonts w:ascii="Times New Roman" w:eastAsia="Times New Roman" w:hAnsi="Times New Roman" w:cs="Times New Roman"/>
                <w:color w:val="000000"/>
                <w:spacing w:val="0"/>
                <w:w w:val="100"/>
                <w:position w:val="0"/>
                <w:sz w:val="18"/>
                <w:szCs w:val="18"/>
              </w:rPr>
              <w:t>97.42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预计难以收回</w:t>
            </w:r>
          </w:p>
        </w:tc>
      </w:tr>
      <w:tr>
        <w:trPr>
          <w:trHeight w:val="41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40"/>
              <w:jc w:val="left"/>
              <w:rPr>
                <w:sz w:val="18"/>
                <w:szCs w:val="18"/>
              </w:rPr>
            </w:pPr>
            <w:r>
              <w:rPr>
                <w:rFonts w:ascii="Times New Roman" w:eastAsia="Times New Roman" w:hAnsi="Times New Roman" w:cs="Times New Roman"/>
                <w:color w:val="000000"/>
                <w:spacing w:val="0"/>
                <w:w w:val="100"/>
                <w:position w:val="0"/>
                <w:sz w:val="18"/>
                <w:szCs w:val="18"/>
              </w:rPr>
              <w:t>305,422,477.60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rPr>
                <w:sz w:val="18"/>
                <w:szCs w:val="18"/>
              </w:rPr>
            </w:pPr>
            <w:r>
              <w:rPr>
                <w:rFonts w:ascii="Times New Roman" w:eastAsia="Times New Roman" w:hAnsi="Times New Roman" w:cs="Times New Roman"/>
                <w:color w:val="000000"/>
                <w:spacing w:val="0"/>
                <w:w w:val="100"/>
                <w:position w:val="0"/>
                <w:sz w:val="18"/>
                <w:szCs w:val="18"/>
              </w:rPr>
              <w:t>297,382,277.73</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419" w:line="1" w:lineRule="exact"/>
      </w:pPr>
    </w:p>
    <w:p>
      <w:pPr>
        <w:pStyle w:val="Style41"/>
        <w:keepNext w:val="0"/>
        <w:keepLines w:val="0"/>
        <w:widowControl w:val="0"/>
        <w:shd w:val="clear" w:color="auto" w:fill="auto"/>
        <w:bidi w:val="0"/>
        <w:spacing w:before="0" w:after="140" w:line="240" w:lineRule="auto"/>
        <w:ind w:left="0" w:right="0" w:firstLine="460"/>
        <w:jc w:val="left"/>
      </w:pPr>
      <w:r>
        <w:rPr>
          <w:color w:val="000000"/>
          <w:spacing w:val="0"/>
          <w:w w:val="100"/>
          <w:position w:val="0"/>
        </w:rPr>
        <w:t>按组合计提坏账准备：</w:t>
      </w:r>
    </w:p>
    <w:p>
      <w:pPr>
        <w:pStyle w:val="Style41"/>
        <w:keepNext w:val="0"/>
        <w:keepLines w:val="0"/>
        <w:widowControl w:val="0"/>
        <w:shd w:val="clear" w:color="auto" w:fill="auto"/>
        <w:bidi w:val="0"/>
        <w:spacing w:before="0" w:after="140" w:line="240" w:lineRule="auto"/>
        <w:ind w:left="0" w:right="0" w:firstLine="460"/>
        <w:jc w:val="left"/>
      </w:pPr>
      <w:r>
        <w:rPr>
          <w:color w:val="000000"/>
          <w:spacing w:val="0"/>
          <w:w w:val="100"/>
          <w:position w:val="0"/>
        </w:rPr>
        <w:t>按信用风险特征组合计提坏账准备:</w:t>
      </w:r>
    </w:p>
    <w:p>
      <w:pPr>
        <w:pStyle w:val="Style20"/>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单位：元</w:t>
      </w:r>
    </w:p>
    <w:tbl>
      <w:tblPr>
        <w:tblOverlap w:val="never"/>
        <w:jc w:val="center"/>
        <w:tblLayout w:type="fixed"/>
      </w:tblPr>
      <w:tblGrid>
        <w:gridCol w:w="2304"/>
        <w:gridCol w:w="2520"/>
        <w:gridCol w:w="2515"/>
        <w:gridCol w:w="2530"/>
      </w:tblGrid>
      <w:tr>
        <w:trPr>
          <w:trHeight w:val="413" w:hRule="exact"/>
        </w:trPr>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名称</w:t>
            </w:r>
          </w:p>
        </w:tc>
        <w:tc>
          <w:tcPr>
            <w:gridSpan w:val="3"/>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r>
      <w:tr>
        <w:trPr>
          <w:trHeight w:val="408" w:hRule="exact"/>
        </w:trPr>
        <w:tc>
          <w:tcPr>
            <w:vMerge/>
            <w:tcBorders>
              <w:left w:val="single" w:sz="4"/>
            </w:tcBorders>
            <w:shd w:val="clear" w:color="auto" w:fill="D7D7D7"/>
            <w:vAlign w:val="center"/>
          </w:tcPr>
          <w:p>
            <w:pP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其他应收款项</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计提比例（</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押金备用金保证金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60" w:right="0" w:firstLine="0"/>
              <w:jc w:val="left"/>
              <w:rPr>
                <w:sz w:val="18"/>
                <w:szCs w:val="18"/>
              </w:rPr>
            </w:pPr>
            <w:r>
              <w:rPr>
                <w:rFonts w:ascii="Times New Roman" w:eastAsia="Times New Roman" w:hAnsi="Times New Roman" w:cs="Times New Roman"/>
                <w:color w:val="000000"/>
                <w:spacing w:val="0"/>
                <w:w w:val="100"/>
                <w:position w:val="0"/>
                <w:sz w:val="18"/>
                <w:szCs w:val="18"/>
              </w:rPr>
              <w:t>11,982,197.46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599,109.86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5.00</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其他往来款项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906,723.70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27,201.72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3.00</w:t>
            </w:r>
          </w:p>
        </w:tc>
      </w:tr>
      <w:tr>
        <w:trPr>
          <w:trHeight w:val="41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60" w:right="0" w:firstLine="0"/>
              <w:jc w:val="left"/>
              <w:rPr>
                <w:sz w:val="18"/>
                <w:szCs w:val="18"/>
              </w:rPr>
            </w:pPr>
            <w:r>
              <w:rPr>
                <w:rFonts w:ascii="Times New Roman" w:eastAsia="Times New Roman" w:hAnsi="Times New Roman" w:cs="Times New Roman"/>
                <w:color w:val="000000"/>
                <w:spacing w:val="0"/>
                <w:w w:val="100"/>
                <w:position w:val="0"/>
                <w:sz w:val="18"/>
                <w:szCs w:val="18"/>
              </w:rPr>
              <w:t>12,888,921.16</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626,311.58</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679" w:line="1" w:lineRule="exact"/>
      </w:pPr>
    </w:p>
    <w:p>
      <w:pPr>
        <w:pStyle w:val="Style248"/>
        <w:keepNext/>
        <w:keepLines/>
        <w:widowControl w:val="0"/>
        <w:shd w:val="clear" w:color="auto" w:fill="auto"/>
        <w:bidi w:val="0"/>
        <w:spacing w:before="0" w:after="420" w:line="240" w:lineRule="auto"/>
        <w:ind w:left="0" w:right="0" w:firstLine="0"/>
        <w:jc w:val="left"/>
      </w:pPr>
      <w:bookmarkStart w:id="1331" w:name="bookmark1331"/>
      <w:bookmarkStart w:id="1332" w:name="bookmark1332"/>
      <w:bookmarkStart w:id="1333" w:name="bookmark1333"/>
      <w:bookmarkStart w:id="1334" w:name="bookmark1334"/>
      <w:r>
        <w:rPr>
          <w:color w:val="000000"/>
          <w:spacing w:val="0"/>
          <w:w w:val="100"/>
          <w:position w:val="0"/>
        </w:rPr>
        <w:t>2</w:t>
      </w:r>
      <w:bookmarkEnd w:id="1333"/>
      <w:r>
        <w:rPr>
          <w:color w:val="000000"/>
          <w:spacing w:val="0"/>
          <w:w w:val="100"/>
          <w:position w:val="0"/>
        </w:rPr>
        <w:t>）其他应收款按款项性质分类情况</w:t>
      </w:r>
      <w:bookmarkEnd w:id="1331"/>
      <w:bookmarkEnd w:id="1332"/>
      <w:bookmarkEnd w:id="1334"/>
    </w:p>
    <w:p>
      <w:pPr>
        <w:pStyle w:val="Style41"/>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3192"/>
        <w:gridCol w:w="3192"/>
        <w:gridCol w:w="3202"/>
      </w:tblGrid>
      <w:tr>
        <w:trPr>
          <w:trHeight w:val="40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款项性质</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期末账面余额</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期初账面余额</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备用金、押金及保证金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14,838,972.36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21,174,799.18</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原子公司欠款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24,186,478.37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left"/>
              <w:rPr>
                <w:sz w:val="18"/>
                <w:szCs w:val="18"/>
              </w:rPr>
            </w:pPr>
            <w:r>
              <w:rPr>
                <w:rFonts w:ascii="Times New Roman" w:eastAsia="Times New Roman" w:hAnsi="Times New Roman" w:cs="Times New Roman"/>
                <w:color w:val="000000"/>
                <w:spacing w:val="0"/>
                <w:w w:val="100"/>
                <w:position w:val="0"/>
                <w:sz w:val="18"/>
                <w:szCs w:val="18"/>
              </w:rPr>
              <w:t>9,186,478.37</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其他往来款项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1,425,138.23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left"/>
              <w:rPr>
                <w:sz w:val="18"/>
                <w:szCs w:val="18"/>
              </w:rPr>
            </w:pPr>
            <w:r>
              <w:rPr>
                <w:rFonts w:ascii="Times New Roman" w:eastAsia="Times New Roman" w:hAnsi="Times New Roman" w:cs="Times New Roman"/>
                <w:color w:val="000000"/>
                <w:spacing w:val="0"/>
                <w:w w:val="100"/>
                <w:position w:val="0"/>
                <w:sz w:val="18"/>
                <w:szCs w:val="18"/>
              </w:rPr>
              <w:t>4,888,239.26</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应收股权转让款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2,265,000.00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left"/>
              <w:rPr>
                <w:sz w:val="18"/>
                <w:szCs w:val="18"/>
              </w:rPr>
            </w:pPr>
            <w:r>
              <w:rPr>
                <w:rFonts w:ascii="Times New Roman" w:eastAsia="Times New Roman" w:hAnsi="Times New Roman" w:cs="Times New Roman"/>
                <w:color w:val="000000"/>
                <w:spacing w:val="0"/>
                <w:w w:val="100"/>
                <w:position w:val="0"/>
                <w:sz w:val="18"/>
                <w:szCs w:val="18"/>
              </w:rPr>
              <w:t>2,265,000.00</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涉诉应收款项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275,595,809.80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402,311,816.00</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318,311,398.76</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439,826,332.81</w:t>
            </w:r>
          </w:p>
        </w:tc>
      </w:tr>
    </w:tbl>
    <w:p>
      <w:pPr>
        <w:sectPr>
          <w:headerReference w:type="default" r:id="rId371"/>
          <w:footerReference w:type="default" r:id="rId372"/>
          <w:headerReference w:type="even" r:id="rId373"/>
          <w:footerReference w:type="even" r:id="rId374"/>
          <w:footnotePr>
            <w:pos w:val="pageBottom"/>
            <w:numFmt w:val="decimal"/>
            <w:numRestart w:val="continuous"/>
          </w:footnotePr>
          <w:pgSz w:w="11904" w:h="17375"/>
          <w:pgMar w:top="1676" w:right="1030" w:bottom="1663" w:left="1006" w:header="0" w:footer="3" w:gutter="0"/>
          <w:cols w:space="720"/>
          <w:noEndnote/>
          <w:rtlGutter w:val="0"/>
          <w:docGrid w:linePitch="360"/>
        </w:sectPr>
      </w:pPr>
    </w:p>
    <w:p>
      <w:pPr>
        <w:pStyle w:val="Style248"/>
        <w:keepNext/>
        <w:keepLines/>
        <w:widowControl w:val="0"/>
        <w:shd w:val="clear" w:color="auto" w:fill="auto"/>
        <w:bidi w:val="0"/>
        <w:spacing w:before="0" w:line="240" w:lineRule="auto"/>
        <w:ind w:left="0" w:right="0" w:firstLine="0"/>
        <w:jc w:val="left"/>
      </w:pPr>
      <w:bookmarkStart w:id="1335" w:name="bookmark1335"/>
      <w:bookmarkStart w:id="1336" w:name="bookmark1336"/>
      <w:bookmarkStart w:id="1337" w:name="bookmark1337"/>
      <w:bookmarkStart w:id="1338" w:name="bookmark1338"/>
      <w:r>
        <w:rPr>
          <w:color w:val="000000"/>
          <w:spacing w:val="0"/>
          <w:w w:val="100"/>
          <w:position w:val="0"/>
        </w:rPr>
        <w:t>3</w:t>
      </w:r>
      <w:bookmarkEnd w:id="1337"/>
      <w:r>
        <w:rPr>
          <w:color w:val="000000"/>
          <w:spacing w:val="0"/>
          <w:w w:val="100"/>
          <w:position w:val="0"/>
        </w:rPr>
        <w:t>）坏账准备计提情况</w:t>
      </w:r>
      <w:bookmarkEnd w:id="1335"/>
      <w:bookmarkEnd w:id="1336"/>
      <w:bookmarkEnd w:id="1338"/>
    </w:p>
    <w:p>
      <w:pPr>
        <w:pStyle w:val="Style41"/>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center"/>
        <w:tblLayout w:type="fixed"/>
      </w:tblPr>
      <w:tblGrid>
        <w:gridCol w:w="1920"/>
        <w:gridCol w:w="1651"/>
        <w:gridCol w:w="2098"/>
        <w:gridCol w:w="2102"/>
        <w:gridCol w:w="1810"/>
      </w:tblGrid>
      <w:tr>
        <w:trPr>
          <w:trHeight w:val="408" w:hRule="exact"/>
        </w:trPr>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600"/>
              <w:jc w:val="left"/>
            </w:pPr>
            <w:r>
              <w:rPr>
                <w:color w:val="000000"/>
                <w:spacing w:val="0"/>
                <w:w w:val="100"/>
                <w:position w:val="0"/>
              </w:rPr>
              <w:t>坏账准备</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第一阶段</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第二阶段</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第三阶段</w:t>
            </w:r>
          </w:p>
        </w:tc>
        <w:tc>
          <w:tcPr>
            <w:vMerge w:val="restart"/>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720"/>
              <w:jc w:val="left"/>
            </w:pPr>
            <w:r>
              <w:rPr>
                <w:color w:val="000000"/>
                <w:spacing w:val="0"/>
                <w:w w:val="100"/>
                <w:position w:val="0"/>
              </w:rPr>
              <w:t>合计</w:t>
            </w:r>
          </w:p>
        </w:tc>
      </w:tr>
      <w:tr>
        <w:trPr>
          <w:trHeight w:val="715" w:hRule="exact"/>
        </w:trPr>
        <w:tc>
          <w:tcPr>
            <w:vMerge/>
            <w:tcBorders>
              <w:left w:val="single" w:sz="4"/>
            </w:tcBorders>
            <w:shd w:val="clear" w:color="auto" w:fill="D7D7D7"/>
            <w:vAlign w:val="center"/>
          </w:tcPr>
          <w:p>
            <w:pP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26" w:lineRule="exact"/>
              <w:ind w:left="0" w:right="0" w:firstLine="0"/>
              <w:jc w:val="center"/>
            </w:pPr>
            <w:r>
              <w:rPr>
                <w:color w:val="000000"/>
                <w:spacing w:val="0"/>
                <w:w w:val="100"/>
                <w:position w:val="0"/>
              </w:rPr>
              <w:t>未来</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个月预期信 用损失</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整个存续期预期信用损失</w:t>
            </w:r>
          </w:p>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7"/>
                <w:szCs w:val="17"/>
              </w:rPr>
              <w:t>未发生信用减值</w:t>
            </w:r>
            <w:r>
              <w:rPr>
                <w:color w:val="000000"/>
                <w:spacing w:val="0"/>
                <w:w w:val="100"/>
                <w:position w:val="0"/>
                <w:sz w:val="18"/>
                <w:szCs w:val="18"/>
              </w:rPr>
              <w:t>）</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整个存续期预期信用损失</w:t>
            </w:r>
          </w:p>
          <w:p>
            <w:pPr>
              <w:pStyle w:val="Style2"/>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7"/>
                <w:szCs w:val="17"/>
              </w:rPr>
              <w:t>已发生信用减值</w:t>
            </w:r>
            <w:r>
              <w:rPr>
                <w:color w:val="000000"/>
                <w:spacing w:val="0"/>
                <w:w w:val="100"/>
                <w:position w:val="0"/>
                <w:sz w:val="18"/>
                <w:szCs w:val="18"/>
              </w:rPr>
              <w:t>）</w:t>
            </w:r>
          </w:p>
        </w:tc>
        <w:tc>
          <w:tcPr>
            <w:vMerge/>
            <w:tcBorders>
              <w:left w:val="single" w:sz="4"/>
              <w:right w:val="single" w:sz="4"/>
            </w:tcBorders>
            <w:shd w:val="clear" w:color="auto" w:fill="D7D7D7"/>
            <w:vAlign w:val="center"/>
          </w:tcPr>
          <w:p>
            <w:pP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日余额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888,179.36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60" w:right="0" w:firstLine="0"/>
              <w:jc w:val="left"/>
              <w:rPr>
                <w:sz w:val="18"/>
                <w:szCs w:val="18"/>
              </w:rPr>
            </w:pPr>
            <w:r>
              <w:rPr>
                <w:rFonts w:ascii="Times New Roman" w:eastAsia="Times New Roman" w:hAnsi="Times New Roman" w:cs="Times New Roman"/>
                <w:color w:val="000000"/>
                <w:spacing w:val="0"/>
                <w:w w:val="100"/>
                <w:position w:val="0"/>
                <w:sz w:val="18"/>
                <w:szCs w:val="18"/>
              </w:rPr>
              <w:t>255,790.74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378,469,984.92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40"/>
              <w:jc w:val="both"/>
              <w:rPr>
                <w:sz w:val="18"/>
                <w:szCs w:val="18"/>
              </w:rPr>
            </w:pPr>
            <w:r>
              <w:rPr>
                <w:rFonts w:ascii="Times New Roman" w:eastAsia="Times New Roman" w:hAnsi="Times New Roman" w:cs="Times New Roman"/>
                <w:color w:val="000000"/>
                <w:spacing w:val="0"/>
                <w:w w:val="100"/>
                <w:position w:val="0"/>
                <w:sz w:val="18"/>
                <w:szCs w:val="18"/>
              </w:rPr>
              <w:t>379,613,955.02</w:t>
            </w: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36" w:lineRule="exact"/>
              <w:ind w:left="0" w:right="0" w:firstLine="0"/>
              <w:jc w:val="left"/>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日余额在 本期</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720"/>
              <w:jc w:val="left"/>
            </w:pPr>
            <w:r>
              <w:rPr>
                <w:color w:val="000000"/>
                <w:spacing w:val="0"/>
                <w:w w:val="100"/>
                <w:position w:val="0"/>
              </w:rPr>
              <w:t>—</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转入第二阶段</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-5,125.00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5,125.00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转入第三阶段</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-28,696.44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-93,954.00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122,650.44</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本期计提</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-193,775.65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40" w:right="0" w:firstLine="0"/>
              <w:jc w:val="left"/>
              <w:rPr>
                <w:sz w:val="18"/>
                <w:szCs w:val="18"/>
              </w:rPr>
            </w:pPr>
            <w:r>
              <w:rPr>
                <w:rFonts w:ascii="Times New Roman" w:eastAsia="Times New Roman" w:hAnsi="Times New Roman" w:cs="Times New Roman"/>
                <w:color w:val="000000"/>
                <w:spacing w:val="0"/>
                <w:w w:val="100"/>
                <w:position w:val="0"/>
                <w:sz w:val="18"/>
                <w:szCs w:val="18"/>
              </w:rPr>
              <w:t>32,246.38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10,023,894.56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9,862,365.29</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本期转回</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60" w:right="0" w:firstLine="0"/>
              <w:jc w:val="left"/>
              <w:rPr>
                <w:sz w:val="18"/>
                <w:szCs w:val="18"/>
              </w:rPr>
            </w:pPr>
            <w:r>
              <w:rPr>
                <w:rFonts w:ascii="Times New Roman" w:eastAsia="Times New Roman" w:hAnsi="Times New Roman" w:cs="Times New Roman"/>
                <w:color w:val="000000"/>
                <w:spacing w:val="0"/>
                <w:w w:val="100"/>
                <w:position w:val="0"/>
                <w:sz w:val="18"/>
                <w:szCs w:val="18"/>
              </w:rPr>
              <w:t>161,836.74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3,255,191.58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3,417,028.32</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本期核销</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88,014,356.31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20"/>
              <w:jc w:val="left"/>
              <w:rPr>
                <w:sz w:val="18"/>
                <w:szCs w:val="18"/>
              </w:rPr>
            </w:pPr>
            <w:r>
              <w:rPr>
                <w:rFonts w:ascii="Times New Roman" w:eastAsia="Times New Roman" w:hAnsi="Times New Roman" w:cs="Times New Roman"/>
                <w:color w:val="000000"/>
                <w:spacing w:val="0"/>
                <w:w w:val="100"/>
                <w:position w:val="0"/>
                <w:sz w:val="18"/>
                <w:szCs w:val="18"/>
              </w:rPr>
              <w:t>88,014,356.31</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其他变动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-34,270.69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-2,075.68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-36,346.37</w:t>
            </w:r>
          </w:p>
        </w:tc>
      </w:tr>
      <w:tr>
        <w:trPr>
          <w:trHeight w:val="408"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日余额</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626,311.58</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40" w:right="0" w:firstLine="0"/>
              <w:jc w:val="left"/>
              <w:rPr>
                <w:sz w:val="18"/>
                <w:szCs w:val="18"/>
              </w:rPr>
            </w:pPr>
            <w:r>
              <w:rPr>
                <w:rFonts w:ascii="Times New Roman" w:eastAsia="Times New Roman" w:hAnsi="Times New Roman" w:cs="Times New Roman"/>
                <w:color w:val="000000"/>
                <w:spacing w:val="0"/>
                <w:w w:val="100"/>
                <w:position w:val="0"/>
                <w:sz w:val="18"/>
                <w:szCs w:val="18"/>
              </w:rPr>
              <w:t>37,371.38</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297,344,906.35</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40"/>
              <w:jc w:val="both"/>
              <w:rPr>
                <w:sz w:val="18"/>
                <w:szCs w:val="18"/>
              </w:rPr>
            </w:pPr>
            <w:r>
              <w:rPr>
                <w:rFonts w:ascii="Times New Roman" w:eastAsia="Times New Roman" w:hAnsi="Times New Roman" w:cs="Times New Roman"/>
                <w:color w:val="000000"/>
                <w:spacing w:val="0"/>
                <w:w w:val="100"/>
                <w:position w:val="0"/>
                <w:sz w:val="18"/>
                <w:szCs w:val="18"/>
              </w:rPr>
              <w:t>298,008,589.31</w:t>
            </w:r>
          </w:p>
        </w:tc>
      </w:tr>
    </w:tbl>
    <w:p>
      <w:pPr>
        <w:pStyle w:val="Style41"/>
        <w:keepNext w:val="0"/>
        <w:keepLines w:val="0"/>
        <w:widowControl w:val="0"/>
        <w:shd w:val="clear" w:color="auto" w:fill="auto"/>
        <w:bidi w:val="0"/>
        <w:spacing w:before="0" w:after="0" w:line="350" w:lineRule="exact"/>
        <w:ind w:left="0" w:right="0" w:firstLine="0"/>
        <w:jc w:val="left"/>
      </w:pPr>
      <w:r>
        <w:rPr>
          <w:color w:val="000000"/>
          <w:spacing w:val="0"/>
          <w:w w:val="100"/>
          <w:position w:val="0"/>
        </w:rPr>
        <w:t>损失准备本期变动金额重大的账面余额变动情况</w:t>
      </w:r>
    </w:p>
    <w:p>
      <w:pPr>
        <w:pStyle w:val="Style41"/>
        <w:keepNext w:val="0"/>
        <w:keepLines w:val="0"/>
        <w:widowControl w:val="0"/>
        <w:shd w:val="clear" w:color="auto" w:fill="auto"/>
        <w:bidi w:val="0"/>
        <w:spacing w:before="0" w:after="0" w:line="350" w:lineRule="exact"/>
        <w:ind w:left="0" w:right="0" w:firstLine="0"/>
        <w:jc w:val="left"/>
      </w:pPr>
      <w:r>
        <w:rPr>
          <w:color w:val="000000"/>
          <w:spacing w:val="0"/>
          <w:w w:val="100"/>
          <w:position w:val="0"/>
          <w:sz w:val="18"/>
          <w:szCs w:val="18"/>
        </w:rPr>
        <w:t>寸</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41"/>
        <w:keepNext w:val="0"/>
        <w:keepLines w:val="0"/>
        <w:widowControl w:val="0"/>
        <w:shd w:val="clear" w:color="auto" w:fill="auto"/>
        <w:bidi w:val="0"/>
        <w:spacing w:before="0" w:after="140" w:line="350" w:lineRule="exact"/>
        <w:ind w:left="0" w:right="0" w:firstLine="0"/>
        <w:jc w:val="left"/>
      </w:pPr>
      <w:r>
        <w:rPr>
          <w:color w:val="000000"/>
          <w:spacing w:val="0"/>
          <w:w w:val="100"/>
          <w:position w:val="0"/>
        </w:rPr>
        <w:t>涉诉应收款项包含的以前年度累计确认毛利，本年作为非常损失转出，相应减少坏账准备</w:t>
      </w:r>
      <w:r>
        <w:rPr>
          <w:rFonts w:ascii="Times New Roman" w:eastAsia="Times New Roman" w:hAnsi="Times New Roman" w:cs="Times New Roman"/>
          <w:color w:val="000000"/>
          <w:spacing w:val="0"/>
          <w:w w:val="100"/>
          <w:position w:val="0"/>
          <w:sz w:val="18"/>
          <w:szCs w:val="18"/>
        </w:rPr>
        <w:t>8,801.43</w:t>
      </w:r>
      <w:r>
        <w:rPr>
          <w:color w:val="000000"/>
          <w:spacing w:val="0"/>
          <w:w w:val="100"/>
          <w:position w:val="0"/>
        </w:rPr>
        <w:t>万元。 按账龄披露</w:t>
      </w:r>
    </w:p>
    <w:p>
      <w:pPr>
        <w:pStyle w:val="Style41"/>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center"/>
        <w:tblLayout w:type="fixed"/>
      </w:tblPr>
      <w:tblGrid>
        <w:gridCol w:w="4790"/>
        <w:gridCol w:w="4790"/>
      </w:tblGrid>
      <w:tr>
        <w:trPr>
          <w:trHeight w:val="40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账龄</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年以内（含</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800" w:right="0" w:firstLine="0"/>
              <w:jc w:val="left"/>
              <w:rPr>
                <w:sz w:val="18"/>
                <w:szCs w:val="18"/>
              </w:rPr>
            </w:pPr>
            <w:r>
              <w:rPr>
                <w:rFonts w:ascii="Times New Roman" w:eastAsia="Times New Roman" w:hAnsi="Times New Roman" w:cs="Times New Roman"/>
                <w:color w:val="000000"/>
                <w:spacing w:val="0"/>
                <w:w w:val="100"/>
                <w:position w:val="0"/>
                <w:sz w:val="18"/>
                <w:szCs w:val="18"/>
              </w:rPr>
              <w:t>6,134,966.16</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至</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800" w:right="0" w:firstLine="0"/>
              <w:jc w:val="left"/>
              <w:rPr>
                <w:sz w:val="18"/>
                <w:szCs w:val="18"/>
              </w:rPr>
            </w:pPr>
            <w:r>
              <w:rPr>
                <w:rFonts w:ascii="Times New Roman" w:eastAsia="Times New Roman" w:hAnsi="Times New Roman" w:cs="Times New Roman"/>
                <w:color w:val="000000"/>
                <w:spacing w:val="0"/>
                <w:w w:val="100"/>
                <w:position w:val="0"/>
                <w:sz w:val="18"/>
                <w:szCs w:val="18"/>
              </w:rPr>
              <w:t>8,458,552.06</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至</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800" w:right="0" w:firstLine="0"/>
              <w:jc w:val="left"/>
              <w:rPr>
                <w:sz w:val="18"/>
                <w:szCs w:val="18"/>
              </w:rPr>
            </w:pPr>
            <w:r>
              <w:rPr>
                <w:rFonts w:ascii="Times New Roman" w:eastAsia="Times New Roman" w:hAnsi="Times New Roman" w:cs="Times New Roman"/>
                <w:color w:val="000000"/>
                <w:spacing w:val="0"/>
                <w:w w:val="100"/>
                <w:position w:val="0"/>
                <w:sz w:val="18"/>
                <w:szCs w:val="18"/>
              </w:rPr>
              <w:t>8,966,248.60</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3</w:t>
            </w:r>
            <w:r>
              <w:rPr>
                <w:color w:val="000000"/>
                <w:spacing w:val="0"/>
                <w:w w:val="100"/>
                <w:position w:val="0"/>
              </w:rPr>
              <w:t>至</w:t>
            </w:r>
            <w:r>
              <w:rPr>
                <w:rFonts w:ascii="Times New Roman" w:eastAsia="Times New Roman" w:hAnsi="Times New Roman" w:cs="Times New Roman"/>
                <w:color w:val="000000"/>
                <w:spacing w:val="0"/>
                <w:w w:val="100"/>
                <w:position w:val="0"/>
                <w:sz w:val="18"/>
                <w:szCs w:val="18"/>
              </w:rPr>
              <w:t>4</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284,044,314.23</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4</w:t>
            </w:r>
            <w:r>
              <w:rPr>
                <w:color w:val="000000"/>
                <w:spacing w:val="0"/>
                <w:w w:val="100"/>
                <w:position w:val="0"/>
              </w:rPr>
              <w:t>至</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800" w:right="0" w:firstLine="0"/>
              <w:jc w:val="left"/>
              <w:rPr>
                <w:sz w:val="18"/>
                <w:szCs w:val="18"/>
              </w:rPr>
            </w:pPr>
            <w:r>
              <w:rPr>
                <w:rFonts w:ascii="Times New Roman" w:eastAsia="Times New Roman" w:hAnsi="Times New Roman" w:cs="Times New Roman"/>
                <w:color w:val="000000"/>
                <w:spacing w:val="0"/>
                <w:w w:val="100"/>
                <w:position w:val="0"/>
                <w:sz w:val="18"/>
                <w:szCs w:val="18"/>
              </w:rPr>
              <w:t>5,780,824.00</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5</w:t>
            </w:r>
            <w:r>
              <w:rPr>
                <w:color w:val="000000"/>
                <w:spacing w:val="0"/>
                <w:w w:val="100"/>
                <w:position w:val="0"/>
              </w:rPr>
              <w:t>年以上</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800" w:right="0" w:firstLine="0"/>
              <w:jc w:val="left"/>
              <w:rPr>
                <w:sz w:val="18"/>
                <w:szCs w:val="18"/>
              </w:rPr>
            </w:pPr>
            <w:r>
              <w:rPr>
                <w:rFonts w:ascii="Times New Roman" w:eastAsia="Times New Roman" w:hAnsi="Times New Roman" w:cs="Times New Roman"/>
                <w:color w:val="000000"/>
                <w:spacing w:val="0"/>
                <w:w w:val="100"/>
                <w:position w:val="0"/>
                <w:sz w:val="18"/>
                <w:szCs w:val="18"/>
              </w:rPr>
              <w:t>4,926,493.71</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318,311,398.76</w:t>
            </w:r>
          </w:p>
        </w:tc>
      </w:tr>
    </w:tbl>
    <w:p>
      <w:pPr>
        <w:widowControl w:val="0"/>
        <w:spacing w:after="319" w:line="1" w:lineRule="exact"/>
      </w:pPr>
    </w:p>
    <w:p>
      <w:pPr>
        <w:pStyle w:val="Style248"/>
        <w:keepNext/>
        <w:keepLines/>
        <w:widowControl w:val="0"/>
        <w:shd w:val="clear" w:color="auto" w:fill="auto"/>
        <w:bidi w:val="0"/>
        <w:spacing w:before="0" w:line="240" w:lineRule="auto"/>
        <w:ind w:left="0" w:right="0" w:firstLine="0"/>
        <w:jc w:val="left"/>
      </w:pPr>
      <w:bookmarkStart w:id="1339" w:name="bookmark1339"/>
      <w:bookmarkStart w:id="1340" w:name="bookmark1340"/>
      <w:bookmarkStart w:id="1341" w:name="bookmark1341"/>
      <w:bookmarkStart w:id="1342" w:name="bookmark1342"/>
      <w:r>
        <w:rPr>
          <w:color w:val="000000"/>
          <w:spacing w:val="0"/>
          <w:w w:val="100"/>
          <w:position w:val="0"/>
        </w:rPr>
        <w:t>4</w:t>
      </w:r>
      <w:bookmarkEnd w:id="1341"/>
      <w:r>
        <w:rPr>
          <w:color w:val="000000"/>
          <w:spacing w:val="0"/>
          <w:w w:val="100"/>
          <w:position w:val="0"/>
        </w:rPr>
        <w:t>）本期计提、收回或转回的坏账准备情况</w:t>
      </w:r>
      <w:bookmarkEnd w:id="1339"/>
      <w:bookmarkEnd w:id="1340"/>
      <w:bookmarkEnd w:id="1342"/>
    </w:p>
    <w:p>
      <w:pPr>
        <w:pStyle w:val="Style41"/>
        <w:keepNext w:val="0"/>
        <w:keepLines w:val="0"/>
        <w:widowControl w:val="0"/>
        <w:shd w:val="clear" w:color="auto" w:fill="auto"/>
        <w:bidi w:val="0"/>
        <w:spacing w:before="0" w:after="140" w:line="240" w:lineRule="auto"/>
        <w:ind w:left="0" w:right="0" w:firstLine="0"/>
        <w:jc w:val="left"/>
      </w:pPr>
      <w:r>
        <w:rPr>
          <w:color w:val="000000"/>
          <w:spacing w:val="0"/>
          <w:w w:val="100"/>
          <w:position w:val="0"/>
        </w:rPr>
        <w:t>本期计提坏账准备情况：</w:t>
      </w:r>
    </w:p>
    <w:p>
      <w:pPr>
        <w:pStyle w:val="Style41"/>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center"/>
        <w:tblLayout w:type="fixed"/>
      </w:tblPr>
      <w:tblGrid>
        <w:gridCol w:w="1421"/>
        <w:gridCol w:w="1421"/>
        <w:gridCol w:w="1272"/>
        <w:gridCol w:w="1421"/>
        <w:gridCol w:w="1416"/>
        <w:gridCol w:w="1133"/>
        <w:gridCol w:w="1498"/>
      </w:tblGrid>
      <w:tr>
        <w:trPr>
          <w:trHeight w:val="408" w:hRule="exact"/>
        </w:trPr>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类别</w:t>
            </w:r>
          </w:p>
        </w:tc>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c>
          <w:tcPr>
            <w:gridSpan w:val="4"/>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本期变动金额</w:t>
            </w:r>
          </w:p>
        </w:tc>
        <w:tc>
          <w:tcPr>
            <w:vMerge w:val="restart"/>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340"/>
              <w:jc w:val="left"/>
            </w:pPr>
            <w:r>
              <w:rPr>
                <w:color w:val="000000"/>
                <w:spacing w:val="0"/>
                <w:w w:val="100"/>
                <w:position w:val="0"/>
              </w:rPr>
              <w:t>期末余额</w:t>
            </w:r>
          </w:p>
        </w:tc>
      </w:tr>
      <w:tr>
        <w:trPr>
          <w:trHeight w:val="403" w:hRule="exact"/>
        </w:trPr>
        <w:tc>
          <w:tcPr>
            <w:vMerge/>
            <w:tcBorders>
              <w:left w:val="single" w:sz="4"/>
            </w:tcBorders>
            <w:shd w:val="clear" w:color="auto" w:fill="D7D7D7"/>
            <w:vAlign w:val="center"/>
          </w:tcPr>
          <w:p>
            <w:pPr/>
          </w:p>
        </w:tc>
        <w:tc>
          <w:tcPr>
            <w:vMerge/>
            <w:tcBorders>
              <w:left w:val="single" w:sz="4"/>
            </w:tcBorders>
            <w:shd w:val="clear" w:color="auto" w:fill="D7D7D7"/>
            <w:vAlign w:val="center"/>
          </w:tcPr>
          <w:p>
            <w:pP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计提</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收回或转回</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核销</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其他</w:t>
            </w:r>
          </w:p>
        </w:tc>
        <w:tc>
          <w:tcPr>
            <w:vMerge/>
            <w:tcBorders>
              <w:left w:val="single" w:sz="4"/>
              <w:right w:val="single" w:sz="4"/>
            </w:tcBorders>
            <w:shd w:val="clear" w:color="auto" w:fill="D7D7D7"/>
            <w:vAlign w:val="center"/>
          </w:tcPr>
          <w:p>
            <w:pPr/>
          </w:p>
        </w:tc>
      </w:tr>
      <w:tr>
        <w:trPr>
          <w:trHeight w:val="41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按单项计提坏账</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rPr>
                <w:sz w:val="18"/>
                <w:szCs w:val="18"/>
              </w:rPr>
            </w:pPr>
            <w:r>
              <w:rPr>
                <w:rFonts w:ascii="Times New Roman" w:eastAsia="Times New Roman" w:hAnsi="Times New Roman" w:cs="Times New Roman"/>
                <w:color w:val="000000"/>
                <w:spacing w:val="0"/>
                <w:w w:val="100"/>
                <w:position w:val="0"/>
                <w:sz w:val="18"/>
                <w:szCs w:val="18"/>
              </w:rPr>
              <w:t>378,725,775.66</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10,056,140.94</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rPr>
                <w:sz w:val="18"/>
                <w:szCs w:val="18"/>
              </w:rPr>
            </w:pPr>
            <w:r>
              <w:rPr>
                <w:rFonts w:ascii="Times New Roman" w:eastAsia="Times New Roman" w:hAnsi="Times New Roman" w:cs="Times New Roman"/>
                <w:color w:val="000000"/>
                <w:spacing w:val="0"/>
                <w:w w:val="100"/>
                <w:position w:val="0"/>
                <w:sz w:val="18"/>
                <w:szCs w:val="18"/>
              </w:rPr>
              <w:t>3,417,028.32</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88,014,356.31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rPr>
                <w:sz w:val="18"/>
                <w:szCs w:val="18"/>
              </w:rPr>
            </w:pPr>
            <w:r>
              <w:rPr>
                <w:rFonts w:ascii="Times New Roman" w:eastAsia="Times New Roman" w:hAnsi="Times New Roman" w:cs="Times New Roman"/>
                <w:color w:val="000000"/>
                <w:spacing w:val="0"/>
                <w:w w:val="100"/>
                <w:position w:val="0"/>
                <w:sz w:val="18"/>
                <w:szCs w:val="18"/>
              </w:rPr>
              <w:t>31,745.76</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297,382,277.73</w:t>
            </w:r>
          </w:p>
        </w:tc>
      </w:tr>
    </w:tbl>
    <w:p>
      <w:pPr>
        <w:widowControl w:val="0"/>
        <w:spacing w:line="1" w:lineRule="exact"/>
      </w:pPr>
      <w:r>
        <w:br w:type="page"/>
      </w:r>
    </w:p>
    <w:tbl>
      <w:tblPr>
        <w:tblOverlap w:val="never"/>
        <w:jc w:val="center"/>
        <w:tblLayout w:type="fixed"/>
      </w:tblPr>
      <w:tblGrid>
        <w:gridCol w:w="1421"/>
        <w:gridCol w:w="1421"/>
        <w:gridCol w:w="1272"/>
        <w:gridCol w:w="1421"/>
        <w:gridCol w:w="1416"/>
        <w:gridCol w:w="1133"/>
        <w:gridCol w:w="1498"/>
      </w:tblGrid>
      <w:tr>
        <w:trPr>
          <w:trHeight w:val="43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22" w:lineRule="exact"/>
              <w:ind w:left="0" w:right="0" w:firstLine="0"/>
              <w:jc w:val="left"/>
            </w:pPr>
            <w:r>
              <w:rPr>
                <w:color w:val="000000"/>
                <w:spacing w:val="0"/>
                <w:w w:val="100"/>
                <w:position w:val="0"/>
              </w:rPr>
              <w:t>按组合计提坏账 准备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888,179.36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-193,775.65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rPr>
                <w:sz w:val="18"/>
                <w:szCs w:val="18"/>
              </w:rPr>
            </w:pPr>
            <w:r>
              <w:rPr>
                <w:rFonts w:ascii="Times New Roman" w:eastAsia="Times New Roman" w:hAnsi="Times New Roman" w:cs="Times New Roman"/>
                <w:color w:val="000000"/>
                <w:spacing w:val="0"/>
                <w:w w:val="100"/>
                <w:position w:val="0"/>
                <w:sz w:val="18"/>
                <w:szCs w:val="18"/>
              </w:rPr>
              <w:t>-68,092.13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626,311.58</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rPr>
                <w:sz w:val="18"/>
                <w:szCs w:val="18"/>
              </w:rPr>
            </w:pPr>
            <w:r>
              <w:rPr>
                <w:rFonts w:ascii="Times New Roman" w:eastAsia="Times New Roman" w:hAnsi="Times New Roman" w:cs="Times New Roman"/>
                <w:color w:val="000000"/>
                <w:spacing w:val="0"/>
                <w:w w:val="100"/>
                <w:position w:val="0"/>
                <w:sz w:val="18"/>
                <w:szCs w:val="18"/>
              </w:rPr>
              <w:t>379,613,955.02</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9,862,365.29</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3,417,028.32</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88,014,356.31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rPr>
                <w:sz w:val="18"/>
                <w:szCs w:val="18"/>
              </w:rPr>
            </w:pPr>
            <w:r>
              <w:rPr>
                <w:rFonts w:ascii="Times New Roman" w:eastAsia="Times New Roman" w:hAnsi="Times New Roman" w:cs="Times New Roman"/>
                <w:color w:val="000000"/>
                <w:spacing w:val="0"/>
                <w:w w:val="100"/>
                <w:position w:val="0"/>
                <w:sz w:val="18"/>
                <w:szCs w:val="18"/>
              </w:rPr>
              <w:t>-36,346.37</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298,008,589.31</w:t>
            </w:r>
          </w:p>
        </w:tc>
      </w:tr>
    </w:tbl>
    <w:p>
      <w:pPr>
        <w:widowControl w:val="0"/>
        <w:spacing w:after="319" w:line="1" w:lineRule="exact"/>
      </w:pPr>
    </w:p>
    <w:p>
      <w:pPr>
        <w:pStyle w:val="Style248"/>
        <w:keepNext/>
        <w:keepLines/>
        <w:widowControl w:val="0"/>
        <w:shd w:val="clear" w:color="auto" w:fill="auto"/>
        <w:bidi w:val="0"/>
        <w:spacing w:before="0" w:line="240" w:lineRule="auto"/>
        <w:ind w:left="0" w:right="0" w:firstLine="0"/>
        <w:jc w:val="left"/>
      </w:pPr>
      <w:bookmarkStart w:id="1343" w:name="bookmark1343"/>
      <w:bookmarkStart w:id="1344" w:name="bookmark1344"/>
      <w:bookmarkStart w:id="1345" w:name="bookmark1345"/>
      <w:bookmarkStart w:id="1346" w:name="bookmark1346"/>
      <w:r>
        <w:rPr>
          <w:color w:val="000000"/>
          <w:spacing w:val="0"/>
          <w:w w:val="100"/>
          <w:position w:val="0"/>
        </w:rPr>
        <w:t>5</w:t>
      </w:r>
      <w:bookmarkEnd w:id="1345"/>
      <w:r>
        <w:rPr>
          <w:color w:val="000000"/>
          <w:spacing w:val="0"/>
          <w:w w:val="100"/>
          <w:position w:val="0"/>
        </w:rPr>
        <w:t>）本期实际核销的其他应收款情况</w:t>
      </w:r>
      <w:bookmarkEnd w:id="1343"/>
      <w:bookmarkEnd w:id="1344"/>
      <w:bookmarkEnd w:id="1346"/>
    </w:p>
    <w:p>
      <w:pPr>
        <w:pStyle w:val="Style41"/>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4786"/>
        <w:gridCol w:w="4795"/>
      </w:tblGrid>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核销金额</w:t>
            </w:r>
          </w:p>
        </w:tc>
      </w:tr>
      <w:tr>
        <w:trPr>
          <w:trHeight w:val="41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实际核销的其他应收款项（原值）</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97,793,729.23</w:t>
            </w:r>
          </w:p>
        </w:tc>
      </w:tr>
    </w:tbl>
    <w:p>
      <w:pPr>
        <w:widowControl w:val="0"/>
        <w:spacing w:after="439" w:line="1" w:lineRule="exact"/>
      </w:pPr>
    </w:p>
    <w:p>
      <w:pPr>
        <w:pStyle w:val="Style41"/>
        <w:keepNext w:val="0"/>
        <w:keepLines w:val="0"/>
        <w:widowControl w:val="0"/>
        <w:shd w:val="clear" w:color="auto" w:fill="auto"/>
        <w:bidi w:val="0"/>
        <w:spacing w:before="0" w:after="140" w:line="240" w:lineRule="auto"/>
        <w:ind w:left="0" w:right="0" w:firstLine="0"/>
        <w:jc w:val="left"/>
      </w:pPr>
      <w:r>
        <w:rPr>
          <w:color w:val="000000"/>
          <w:spacing w:val="0"/>
          <w:w w:val="100"/>
          <w:position w:val="0"/>
        </w:rPr>
        <w:t>其中重要的其他应收款核销情况:</w:t>
      </w:r>
    </w:p>
    <w:p>
      <w:pPr>
        <w:pStyle w:val="Style41"/>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1248"/>
        <w:gridCol w:w="1416"/>
        <w:gridCol w:w="1277"/>
        <w:gridCol w:w="2554"/>
        <w:gridCol w:w="1877"/>
        <w:gridCol w:w="1210"/>
      </w:tblGrid>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260"/>
              <w:jc w:val="left"/>
            </w:pPr>
            <w:r>
              <w:rPr>
                <w:color w:val="000000"/>
                <w:spacing w:val="0"/>
                <w:w w:val="100"/>
                <w:position w:val="0"/>
              </w:rPr>
              <w:t>单位名称</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其他应收款性质</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核销金额</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核销原因</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履行的核销程序</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款项是否由关 联交易产生</w:t>
            </w:r>
          </w:p>
        </w:tc>
      </w:tr>
      <w:tr>
        <w:trPr>
          <w:trHeight w:val="196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5" w:lineRule="exact"/>
              <w:ind w:left="0" w:right="0" w:firstLine="0"/>
              <w:jc w:val="left"/>
            </w:pPr>
            <w:r>
              <w:rPr>
                <w:color w:val="000000"/>
                <w:spacing w:val="0"/>
                <w:w w:val="100"/>
                <w:position w:val="0"/>
              </w:rPr>
              <w:t>涉诉应收款（大 唐电信科技股 份有限公司旗 下子公司）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涉诉应收款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97,793,729.23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1" w:lineRule="exact"/>
              <w:ind w:left="0" w:right="0" w:firstLine="0"/>
              <w:jc w:val="left"/>
            </w:pPr>
            <w:r>
              <w:rPr>
                <w:color w:val="000000"/>
                <w:spacing w:val="0"/>
                <w:w w:val="100"/>
                <w:position w:val="0"/>
              </w:rPr>
              <w:t xml:space="preserve">涉诉应收款项包含的以前年度 累计确认毛利，本年作为非常损 失转出，相应减少应收款项原值 </w:t>
            </w:r>
            <w:r>
              <w:rPr>
                <w:rFonts w:ascii="Times New Roman" w:eastAsia="Times New Roman" w:hAnsi="Times New Roman" w:cs="Times New Roman"/>
                <w:color w:val="000000"/>
                <w:spacing w:val="0"/>
                <w:w w:val="100"/>
                <w:position w:val="0"/>
                <w:sz w:val="18"/>
                <w:szCs w:val="18"/>
              </w:rPr>
              <w:t>97,793,729.23</w:t>
            </w:r>
            <w:r>
              <w:rPr>
                <w:color w:val="000000"/>
                <w:spacing w:val="0"/>
                <w:w w:val="100"/>
                <w:position w:val="0"/>
              </w:rPr>
              <w:t xml:space="preserve">元，坏账准备 </w:t>
            </w:r>
            <w:r>
              <w:rPr>
                <w:rFonts w:ascii="Times New Roman" w:eastAsia="Times New Roman" w:hAnsi="Times New Roman" w:cs="Times New Roman"/>
                <w:color w:val="000000"/>
                <w:spacing w:val="0"/>
                <w:w w:val="100"/>
                <w:position w:val="0"/>
                <w:sz w:val="18"/>
                <w:szCs w:val="18"/>
              </w:rPr>
              <w:t>88,014,356.31</w:t>
            </w:r>
            <w:r>
              <w:rPr>
                <w:color w:val="000000"/>
                <w:spacing w:val="0"/>
                <w:w w:val="100"/>
                <w:position w:val="0"/>
              </w:rPr>
              <w:t xml:space="preserve">元。详见附注七、 </w:t>
            </w:r>
            <w:r>
              <w:rPr>
                <w:rFonts w:ascii="Times New Roman" w:eastAsia="Times New Roman" w:hAnsi="Times New Roman" w:cs="Times New Roman"/>
                <w:color w:val="000000"/>
                <w:spacing w:val="0"/>
                <w:w w:val="100"/>
                <w:position w:val="0"/>
                <w:sz w:val="18"/>
                <w:szCs w:val="18"/>
              </w:rPr>
              <w:t>75</w:t>
            </w:r>
            <w:r>
              <w:rPr>
                <w:color w:val="000000"/>
                <w:spacing w:val="0"/>
                <w:w w:val="100"/>
                <w:position w:val="0"/>
              </w:rPr>
              <w: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董事会审议通过。</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97,793,729.23</w:t>
            </w:r>
          </w:p>
        </w:tc>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540"/>
              <w:jc w:val="left"/>
              <w:rPr>
                <w:sz w:val="18"/>
                <w:szCs w:val="18"/>
              </w:rPr>
            </w:pPr>
            <w:r>
              <w:rPr>
                <w:rFonts w:ascii="Times New Roman" w:eastAsia="Times New Roman" w:hAnsi="Times New Roman" w:cs="Times New Roman"/>
                <w:color w:val="000000"/>
                <w:spacing w:val="0"/>
                <w:w w:val="100"/>
                <w:position w:val="0"/>
                <w:sz w:val="18"/>
                <w:szCs w:val="18"/>
              </w:rPr>
              <w:t>--</w:t>
            </w:r>
          </w:p>
        </w:tc>
      </w:tr>
    </w:tbl>
    <w:p>
      <w:pPr>
        <w:widowControl w:val="0"/>
        <w:spacing w:after="679" w:line="1" w:lineRule="exact"/>
      </w:pPr>
    </w:p>
    <w:p>
      <w:pPr>
        <w:pStyle w:val="Style248"/>
        <w:keepNext/>
        <w:keepLines/>
        <w:widowControl w:val="0"/>
        <w:shd w:val="clear" w:color="auto" w:fill="auto"/>
        <w:bidi w:val="0"/>
        <w:spacing w:before="0" w:line="240" w:lineRule="auto"/>
        <w:ind w:left="0" w:right="0" w:firstLine="0"/>
        <w:jc w:val="left"/>
      </w:pPr>
      <w:bookmarkStart w:id="1347" w:name="bookmark1347"/>
      <w:bookmarkStart w:id="1348" w:name="bookmark1348"/>
      <w:bookmarkStart w:id="1349" w:name="bookmark1349"/>
      <w:bookmarkStart w:id="1350" w:name="bookmark1350"/>
      <w:r>
        <w:rPr>
          <w:color w:val="000000"/>
          <w:spacing w:val="0"/>
          <w:w w:val="100"/>
          <w:position w:val="0"/>
        </w:rPr>
        <w:t>6</w:t>
      </w:r>
      <w:bookmarkEnd w:id="1349"/>
      <w:r>
        <w:rPr>
          <w:color w:val="000000"/>
          <w:spacing w:val="0"/>
          <w:w w:val="100"/>
          <w:position w:val="0"/>
        </w:rPr>
        <w:t>）按欠款方归集的期末余额前五名的其他应收款情况</w:t>
      </w:r>
      <w:bookmarkEnd w:id="1347"/>
      <w:bookmarkEnd w:id="1348"/>
      <w:bookmarkEnd w:id="1350"/>
    </w:p>
    <w:p>
      <w:pPr>
        <w:pStyle w:val="Style41"/>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2131"/>
        <w:gridCol w:w="1560"/>
        <w:gridCol w:w="1416"/>
        <w:gridCol w:w="1421"/>
        <w:gridCol w:w="1699"/>
        <w:gridCol w:w="1354"/>
      </w:tblGrid>
      <w:tr>
        <w:trPr>
          <w:trHeight w:val="720"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700"/>
              <w:jc w:val="left"/>
            </w:pPr>
            <w:r>
              <w:rPr>
                <w:color w:val="000000"/>
                <w:spacing w:val="0"/>
                <w:w w:val="100"/>
                <w:position w:val="0"/>
              </w:rPr>
              <w:t>单位名称</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款项的性质</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340"/>
              <w:jc w:val="left"/>
            </w:pPr>
            <w:r>
              <w:rPr>
                <w:color w:val="000000"/>
                <w:spacing w:val="0"/>
                <w:w w:val="100"/>
                <w:position w:val="0"/>
              </w:rPr>
              <w:t>期末余额</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账龄</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占其他应收款期末余 额合计数的比例</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坏账准备期末余 额</w:t>
            </w: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涉诉应收款（大唐电信科技 股份有限公司旗下子公司）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涉诉应收款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rPr>
                <w:sz w:val="18"/>
                <w:szCs w:val="18"/>
              </w:rPr>
            </w:pPr>
            <w:r>
              <w:rPr>
                <w:rFonts w:ascii="Times New Roman" w:eastAsia="Times New Roman" w:hAnsi="Times New Roman" w:cs="Times New Roman"/>
                <w:color w:val="000000"/>
                <w:spacing w:val="0"/>
                <w:w w:val="100"/>
                <w:position w:val="0"/>
                <w:sz w:val="18"/>
                <w:szCs w:val="18"/>
              </w:rPr>
              <w:t>275,595,809.35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3-4</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86.58%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275,595,809.35</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left"/>
            </w:pPr>
            <w:r>
              <w:rPr>
                <w:color w:val="000000"/>
                <w:spacing w:val="0"/>
                <w:w w:val="100"/>
                <w:position w:val="0"/>
              </w:rPr>
              <w:t>北京神州泰岳智能数据技</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术有限公司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原子公司欠款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15,000,000.00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1-4</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4.71%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both"/>
              <w:rPr>
                <w:sz w:val="18"/>
                <w:szCs w:val="18"/>
              </w:rPr>
            </w:pPr>
            <w:r>
              <w:rPr>
                <w:rFonts w:ascii="Times New Roman" w:eastAsia="Times New Roman" w:hAnsi="Times New Roman" w:cs="Times New Roman"/>
                <w:color w:val="000000"/>
                <w:spacing w:val="0"/>
                <w:w w:val="100"/>
                <w:position w:val="0"/>
                <w:sz w:val="18"/>
                <w:szCs w:val="18"/>
              </w:rPr>
              <w:t>7,500,000.00</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广州短讯神州网络技术有 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原子公司欠款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rPr>
                <w:sz w:val="18"/>
                <w:szCs w:val="18"/>
              </w:rPr>
            </w:pPr>
            <w:r>
              <w:rPr>
                <w:rFonts w:ascii="Times New Roman" w:eastAsia="Times New Roman" w:hAnsi="Times New Roman" w:cs="Times New Roman"/>
                <w:color w:val="000000"/>
                <w:spacing w:val="0"/>
                <w:w w:val="100"/>
                <w:position w:val="0"/>
                <w:sz w:val="18"/>
                <w:szCs w:val="18"/>
              </w:rPr>
              <w:t>9,186,478.37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1-5</w:t>
            </w:r>
            <w:r>
              <w:rPr>
                <w:color w:val="000000"/>
                <w:spacing w:val="0"/>
                <w:w w:val="100"/>
                <w:position w:val="0"/>
              </w:rPr>
              <w:t>年及</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年以上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2.89%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both"/>
              <w:rPr>
                <w:sz w:val="18"/>
                <w:szCs w:val="18"/>
              </w:rPr>
            </w:pPr>
            <w:r>
              <w:rPr>
                <w:rFonts w:ascii="Times New Roman" w:eastAsia="Times New Roman" w:hAnsi="Times New Roman" w:cs="Times New Roman"/>
                <w:color w:val="000000"/>
                <w:spacing w:val="0"/>
                <w:w w:val="100"/>
                <w:position w:val="0"/>
                <w:sz w:val="18"/>
                <w:szCs w:val="18"/>
              </w:rPr>
              <w:t>9,186,478.37</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横琴聚众合力投资企业（有 限合伙）</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股权转让款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rPr>
                <w:sz w:val="18"/>
                <w:szCs w:val="18"/>
              </w:rPr>
            </w:pPr>
            <w:r>
              <w:rPr>
                <w:rFonts w:ascii="Times New Roman" w:eastAsia="Times New Roman" w:hAnsi="Times New Roman" w:cs="Times New Roman"/>
                <w:color w:val="000000"/>
                <w:spacing w:val="0"/>
                <w:w w:val="100"/>
                <w:position w:val="0"/>
                <w:sz w:val="18"/>
                <w:szCs w:val="18"/>
              </w:rPr>
              <w:t>2,265,000.00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2-3</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0.71%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both"/>
              <w:rPr>
                <w:sz w:val="18"/>
                <w:szCs w:val="18"/>
              </w:rPr>
            </w:pPr>
            <w:r>
              <w:rPr>
                <w:rFonts w:ascii="Times New Roman" w:eastAsia="Times New Roman" w:hAnsi="Times New Roman" w:cs="Times New Roman"/>
                <w:color w:val="000000"/>
                <w:spacing w:val="0"/>
                <w:w w:val="100"/>
                <w:position w:val="0"/>
                <w:sz w:val="18"/>
                <w:szCs w:val="18"/>
              </w:rPr>
              <w:t>1,812,000.00</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北京农业职业学院</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履约保证金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rPr>
                <w:sz w:val="18"/>
                <w:szCs w:val="18"/>
              </w:rPr>
            </w:pPr>
            <w:r>
              <w:rPr>
                <w:rFonts w:ascii="Times New Roman" w:eastAsia="Times New Roman" w:hAnsi="Times New Roman" w:cs="Times New Roman"/>
                <w:color w:val="000000"/>
                <w:spacing w:val="0"/>
                <w:w w:val="100"/>
                <w:position w:val="0"/>
                <w:sz w:val="18"/>
                <w:szCs w:val="18"/>
              </w:rPr>
              <w:t>1,130,557.40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3</w:t>
            </w:r>
            <w:r>
              <w:rPr>
                <w:color w:val="000000"/>
                <w:spacing w:val="0"/>
                <w:w w:val="100"/>
                <w:position w:val="0"/>
              </w:rPr>
              <w:t>年以内</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0.36%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56,527.87</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rPr>
                <w:sz w:val="18"/>
                <w:szCs w:val="18"/>
              </w:rPr>
            </w:pPr>
            <w:r>
              <w:rPr>
                <w:rFonts w:ascii="Times New Roman" w:eastAsia="Times New Roman" w:hAnsi="Times New Roman" w:cs="Times New Roman"/>
                <w:color w:val="000000"/>
                <w:spacing w:val="0"/>
                <w:w w:val="100"/>
                <w:position w:val="0"/>
                <w:sz w:val="18"/>
                <w:szCs w:val="18"/>
              </w:rPr>
              <w:t>303,177,845.12</w:t>
            </w:r>
          </w:p>
        </w:tc>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64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95.25%</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294,150,815.59</w:t>
            </w:r>
          </w:p>
        </w:tc>
      </w:tr>
    </w:tbl>
    <w:p>
      <w:pPr>
        <w:pStyle w:val="Style248"/>
        <w:keepNext/>
        <w:keepLines/>
        <w:widowControl w:val="0"/>
        <w:shd w:val="clear" w:color="auto" w:fill="auto"/>
        <w:tabs>
          <w:tab w:pos="392" w:val="left"/>
        </w:tabs>
        <w:bidi w:val="0"/>
        <w:spacing w:before="0" w:line="240" w:lineRule="auto"/>
        <w:ind w:left="0" w:right="0" w:firstLine="0"/>
        <w:jc w:val="left"/>
      </w:pPr>
      <w:bookmarkStart w:id="1351" w:name="bookmark1351"/>
      <w:bookmarkStart w:id="1352" w:name="bookmark1352"/>
      <w:bookmarkStart w:id="1353" w:name="bookmark1353"/>
      <w:bookmarkStart w:id="1354" w:name="bookmark1354"/>
      <w:r>
        <w:rPr>
          <w:color w:val="000000"/>
          <w:spacing w:val="0"/>
          <w:w w:val="100"/>
          <w:position w:val="0"/>
        </w:rPr>
        <w:t>7</w:t>
      </w:r>
      <w:bookmarkEnd w:id="1353"/>
      <w:r>
        <w:rPr>
          <w:color w:val="000000"/>
          <w:spacing w:val="0"/>
          <w:w w:val="100"/>
          <w:position w:val="0"/>
        </w:rPr>
        <w:t>）</w:t>
        <w:tab/>
        <w:t>涉及政府补助的应收款项</w:t>
      </w:r>
      <w:bookmarkEnd w:id="1351"/>
      <w:bookmarkEnd w:id="1352"/>
      <w:bookmarkEnd w:id="1354"/>
    </w:p>
    <w:p>
      <w:pPr>
        <w:pStyle w:val="Style41"/>
        <w:keepNext w:val="0"/>
        <w:keepLines w:val="0"/>
        <w:widowControl w:val="0"/>
        <w:shd w:val="clear" w:color="auto" w:fill="auto"/>
        <w:bidi w:val="0"/>
        <w:spacing w:before="0" w:after="400" w:line="240" w:lineRule="auto"/>
        <w:ind w:left="0" w:right="0"/>
        <w:jc w:val="left"/>
      </w:pPr>
      <w:r>
        <w:rPr>
          <w:color w:val="000000"/>
          <w:spacing w:val="0"/>
          <w:w w:val="100"/>
          <w:position w:val="0"/>
        </w:rPr>
        <w:t>无。</w:t>
      </w:r>
    </w:p>
    <w:p>
      <w:pPr>
        <w:pStyle w:val="Style248"/>
        <w:keepNext/>
        <w:keepLines/>
        <w:widowControl w:val="0"/>
        <w:shd w:val="clear" w:color="auto" w:fill="auto"/>
        <w:tabs>
          <w:tab w:pos="397" w:val="left"/>
        </w:tabs>
        <w:bidi w:val="0"/>
        <w:spacing w:before="0" w:line="240" w:lineRule="auto"/>
        <w:ind w:left="0" w:right="0" w:firstLine="0"/>
        <w:jc w:val="left"/>
      </w:pPr>
      <w:bookmarkStart w:id="1355" w:name="bookmark1355"/>
      <w:bookmarkStart w:id="1356" w:name="bookmark1356"/>
      <w:bookmarkStart w:id="1357" w:name="bookmark1357"/>
      <w:bookmarkStart w:id="1358" w:name="bookmark1358"/>
      <w:r>
        <w:rPr>
          <w:color w:val="000000"/>
          <w:spacing w:val="0"/>
          <w:w w:val="100"/>
          <w:position w:val="0"/>
        </w:rPr>
        <w:t>8</w:t>
      </w:r>
      <w:bookmarkEnd w:id="1357"/>
      <w:r>
        <w:rPr>
          <w:color w:val="000000"/>
          <w:spacing w:val="0"/>
          <w:w w:val="100"/>
          <w:position w:val="0"/>
        </w:rPr>
        <w:t>）</w:t>
        <w:tab/>
        <w:t>因金融资产转移而终止确认的其他应收款</w:t>
      </w:r>
      <w:bookmarkEnd w:id="1355"/>
      <w:bookmarkEnd w:id="1356"/>
      <w:bookmarkEnd w:id="1358"/>
    </w:p>
    <w:p>
      <w:pPr>
        <w:pStyle w:val="Style41"/>
        <w:keepNext w:val="0"/>
        <w:keepLines w:val="0"/>
        <w:widowControl w:val="0"/>
        <w:shd w:val="clear" w:color="auto" w:fill="auto"/>
        <w:bidi w:val="0"/>
        <w:spacing w:before="0" w:after="400" w:line="240" w:lineRule="auto"/>
        <w:ind w:left="0" w:right="0"/>
        <w:jc w:val="left"/>
      </w:pPr>
      <w:r>
        <w:rPr>
          <w:color w:val="000000"/>
          <w:spacing w:val="0"/>
          <w:w w:val="100"/>
          <w:position w:val="0"/>
        </w:rPr>
        <w:t>无。</w:t>
      </w:r>
    </w:p>
    <w:p>
      <w:pPr>
        <w:pStyle w:val="Style248"/>
        <w:keepNext/>
        <w:keepLines/>
        <w:widowControl w:val="0"/>
        <w:shd w:val="clear" w:color="auto" w:fill="auto"/>
        <w:tabs>
          <w:tab w:pos="397" w:val="left"/>
        </w:tabs>
        <w:bidi w:val="0"/>
        <w:spacing w:before="0" w:line="240" w:lineRule="auto"/>
        <w:ind w:left="0" w:right="0" w:firstLine="0"/>
        <w:jc w:val="left"/>
      </w:pPr>
      <w:bookmarkStart w:id="1359" w:name="bookmark1359"/>
      <w:bookmarkStart w:id="1360" w:name="bookmark1360"/>
      <w:bookmarkStart w:id="1361" w:name="bookmark1361"/>
      <w:bookmarkStart w:id="1362" w:name="bookmark1362"/>
      <w:r>
        <w:rPr>
          <w:color w:val="000000"/>
          <w:spacing w:val="0"/>
          <w:w w:val="100"/>
          <w:position w:val="0"/>
        </w:rPr>
        <w:t>9</w:t>
      </w:r>
      <w:bookmarkEnd w:id="1361"/>
      <w:r>
        <w:rPr>
          <w:color w:val="000000"/>
          <w:spacing w:val="0"/>
          <w:w w:val="100"/>
          <w:position w:val="0"/>
        </w:rPr>
        <w:t>）</w:t>
        <w:tab/>
        <w:t>转移其他应收款且继续涉入形成的资产、负债金额</w:t>
      </w:r>
      <w:bookmarkEnd w:id="1359"/>
      <w:bookmarkEnd w:id="1360"/>
      <w:bookmarkEnd w:id="1362"/>
    </w:p>
    <w:p>
      <w:pPr>
        <w:pStyle w:val="Style41"/>
        <w:keepNext w:val="0"/>
        <w:keepLines w:val="0"/>
        <w:widowControl w:val="0"/>
        <w:shd w:val="clear" w:color="auto" w:fill="auto"/>
        <w:bidi w:val="0"/>
        <w:spacing w:before="0" w:after="400" w:line="240" w:lineRule="auto"/>
        <w:ind w:left="0" w:right="0"/>
        <w:jc w:val="left"/>
      </w:pPr>
      <w:r>
        <w:rPr>
          <w:color w:val="000000"/>
          <w:spacing w:val="0"/>
          <w:w w:val="100"/>
          <w:position w:val="0"/>
        </w:rPr>
        <w:t>无。</w:t>
      </w:r>
    </w:p>
    <w:p>
      <w:pPr>
        <w:pStyle w:val="Style47"/>
        <w:keepNext/>
        <w:keepLines/>
        <w:widowControl w:val="0"/>
        <w:shd w:val="clear" w:color="auto" w:fill="auto"/>
        <w:bidi w:val="0"/>
        <w:spacing w:before="0" w:after="400" w:line="240" w:lineRule="auto"/>
        <w:ind w:left="0" w:right="0" w:firstLine="0"/>
        <w:jc w:val="left"/>
      </w:pPr>
      <w:bookmarkStart w:id="1363" w:name="bookmark1363"/>
      <w:bookmarkStart w:id="1364" w:name="bookmark1364"/>
      <w:bookmarkStart w:id="1365" w:name="bookmark1365"/>
      <w:bookmarkStart w:id="1366" w:name="bookmark1366"/>
      <w:r>
        <w:rPr>
          <w:color w:val="000000"/>
          <w:spacing w:val="0"/>
          <w:w w:val="100"/>
          <w:position w:val="0"/>
        </w:rPr>
        <w:t>9</w:t>
      </w:r>
      <w:bookmarkEnd w:id="1365"/>
      <w:r>
        <w:rPr>
          <w:color w:val="000000"/>
          <w:spacing w:val="0"/>
          <w:w w:val="100"/>
          <w:position w:val="0"/>
        </w:rPr>
        <w:t>、存货</w:t>
      </w:r>
      <w:bookmarkEnd w:id="1363"/>
      <w:bookmarkEnd w:id="1364"/>
      <w:bookmarkEnd w:id="1366"/>
    </w:p>
    <w:p>
      <w:pPr>
        <w:pStyle w:val="Style41"/>
        <w:keepNext w:val="0"/>
        <w:keepLines w:val="0"/>
        <w:widowControl w:val="0"/>
        <w:shd w:val="clear" w:color="auto" w:fill="auto"/>
        <w:bidi w:val="0"/>
        <w:spacing w:before="0" w:after="140" w:line="240" w:lineRule="auto"/>
        <w:ind w:left="0" w:right="0" w:firstLine="0"/>
        <w:jc w:val="left"/>
      </w:pPr>
      <w:r>
        <w:rPr>
          <w:color w:val="000000"/>
          <w:spacing w:val="0"/>
          <w:w w:val="100"/>
          <w:position w:val="0"/>
        </w:rPr>
        <w:t>公司是否需要遵守房地产行业的披露要求</w:t>
      </w:r>
    </w:p>
    <w:p>
      <w:pPr>
        <w:pStyle w:val="Style41"/>
        <w:keepNext w:val="0"/>
        <w:keepLines w:val="0"/>
        <w:widowControl w:val="0"/>
        <w:shd w:val="clear" w:color="auto" w:fill="auto"/>
        <w:bidi w:val="0"/>
        <w:spacing w:before="0" w:after="400" w:line="240" w:lineRule="auto"/>
        <w:ind w:left="0" w:right="0" w:firstLine="0"/>
        <w:jc w:val="left"/>
      </w:pPr>
      <w:r>
        <w:rPr>
          <w:color w:val="000000"/>
          <w:spacing w:val="0"/>
          <w:w w:val="100"/>
          <w:position w:val="0"/>
        </w:rPr>
        <w:t>否</w:t>
      </w:r>
    </w:p>
    <w:p>
      <w:pPr>
        <w:pStyle w:val="Style58"/>
        <w:keepNext/>
        <w:keepLines/>
        <w:widowControl w:val="0"/>
        <w:shd w:val="clear" w:color="auto" w:fill="auto"/>
        <w:bidi w:val="0"/>
        <w:spacing w:before="0" w:after="400" w:line="240" w:lineRule="auto"/>
        <w:ind w:left="0" w:right="0" w:firstLine="0"/>
        <w:jc w:val="left"/>
        <w:rPr>
          <w:sz w:val="20"/>
          <w:szCs w:val="20"/>
        </w:rPr>
      </w:pPr>
      <w:bookmarkStart w:id="1367" w:name="bookmark1367"/>
      <w:bookmarkStart w:id="1368" w:name="bookmark1368"/>
      <w:bookmarkStart w:id="1369" w:name="bookmark1369"/>
      <w:bookmarkStart w:id="1370" w:name="bookmark1370"/>
      <w:r>
        <w:rPr>
          <w:b/>
          <w:bCs/>
          <w:color w:val="000000"/>
          <w:spacing w:val="0"/>
          <w:w w:val="100"/>
          <w:position w:val="0"/>
          <w:sz w:val="20"/>
          <w:szCs w:val="20"/>
        </w:rPr>
        <w:t>（</w:t>
      </w:r>
      <w:bookmarkEnd w:id="1369"/>
      <w:r>
        <w:rPr>
          <w:b/>
          <w:bCs/>
          <w:color w:val="000000"/>
          <w:spacing w:val="0"/>
          <w:w w:val="100"/>
          <w:position w:val="0"/>
          <w:sz w:val="20"/>
          <w:szCs w:val="20"/>
        </w:rPr>
        <w:t>1）存货分类</w:t>
      </w:r>
      <w:bookmarkEnd w:id="1367"/>
      <w:bookmarkEnd w:id="1368"/>
      <w:bookmarkEnd w:id="1370"/>
    </w:p>
    <w:p>
      <w:pPr>
        <w:pStyle w:val="Style41"/>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1373"/>
        <w:gridCol w:w="1368"/>
        <w:gridCol w:w="1368"/>
        <w:gridCol w:w="1368"/>
        <w:gridCol w:w="1363"/>
        <w:gridCol w:w="1368"/>
        <w:gridCol w:w="1378"/>
      </w:tblGrid>
      <w:tr>
        <w:trPr>
          <w:trHeight w:val="403" w:hRule="exact"/>
        </w:trPr>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500"/>
              <w:jc w:val="left"/>
            </w:pPr>
            <w:r>
              <w:rPr>
                <w:color w:val="000000"/>
                <w:spacing w:val="0"/>
                <w:w w:val="100"/>
                <w:position w:val="0"/>
              </w:rPr>
              <w:t>项目</w:t>
            </w:r>
          </w:p>
        </w:tc>
        <w:tc>
          <w:tcPr>
            <w:gridSpan w:val="3"/>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gridSpan w:val="3"/>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1027" w:hRule="exact"/>
        </w:trPr>
        <w:tc>
          <w:tcPr>
            <w:vMerge/>
            <w:tcBorders>
              <w:left w:val="single" w:sz="4"/>
            </w:tcBorders>
            <w:shd w:val="clear" w:color="auto" w:fill="D7D7D7"/>
            <w:vAlign w:val="center"/>
          </w:tcPr>
          <w:p>
            <w:pP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300"/>
              <w:jc w:val="left"/>
            </w:pPr>
            <w:r>
              <w:rPr>
                <w:color w:val="000000"/>
                <w:spacing w:val="0"/>
                <w:w w:val="100"/>
                <w:position w:val="0"/>
              </w:rPr>
              <w:t>账面余额</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4" w:lineRule="exact"/>
              <w:ind w:left="0" w:right="0" w:firstLine="0"/>
              <w:jc w:val="center"/>
            </w:pPr>
            <w:r>
              <w:rPr>
                <w:color w:val="000000"/>
                <w:spacing w:val="0"/>
                <w:w w:val="100"/>
                <w:position w:val="0"/>
              </w:rPr>
              <w:t>存货跌价准备或 合同履约成本减 值准备</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300"/>
              <w:jc w:val="left"/>
            </w:pPr>
            <w:r>
              <w:rPr>
                <w:color w:val="000000"/>
                <w:spacing w:val="0"/>
                <w:w w:val="100"/>
                <w:position w:val="0"/>
              </w:rPr>
              <w:t>账面价值</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300"/>
              <w:jc w:val="left"/>
            </w:pPr>
            <w:r>
              <w:rPr>
                <w:color w:val="000000"/>
                <w:spacing w:val="0"/>
                <w:w w:val="100"/>
                <w:position w:val="0"/>
              </w:rPr>
              <w:t>账面余额</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4" w:lineRule="exact"/>
              <w:ind w:left="0" w:right="0" w:firstLine="0"/>
              <w:jc w:val="center"/>
            </w:pPr>
            <w:r>
              <w:rPr>
                <w:color w:val="000000"/>
                <w:spacing w:val="0"/>
                <w:w w:val="100"/>
                <w:position w:val="0"/>
              </w:rPr>
              <w:t>存货跌价准备或 合同履约成本减 值准备</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300"/>
              <w:jc w:val="left"/>
            </w:pPr>
            <w:r>
              <w:rPr>
                <w:color w:val="000000"/>
                <w:spacing w:val="0"/>
                <w:w w:val="100"/>
                <w:position w:val="0"/>
              </w:rPr>
              <w:t>账面价值</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原材料</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10,655,020.47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16,440.91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10,638,579.56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14,280,535.81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18,207.04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14,262,328.77</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库存商品</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36,426,403.80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rPr>
                <w:sz w:val="18"/>
                <w:szCs w:val="18"/>
              </w:rPr>
            </w:pPr>
            <w:r>
              <w:rPr>
                <w:rFonts w:ascii="Times New Roman" w:eastAsia="Times New Roman" w:hAnsi="Times New Roman" w:cs="Times New Roman"/>
                <w:color w:val="000000"/>
                <w:spacing w:val="0"/>
                <w:w w:val="100"/>
                <w:position w:val="0"/>
                <w:sz w:val="18"/>
                <w:szCs w:val="18"/>
              </w:rPr>
              <w:t>2,640,041.04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33,786,362.76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78,521,250.99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00"/>
              <w:jc w:val="both"/>
              <w:rPr>
                <w:sz w:val="18"/>
                <w:szCs w:val="18"/>
              </w:rPr>
            </w:pPr>
            <w:r>
              <w:rPr>
                <w:rFonts w:ascii="Times New Roman" w:eastAsia="Times New Roman" w:hAnsi="Times New Roman" w:cs="Times New Roman"/>
                <w:color w:val="000000"/>
                <w:spacing w:val="0"/>
                <w:w w:val="100"/>
                <w:position w:val="0"/>
                <w:sz w:val="18"/>
                <w:szCs w:val="18"/>
              </w:rPr>
              <w:t>615,384.62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77,905,866.37</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合同履约成本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169,547,970.68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rPr>
                <w:sz w:val="18"/>
                <w:szCs w:val="18"/>
              </w:rPr>
            </w:pPr>
            <w:r>
              <w:rPr>
                <w:rFonts w:ascii="Times New Roman" w:eastAsia="Times New Roman" w:hAnsi="Times New Roman" w:cs="Times New Roman"/>
                <w:color w:val="000000"/>
                <w:spacing w:val="0"/>
                <w:w w:val="100"/>
                <w:position w:val="0"/>
                <w:sz w:val="18"/>
                <w:szCs w:val="18"/>
              </w:rPr>
              <w:t>7,151,080.82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162,396,889.86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204,440,730.32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both"/>
              <w:rPr>
                <w:sz w:val="18"/>
                <w:szCs w:val="18"/>
              </w:rPr>
            </w:pPr>
            <w:r>
              <w:rPr>
                <w:rFonts w:ascii="Times New Roman" w:eastAsia="Times New Roman" w:hAnsi="Times New Roman" w:cs="Times New Roman"/>
                <w:color w:val="000000"/>
                <w:spacing w:val="0"/>
                <w:w w:val="100"/>
                <w:position w:val="0"/>
                <w:sz w:val="18"/>
                <w:szCs w:val="18"/>
              </w:rPr>
              <w:t>7,151,080.82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197,289,649.50</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低值易耗品</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1,575,788.11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1,575,788.11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3,434,112.11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3,434,112.11</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在产品</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00"/>
              <w:jc w:val="left"/>
              <w:rPr>
                <w:sz w:val="18"/>
                <w:szCs w:val="18"/>
              </w:rPr>
            </w:pPr>
            <w:r>
              <w:rPr>
                <w:rFonts w:ascii="Times New Roman" w:eastAsia="Times New Roman" w:hAnsi="Times New Roman" w:cs="Times New Roman"/>
                <w:color w:val="000000"/>
                <w:spacing w:val="0"/>
                <w:w w:val="100"/>
                <w:position w:val="0"/>
                <w:sz w:val="18"/>
                <w:szCs w:val="18"/>
              </w:rPr>
              <w:t>6,861.16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6,861.16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218,212,044.22</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rPr>
                <w:sz w:val="18"/>
                <w:szCs w:val="18"/>
              </w:rPr>
            </w:pPr>
            <w:r>
              <w:rPr>
                <w:rFonts w:ascii="Times New Roman" w:eastAsia="Times New Roman" w:hAnsi="Times New Roman" w:cs="Times New Roman"/>
                <w:color w:val="000000"/>
                <w:spacing w:val="0"/>
                <w:w w:val="100"/>
                <w:position w:val="0"/>
                <w:sz w:val="18"/>
                <w:szCs w:val="18"/>
              </w:rPr>
              <w:t>9,807,562.77</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208,404,481.45</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300,676,629.23</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both"/>
              <w:rPr>
                <w:sz w:val="18"/>
                <w:szCs w:val="18"/>
              </w:rPr>
            </w:pPr>
            <w:r>
              <w:rPr>
                <w:rFonts w:ascii="Times New Roman" w:eastAsia="Times New Roman" w:hAnsi="Times New Roman" w:cs="Times New Roman"/>
                <w:color w:val="000000"/>
                <w:spacing w:val="0"/>
                <w:w w:val="100"/>
                <w:position w:val="0"/>
                <w:sz w:val="18"/>
                <w:szCs w:val="18"/>
              </w:rPr>
              <w:t>7,784,672.48</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292,891,956.75</w:t>
            </w:r>
          </w:p>
        </w:tc>
      </w:tr>
    </w:tbl>
    <w:p>
      <w:pPr>
        <w:pStyle w:val="Style41"/>
        <w:keepNext w:val="0"/>
        <w:keepLines w:val="0"/>
        <w:widowControl w:val="0"/>
        <w:shd w:val="clear" w:color="auto" w:fill="auto"/>
        <w:bidi w:val="0"/>
        <w:spacing w:before="0" w:after="0" w:line="360" w:lineRule="exact"/>
        <w:ind w:left="0" w:right="0" w:firstLine="0"/>
        <w:jc w:val="left"/>
      </w:pPr>
      <w:r>
        <w:rPr>
          <w:color w:val="000000"/>
          <w:spacing w:val="0"/>
          <w:w w:val="100"/>
          <w:position w:val="0"/>
        </w:rPr>
        <w:t>公司需遵守《深圳证券交易所创业板行业信息披露指引第</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号——上市公司从事互联网游戏业务》的披露要求 前五名游戏情况</w:t>
      </w:r>
    </w:p>
    <w:p>
      <w:pPr>
        <w:pStyle w:val="Style41"/>
        <w:keepNext w:val="0"/>
        <w:keepLines w:val="0"/>
        <w:widowControl w:val="0"/>
        <w:shd w:val="clear" w:color="auto" w:fill="auto"/>
        <w:bidi w:val="0"/>
        <w:spacing w:before="0" w:after="720" w:line="360" w:lineRule="exact"/>
        <w:ind w:left="0" w:right="0" w:firstLine="0"/>
        <w:jc w:val="left"/>
      </w:pPr>
      <w:r>
        <w:rPr>
          <w:color w:val="000000"/>
          <w:spacing w:val="0"/>
          <w:w w:val="100"/>
          <w:position w:val="0"/>
        </w:rPr>
        <w:t>存货中不存在游戏。</w:t>
      </w:r>
    </w:p>
    <w:p>
      <w:pPr>
        <w:pStyle w:val="Style58"/>
        <w:keepNext/>
        <w:keepLines/>
        <w:widowControl w:val="0"/>
        <w:shd w:val="clear" w:color="auto" w:fill="auto"/>
        <w:bidi w:val="0"/>
        <w:spacing w:before="0" w:after="400" w:line="240" w:lineRule="auto"/>
        <w:ind w:left="0" w:right="0" w:firstLine="140"/>
        <w:jc w:val="left"/>
        <w:rPr>
          <w:sz w:val="20"/>
          <w:szCs w:val="20"/>
        </w:rPr>
      </w:pPr>
      <w:bookmarkStart w:id="1371" w:name="bookmark1371"/>
      <w:bookmarkStart w:id="1372" w:name="bookmark1372"/>
      <w:bookmarkStart w:id="1373" w:name="bookmark1373"/>
      <w:bookmarkStart w:id="1374" w:name="bookmark1374"/>
      <w:r>
        <w:rPr>
          <w:b/>
          <w:bCs/>
          <w:color w:val="000000"/>
          <w:spacing w:val="0"/>
          <w:w w:val="100"/>
          <w:position w:val="0"/>
          <w:sz w:val="20"/>
          <w:szCs w:val="20"/>
        </w:rPr>
        <w:t>（</w:t>
      </w:r>
      <w:bookmarkEnd w:id="1373"/>
      <w:r>
        <w:rPr>
          <w:b/>
          <w:bCs/>
          <w:color w:val="000000"/>
          <w:spacing w:val="0"/>
          <w:w w:val="100"/>
          <w:position w:val="0"/>
          <w:sz w:val="20"/>
          <w:szCs w:val="20"/>
        </w:rPr>
        <w:t>2）存货跌价准备和合同履约成本减值准备</w:t>
      </w:r>
      <w:bookmarkEnd w:id="1371"/>
      <w:bookmarkEnd w:id="1372"/>
      <w:bookmarkEnd w:id="1374"/>
    </w:p>
    <w:p>
      <w:pPr>
        <w:pStyle w:val="Style41"/>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1373"/>
        <w:gridCol w:w="1368"/>
        <w:gridCol w:w="1368"/>
        <w:gridCol w:w="1368"/>
        <w:gridCol w:w="1363"/>
        <w:gridCol w:w="1368"/>
        <w:gridCol w:w="1378"/>
      </w:tblGrid>
      <w:tr>
        <w:trPr>
          <w:trHeight w:val="403" w:hRule="exact"/>
        </w:trPr>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500"/>
              <w:jc w:val="left"/>
            </w:pPr>
            <w:r>
              <w:rPr>
                <w:color w:val="000000"/>
                <w:spacing w:val="0"/>
                <w:w w:val="100"/>
                <w:position w:val="0"/>
              </w:rPr>
              <w:t>项目</w:t>
            </w:r>
          </w:p>
        </w:tc>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300"/>
              <w:jc w:val="left"/>
            </w:pPr>
            <w:r>
              <w:rPr>
                <w:color w:val="000000"/>
                <w:spacing w:val="0"/>
                <w:w w:val="100"/>
                <w:position w:val="0"/>
              </w:rPr>
              <w:t>期初余额</w:t>
            </w:r>
          </w:p>
        </w:tc>
        <w:tc>
          <w:tcPr>
            <w:gridSpan w:val="2"/>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本期增加金额</w:t>
            </w:r>
          </w:p>
        </w:tc>
        <w:tc>
          <w:tcPr>
            <w:gridSpan w:val="2"/>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本期减少金额</w:t>
            </w:r>
          </w:p>
        </w:tc>
        <w:tc>
          <w:tcPr>
            <w:vMerge w:val="restart"/>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300"/>
              <w:jc w:val="left"/>
            </w:pPr>
            <w:r>
              <w:rPr>
                <w:color w:val="000000"/>
                <w:spacing w:val="0"/>
                <w:w w:val="100"/>
                <w:position w:val="0"/>
              </w:rPr>
              <w:t>期末余额</w:t>
            </w:r>
          </w:p>
        </w:tc>
      </w:tr>
      <w:tr>
        <w:trPr>
          <w:trHeight w:val="403" w:hRule="exact"/>
        </w:trPr>
        <w:tc>
          <w:tcPr>
            <w:vMerge/>
            <w:tcBorders>
              <w:left w:val="single" w:sz="4"/>
            </w:tcBorders>
            <w:shd w:val="clear" w:color="auto" w:fill="D7D7D7"/>
            <w:vAlign w:val="center"/>
          </w:tcPr>
          <w:p>
            <w:pPr/>
          </w:p>
        </w:tc>
        <w:tc>
          <w:tcPr>
            <w:vMerge/>
            <w:tcBorders>
              <w:left w:val="single" w:sz="4"/>
            </w:tcBorders>
            <w:shd w:val="clear" w:color="auto" w:fill="D7D7D7"/>
            <w:vAlign w:val="center"/>
          </w:tcPr>
          <w:p>
            <w:pP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计提</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200"/>
              <w:jc w:val="left"/>
            </w:pPr>
            <w:r>
              <w:rPr>
                <w:color w:val="000000"/>
                <w:spacing w:val="0"/>
                <w:w w:val="100"/>
                <w:position w:val="0"/>
              </w:rPr>
              <w:t>转回或转销</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w:t>
            </w:r>
          </w:p>
        </w:tc>
        <w:tc>
          <w:tcPr>
            <w:vMerge/>
            <w:tcBorders>
              <w:left w:val="single" w:sz="4"/>
              <w:right w:val="single" w:sz="4"/>
            </w:tcBorders>
            <w:shd w:val="clear" w:color="auto" w:fill="D7D7D7"/>
            <w:vAlign w:val="center"/>
          </w:tcPr>
          <w:p>
            <w:pP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原材料</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rPr>
                <w:sz w:val="18"/>
                <w:szCs w:val="18"/>
              </w:rPr>
            </w:pPr>
            <w:r>
              <w:rPr>
                <w:rFonts w:ascii="Times New Roman" w:eastAsia="Times New Roman" w:hAnsi="Times New Roman" w:cs="Times New Roman"/>
                <w:color w:val="000000"/>
                <w:spacing w:val="0"/>
                <w:w w:val="100"/>
                <w:position w:val="0"/>
                <w:sz w:val="18"/>
                <w:szCs w:val="18"/>
              </w:rPr>
              <w:t>18,207.04</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1,766.13</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16,440.91</w:t>
            </w:r>
          </w:p>
        </w:tc>
      </w:tr>
    </w:tbl>
    <w:p>
      <w:pPr>
        <w:widowControl w:val="0"/>
        <w:spacing w:line="1" w:lineRule="exact"/>
        <w:sectPr>
          <w:headerReference w:type="default" r:id="rId375"/>
          <w:footerReference w:type="default" r:id="rId376"/>
          <w:headerReference w:type="even" r:id="rId377"/>
          <w:footerReference w:type="even" r:id="rId378"/>
          <w:footnotePr>
            <w:pos w:val="pageBottom"/>
            <w:numFmt w:val="decimal"/>
            <w:numRestart w:val="continuous"/>
          </w:footnotePr>
          <w:pgSz w:w="11904" w:h="17375"/>
          <w:pgMar w:top="1676" w:right="1030" w:bottom="1663" w:left="1006" w:header="0" w:footer="3" w:gutter="0"/>
          <w:cols w:space="720"/>
          <w:noEndnote/>
          <w:rtlGutter w:val="0"/>
          <w:docGrid w:linePitch="360"/>
        </w:sectPr>
      </w:pPr>
    </w:p>
    <w:tbl>
      <w:tblPr>
        <w:tblOverlap w:val="never"/>
        <w:jc w:val="center"/>
        <w:tblLayout w:type="fixed"/>
      </w:tblPr>
      <w:tblGrid>
        <w:gridCol w:w="1373"/>
        <w:gridCol w:w="1368"/>
        <w:gridCol w:w="1368"/>
        <w:gridCol w:w="1368"/>
        <w:gridCol w:w="1363"/>
        <w:gridCol w:w="1368"/>
        <w:gridCol w:w="1378"/>
      </w:tblGrid>
      <w:tr>
        <w:trPr>
          <w:trHeight w:val="480" w:hRule="exact"/>
        </w:trPr>
        <w:tc>
          <w:tcPr>
            <w:tcBorders>
              <w:top w:val="single" w:sz="4"/>
              <w:left w:val="single" w:sz="4"/>
            </w:tcBorders>
            <w:shd w:val="clear" w:color="auto" w:fill="D7D7D7"/>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库存商品</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615,384.62</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jc w:val="left"/>
              <w:rPr>
                <w:sz w:val="18"/>
                <w:szCs w:val="18"/>
              </w:rPr>
            </w:pPr>
            <w:r>
              <w:rPr>
                <w:rFonts w:ascii="Times New Roman" w:eastAsia="Times New Roman" w:hAnsi="Times New Roman" w:cs="Times New Roman"/>
                <w:color w:val="000000"/>
                <w:spacing w:val="0"/>
                <w:w w:val="100"/>
                <w:position w:val="0"/>
                <w:sz w:val="18"/>
                <w:szCs w:val="18"/>
              </w:rPr>
              <w:t>2,024,656.42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jc w:val="left"/>
              <w:rPr>
                <w:sz w:val="18"/>
                <w:szCs w:val="18"/>
              </w:rPr>
            </w:pPr>
            <w:r>
              <w:rPr>
                <w:rFonts w:ascii="Times New Roman" w:eastAsia="Times New Roman" w:hAnsi="Times New Roman" w:cs="Times New Roman"/>
                <w:color w:val="000000"/>
                <w:spacing w:val="0"/>
                <w:w w:val="100"/>
                <w:position w:val="0"/>
                <w:sz w:val="18"/>
                <w:szCs w:val="18"/>
              </w:rPr>
              <w:t>2,640,041.04</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合同履约成本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rPr>
                <w:sz w:val="18"/>
                <w:szCs w:val="18"/>
              </w:rPr>
            </w:pPr>
            <w:r>
              <w:rPr>
                <w:rFonts w:ascii="Times New Roman" w:eastAsia="Times New Roman" w:hAnsi="Times New Roman" w:cs="Times New Roman"/>
                <w:color w:val="000000"/>
                <w:spacing w:val="0"/>
                <w:w w:val="100"/>
                <w:position w:val="0"/>
                <w:sz w:val="18"/>
                <w:szCs w:val="18"/>
              </w:rPr>
              <w:t>7,151,080.82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rPr>
                <w:sz w:val="18"/>
                <w:szCs w:val="18"/>
              </w:rPr>
            </w:pPr>
            <w:r>
              <w:rPr>
                <w:rFonts w:ascii="Times New Roman" w:eastAsia="Times New Roman" w:hAnsi="Times New Roman" w:cs="Times New Roman"/>
                <w:color w:val="000000"/>
                <w:spacing w:val="0"/>
                <w:w w:val="100"/>
                <w:position w:val="0"/>
                <w:sz w:val="18"/>
                <w:szCs w:val="18"/>
              </w:rPr>
              <w:t>7,151,080.82</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rPr>
                <w:sz w:val="18"/>
                <w:szCs w:val="18"/>
              </w:rPr>
            </w:pPr>
            <w:r>
              <w:rPr>
                <w:rFonts w:ascii="Times New Roman" w:eastAsia="Times New Roman" w:hAnsi="Times New Roman" w:cs="Times New Roman"/>
                <w:color w:val="000000"/>
                <w:spacing w:val="0"/>
                <w:w w:val="100"/>
                <w:position w:val="0"/>
                <w:sz w:val="18"/>
                <w:szCs w:val="18"/>
              </w:rPr>
              <w:t>7,784,672.48</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rPr>
                <w:sz w:val="18"/>
                <w:szCs w:val="18"/>
              </w:rPr>
            </w:pPr>
            <w:r>
              <w:rPr>
                <w:rFonts w:ascii="Times New Roman" w:eastAsia="Times New Roman" w:hAnsi="Times New Roman" w:cs="Times New Roman"/>
                <w:color w:val="000000"/>
                <w:spacing w:val="0"/>
                <w:w w:val="100"/>
                <w:position w:val="0"/>
                <w:sz w:val="18"/>
                <w:szCs w:val="18"/>
              </w:rPr>
              <w:t>2,024,656.42</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1,766.13</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rPr>
                <w:sz w:val="18"/>
                <w:szCs w:val="18"/>
              </w:rPr>
            </w:pPr>
            <w:r>
              <w:rPr>
                <w:rFonts w:ascii="Times New Roman" w:eastAsia="Times New Roman" w:hAnsi="Times New Roman" w:cs="Times New Roman"/>
                <w:color w:val="000000"/>
                <w:spacing w:val="0"/>
                <w:w w:val="100"/>
                <w:position w:val="0"/>
                <w:sz w:val="18"/>
                <w:szCs w:val="18"/>
              </w:rPr>
              <w:t>9,807,562.77</w:t>
            </w:r>
          </w:p>
        </w:tc>
      </w:tr>
    </w:tbl>
    <w:p>
      <w:pPr>
        <w:widowControl w:val="0"/>
        <w:spacing w:after="319" w:line="1" w:lineRule="exact"/>
      </w:pPr>
    </w:p>
    <w:p>
      <w:pPr>
        <w:pStyle w:val="Style58"/>
        <w:keepNext/>
        <w:keepLines/>
        <w:widowControl w:val="0"/>
        <w:shd w:val="clear" w:color="auto" w:fill="auto"/>
        <w:tabs>
          <w:tab w:pos="493" w:val="left"/>
        </w:tabs>
        <w:bidi w:val="0"/>
        <w:spacing w:before="0" w:after="400" w:line="240" w:lineRule="auto"/>
        <w:ind w:left="0" w:right="0" w:firstLine="0"/>
        <w:jc w:val="both"/>
        <w:rPr>
          <w:sz w:val="20"/>
          <w:szCs w:val="20"/>
        </w:rPr>
      </w:pPr>
      <w:bookmarkStart w:id="1375" w:name="bookmark1375"/>
      <w:bookmarkStart w:id="1376" w:name="bookmark1376"/>
      <w:bookmarkStart w:id="1377" w:name="bookmark1377"/>
      <w:bookmarkStart w:id="1378" w:name="bookmark1378"/>
      <w:r>
        <w:rPr>
          <w:b/>
          <w:bCs/>
          <w:color w:val="000000"/>
          <w:spacing w:val="0"/>
          <w:w w:val="100"/>
          <w:position w:val="0"/>
          <w:sz w:val="20"/>
          <w:szCs w:val="20"/>
        </w:rPr>
        <w:t>（</w:t>
      </w:r>
      <w:bookmarkEnd w:id="1377"/>
      <w:r>
        <w:rPr>
          <w:b/>
          <w:bCs/>
          <w:color w:val="000000"/>
          <w:spacing w:val="0"/>
          <w:w w:val="100"/>
          <w:position w:val="0"/>
          <w:sz w:val="20"/>
          <w:szCs w:val="20"/>
        </w:rPr>
        <w:t>3）</w:t>
        <w:tab/>
        <w:t>存货期末余额含有借款费用资本化金额的说明</w:t>
      </w:r>
      <w:bookmarkEnd w:id="1375"/>
      <w:bookmarkEnd w:id="1376"/>
      <w:bookmarkEnd w:id="1378"/>
    </w:p>
    <w:p>
      <w:pPr>
        <w:pStyle w:val="Style41"/>
        <w:keepNext w:val="0"/>
        <w:keepLines w:val="0"/>
        <w:widowControl w:val="0"/>
        <w:shd w:val="clear" w:color="auto" w:fill="auto"/>
        <w:bidi w:val="0"/>
        <w:spacing w:before="0" w:after="400" w:line="240" w:lineRule="auto"/>
        <w:ind w:left="0" w:right="0" w:firstLine="360"/>
        <w:jc w:val="left"/>
      </w:pPr>
      <w:r>
        <w:rPr>
          <w:color w:val="000000"/>
          <w:spacing w:val="0"/>
          <w:w w:val="100"/>
          <w:position w:val="0"/>
        </w:rPr>
        <w:t>无。</w:t>
      </w:r>
    </w:p>
    <w:p>
      <w:pPr>
        <w:pStyle w:val="Style58"/>
        <w:keepNext/>
        <w:keepLines/>
        <w:widowControl w:val="0"/>
        <w:shd w:val="clear" w:color="auto" w:fill="auto"/>
        <w:tabs>
          <w:tab w:pos="493" w:val="left"/>
        </w:tabs>
        <w:bidi w:val="0"/>
        <w:spacing w:before="0" w:after="400" w:line="240" w:lineRule="auto"/>
        <w:ind w:left="0" w:right="0" w:firstLine="0"/>
        <w:jc w:val="both"/>
        <w:rPr>
          <w:sz w:val="20"/>
          <w:szCs w:val="20"/>
        </w:rPr>
      </w:pPr>
      <w:bookmarkStart w:id="1379" w:name="bookmark1379"/>
      <w:bookmarkStart w:id="1380" w:name="bookmark1380"/>
      <w:bookmarkStart w:id="1381" w:name="bookmark1381"/>
      <w:bookmarkStart w:id="1382" w:name="bookmark1382"/>
      <w:r>
        <w:rPr>
          <w:b/>
          <w:bCs/>
          <w:color w:val="000000"/>
          <w:spacing w:val="0"/>
          <w:w w:val="100"/>
          <w:position w:val="0"/>
          <w:sz w:val="20"/>
          <w:szCs w:val="20"/>
        </w:rPr>
        <w:t>（</w:t>
      </w:r>
      <w:bookmarkEnd w:id="1381"/>
      <w:r>
        <w:rPr>
          <w:b/>
          <w:bCs/>
          <w:color w:val="000000"/>
          <w:spacing w:val="0"/>
          <w:w w:val="100"/>
          <w:position w:val="0"/>
          <w:sz w:val="20"/>
          <w:szCs w:val="20"/>
        </w:rPr>
        <w:t>4）</w:t>
        <w:tab/>
        <w:t>合同履约成本本期摊销金额的说明</w:t>
      </w:r>
      <w:bookmarkEnd w:id="1379"/>
      <w:bookmarkEnd w:id="1380"/>
      <w:bookmarkEnd w:id="1382"/>
    </w:p>
    <w:p>
      <w:pPr>
        <w:pStyle w:val="Style41"/>
        <w:keepNext w:val="0"/>
        <w:keepLines w:val="0"/>
        <w:widowControl w:val="0"/>
        <w:shd w:val="clear" w:color="auto" w:fill="auto"/>
        <w:bidi w:val="0"/>
        <w:spacing w:before="0" w:after="400" w:line="240" w:lineRule="auto"/>
        <w:ind w:left="0" w:right="0" w:firstLine="360"/>
        <w:jc w:val="left"/>
      </w:pPr>
      <w:r>
        <w:rPr>
          <w:color w:val="000000"/>
          <w:spacing w:val="0"/>
          <w:w w:val="100"/>
          <w:position w:val="0"/>
        </w:rPr>
        <w:t>无。</w:t>
      </w:r>
    </w:p>
    <w:p>
      <w:pPr>
        <w:pStyle w:val="Style47"/>
        <w:keepNext/>
        <w:keepLines/>
        <w:widowControl w:val="0"/>
        <w:shd w:val="clear" w:color="auto" w:fill="auto"/>
        <w:tabs>
          <w:tab w:pos="474" w:val="left"/>
        </w:tabs>
        <w:bidi w:val="0"/>
        <w:spacing w:before="0" w:after="400" w:line="240" w:lineRule="auto"/>
        <w:ind w:left="0" w:right="0" w:firstLine="0"/>
        <w:jc w:val="both"/>
      </w:pPr>
      <w:bookmarkStart w:id="1383" w:name="bookmark1383"/>
      <w:bookmarkStart w:id="1384" w:name="bookmark1384"/>
      <w:bookmarkStart w:id="1385" w:name="bookmark1385"/>
      <w:bookmarkStart w:id="1386" w:name="bookmark1386"/>
      <w:r>
        <w:rPr>
          <w:color w:val="000000"/>
          <w:spacing w:val="0"/>
          <w:w w:val="100"/>
          <w:position w:val="0"/>
        </w:rPr>
        <w:t>1</w:t>
      </w:r>
      <w:bookmarkEnd w:id="1385"/>
      <w:r>
        <w:rPr>
          <w:color w:val="000000"/>
          <w:spacing w:val="0"/>
          <w:w w:val="100"/>
          <w:position w:val="0"/>
        </w:rPr>
        <w:t>0、</w:t>
        <w:tab/>
        <w:t>合同资产</w:t>
      </w:r>
      <w:bookmarkEnd w:id="1383"/>
      <w:bookmarkEnd w:id="1384"/>
      <w:bookmarkEnd w:id="1386"/>
    </w:p>
    <w:p>
      <w:pPr>
        <w:pStyle w:val="Style41"/>
        <w:keepNext w:val="0"/>
        <w:keepLines w:val="0"/>
        <w:widowControl w:val="0"/>
        <w:shd w:val="clear" w:color="auto" w:fill="auto"/>
        <w:bidi w:val="0"/>
        <w:spacing w:before="0" w:after="400" w:line="240" w:lineRule="auto"/>
        <w:ind w:left="0" w:right="0" w:firstLine="360"/>
        <w:jc w:val="left"/>
      </w:pPr>
      <w:r>
        <w:rPr>
          <w:color w:val="000000"/>
          <w:spacing w:val="0"/>
          <w:w w:val="100"/>
          <w:position w:val="0"/>
        </w:rPr>
        <w:t>无。</w:t>
      </w:r>
    </w:p>
    <w:p>
      <w:pPr>
        <w:pStyle w:val="Style47"/>
        <w:keepNext/>
        <w:keepLines/>
        <w:widowControl w:val="0"/>
        <w:shd w:val="clear" w:color="auto" w:fill="auto"/>
        <w:tabs>
          <w:tab w:pos="474" w:val="left"/>
        </w:tabs>
        <w:bidi w:val="0"/>
        <w:spacing w:before="0" w:after="400" w:line="240" w:lineRule="auto"/>
        <w:ind w:left="0" w:right="0" w:firstLine="0"/>
        <w:jc w:val="both"/>
      </w:pPr>
      <w:bookmarkStart w:id="1387" w:name="bookmark1387"/>
      <w:bookmarkStart w:id="1388" w:name="bookmark1388"/>
      <w:bookmarkStart w:id="1389" w:name="bookmark1389"/>
      <w:bookmarkStart w:id="1390" w:name="bookmark1390"/>
      <w:r>
        <w:rPr>
          <w:color w:val="000000"/>
          <w:spacing w:val="0"/>
          <w:w w:val="100"/>
          <w:position w:val="0"/>
        </w:rPr>
        <w:t>1</w:t>
      </w:r>
      <w:bookmarkEnd w:id="1389"/>
      <w:r>
        <w:rPr>
          <w:color w:val="000000"/>
          <w:spacing w:val="0"/>
          <w:w w:val="100"/>
          <w:position w:val="0"/>
        </w:rPr>
        <w:t>1、</w:t>
        <w:tab/>
        <w:t>持有待售资产</w:t>
      </w:r>
      <w:bookmarkEnd w:id="1387"/>
      <w:bookmarkEnd w:id="1388"/>
      <w:bookmarkEnd w:id="1390"/>
    </w:p>
    <w:p>
      <w:pPr>
        <w:pStyle w:val="Style41"/>
        <w:keepNext w:val="0"/>
        <w:keepLines w:val="0"/>
        <w:widowControl w:val="0"/>
        <w:shd w:val="clear" w:color="auto" w:fill="auto"/>
        <w:bidi w:val="0"/>
        <w:spacing w:before="0" w:after="400" w:line="240" w:lineRule="auto"/>
        <w:ind w:left="0" w:right="0" w:firstLine="360"/>
        <w:jc w:val="left"/>
      </w:pPr>
      <w:r>
        <w:rPr>
          <w:color w:val="000000"/>
          <w:spacing w:val="0"/>
          <w:w w:val="100"/>
          <w:position w:val="0"/>
        </w:rPr>
        <w:t>无。</w:t>
      </w:r>
    </w:p>
    <w:p>
      <w:pPr>
        <w:pStyle w:val="Style47"/>
        <w:keepNext/>
        <w:keepLines/>
        <w:widowControl w:val="0"/>
        <w:shd w:val="clear" w:color="auto" w:fill="auto"/>
        <w:tabs>
          <w:tab w:pos="474" w:val="left"/>
        </w:tabs>
        <w:bidi w:val="0"/>
        <w:spacing w:before="0" w:after="400" w:line="240" w:lineRule="auto"/>
        <w:ind w:left="0" w:right="0" w:firstLine="0"/>
        <w:jc w:val="both"/>
      </w:pPr>
      <w:bookmarkStart w:id="1391" w:name="bookmark1391"/>
      <w:bookmarkStart w:id="1392" w:name="bookmark1392"/>
      <w:bookmarkStart w:id="1393" w:name="bookmark1393"/>
      <w:bookmarkStart w:id="1394" w:name="bookmark1394"/>
      <w:r>
        <w:rPr>
          <w:color w:val="000000"/>
          <w:spacing w:val="0"/>
          <w:w w:val="100"/>
          <w:position w:val="0"/>
        </w:rPr>
        <w:t>1</w:t>
      </w:r>
      <w:bookmarkEnd w:id="1393"/>
      <w:r>
        <w:rPr>
          <w:color w:val="000000"/>
          <w:spacing w:val="0"/>
          <w:w w:val="100"/>
          <w:position w:val="0"/>
        </w:rPr>
        <w:t>2、</w:t>
        <w:tab/>
        <w:t>一年内到期的非流动资产</w:t>
      </w:r>
      <w:bookmarkEnd w:id="1391"/>
      <w:bookmarkEnd w:id="1392"/>
      <w:bookmarkEnd w:id="1394"/>
    </w:p>
    <w:p>
      <w:pPr>
        <w:pStyle w:val="Style41"/>
        <w:keepNext w:val="0"/>
        <w:keepLines w:val="0"/>
        <w:widowControl w:val="0"/>
        <w:shd w:val="clear" w:color="auto" w:fill="auto"/>
        <w:bidi w:val="0"/>
        <w:spacing w:before="0" w:after="400" w:line="240" w:lineRule="auto"/>
        <w:ind w:left="0" w:right="0" w:firstLine="360"/>
        <w:jc w:val="both"/>
      </w:pPr>
      <w:r>
        <w:rPr>
          <w:color w:val="000000"/>
          <w:spacing w:val="0"/>
          <w:w w:val="100"/>
          <w:position w:val="0"/>
        </w:rPr>
        <w:t>无。</w:t>
      </w:r>
    </w:p>
    <w:p>
      <w:pPr>
        <w:pStyle w:val="Style47"/>
        <w:keepNext/>
        <w:keepLines/>
        <w:widowControl w:val="0"/>
        <w:shd w:val="clear" w:color="auto" w:fill="auto"/>
        <w:tabs>
          <w:tab w:pos="474" w:val="left"/>
        </w:tabs>
        <w:bidi w:val="0"/>
        <w:spacing w:before="0" w:after="400" w:line="240" w:lineRule="auto"/>
        <w:ind w:left="0" w:right="0" w:firstLine="0"/>
        <w:jc w:val="both"/>
      </w:pPr>
      <w:bookmarkStart w:id="1395" w:name="bookmark1395"/>
      <w:bookmarkStart w:id="1396" w:name="bookmark1396"/>
      <w:bookmarkStart w:id="1397" w:name="bookmark1397"/>
      <w:bookmarkStart w:id="1398" w:name="bookmark1398"/>
      <w:r>
        <w:rPr>
          <w:color w:val="000000"/>
          <w:spacing w:val="0"/>
          <w:w w:val="100"/>
          <w:position w:val="0"/>
        </w:rPr>
        <w:t>1</w:t>
      </w:r>
      <w:bookmarkEnd w:id="1397"/>
      <w:r>
        <w:rPr>
          <w:color w:val="000000"/>
          <w:spacing w:val="0"/>
          <w:w w:val="100"/>
          <w:position w:val="0"/>
        </w:rPr>
        <w:t>3、</w:t>
        <w:tab/>
        <w:t>其他流动资产</w:t>
      </w:r>
      <w:bookmarkEnd w:id="1395"/>
      <w:bookmarkEnd w:id="1396"/>
      <w:bookmarkEnd w:id="1398"/>
    </w:p>
    <w:p>
      <w:pPr>
        <w:pStyle w:val="Style41"/>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3192"/>
        <w:gridCol w:w="3192"/>
        <w:gridCol w:w="3202"/>
      </w:tblGrid>
      <w:tr>
        <w:trPr>
          <w:trHeight w:val="40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待抵扣进项税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5,607,861.85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8,675,470.27</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预缴的其他税金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63,247.12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67,188.12</w:t>
            </w:r>
          </w:p>
        </w:tc>
      </w:tr>
      <w:tr>
        <w:trPr>
          <w:trHeight w:val="408"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5,671,108.97</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8,742,658.39</w:t>
            </w:r>
          </w:p>
        </w:tc>
      </w:tr>
    </w:tbl>
    <w:p>
      <w:pPr>
        <w:widowControl w:val="0"/>
        <w:spacing w:after="679" w:line="1" w:lineRule="exact"/>
      </w:pPr>
    </w:p>
    <w:p>
      <w:pPr>
        <w:pStyle w:val="Style47"/>
        <w:keepNext/>
        <w:keepLines/>
        <w:widowControl w:val="0"/>
        <w:shd w:val="clear" w:color="auto" w:fill="auto"/>
        <w:tabs>
          <w:tab w:pos="474" w:val="left"/>
        </w:tabs>
        <w:bidi w:val="0"/>
        <w:spacing w:before="0" w:after="400" w:line="240" w:lineRule="auto"/>
        <w:ind w:left="0" w:right="0" w:firstLine="0"/>
        <w:jc w:val="both"/>
      </w:pPr>
      <w:bookmarkStart w:id="1399" w:name="bookmark1399"/>
      <w:bookmarkStart w:id="1400" w:name="bookmark1400"/>
      <w:bookmarkStart w:id="1401" w:name="bookmark1401"/>
      <w:bookmarkStart w:id="1402" w:name="bookmark1402"/>
      <w:r>
        <w:rPr>
          <w:color w:val="000000"/>
          <w:spacing w:val="0"/>
          <w:w w:val="100"/>
          <w:position w:val="0"/>
        </w:rPr>
        <w:t>1</w:t>
      </w:r>
      <w:bookmarkEnd w:id="1401"/>
      <w:r>
        <w:rPr>
          <w:color w:val="000000"/>
          <w:spacing w:val="0"/>
          <w:w w:val="100"/>
          <w:position w:val="0"/>
        </w:rPr>
        <w:t>4、</w:t>
        <w:tab/>
        <w:t>债权投资</w:t>
      </w:r>
      <w:bookmarkEnd w:id="1399"/>
      <w:bookmarkEnd w:id="1400"/>
      <w:bookmarkEnd w:id="1402"/>
    </w:p>
    <w:p>
      <w:pPr>
        <w:pStyle w:val="Style41"/>
        <w:keepNext w:val="0"/>
        <w:keepLines w:val="0"/>
        <w:widowControl w:val="0"/>
        <w:shd w:val="clear" w:color="auto" w:fill="auto"/>
        <w:bidi w:val="0"/>
        <w:spacing w:before="0" w:after="400" w:line="240" w:lineRule="auto"/>
        <w:ind w:left="0" w:right="0" w:firstLine="360"/>
        <w:jc w:val="both"/>
      </w:pPr>
      <w:r>
        <w:rPr>
          <w:color w:val="000000"/>
          <w:spacing w:val="0"/>
          <w:w w:val="100"/>
          <w:position w:val="0"/>
        </w:rPr>
        <w:t>无。</w:t>
      </w:r>
    </w:p>
    <w:p>
      <w:pPr>
        <w:pStyle w:val="Style47"/>
        <w:keepNext/>
        <w:keepLines/>
        <w:widowControl w:val="0"/>
        <w:shd w:val="clear" w:color="auto" w:fill="auto"/>
        <w:tabs>
          <w:tab w:pos="474" w:val="left"/>
        </w:tabs>
        <w:bidi w:val="0"/>
        <w:spacing w:before="0" w:after="400" w:line="240" w:lineRule="auto"/>
        <w:ind w:left="0" w:right="0" w:firstLine="0"/>
        <w:jc w:val="both"/>
      </w:pPr>
      <w:bookmarkStart w:id="1403" w:name="bookmark1403"/>
      <w:bookmarkStart w:id="1404" w:name="bookmark1404"/>
      <w:bookmarkStart w:id="1405" w:name="bookmark1405"/>
      <w:bookmarkStart w:id="1406" w:name="bookmark1406"/>
      <w:r>
        <w:rPr>
          <w:color w:val="000000"/>
          <w:spacing w:val="0"/>
          <w:w w:val="100"/>
          <w:position w:val="0"/>
        </w:rPr>
        <w:t>1</w:t>
      </w:r>
      <w:bookmarkEnd w:id="1405"/>
      <w:r>
        <w:rPr>
          <w:color w:val="000000"/>
          <w:spacing w:val="0"/>
          <w:w w:val="100"/>
          <w:position w:val="0"/>
        </w:rPr>
        <w:t>5、</w:t>
        <w:tab/>
        <w:t>其他债权投资</w:t>
      </w:r>
      <w:bookmarkEnd w:id="1403"/>
      <w:bookmarkEnd w:id="1404"/>
      <w:bookmarkEnd w:id="1406"/>
    </w:p>
    <w:p>
      <w:pPr>
        <w:pStyle w:val="Style41"/>
        <w:keepNext w:val="0"/>
        <w:keepLines w:val="0"/>
        <w:widowControl w:val="0"/>
        <w:shd w:val="clear" w:color="auto" w:fill="auto"/>
        <w:bidi w:val="0"/>
        <w:spacing w:before="0" w:after="400" w:line="240" w:lineRule="auto"/>
        <w:ind w:left="0" w:right="0" w:firstLine="360"/>
        <w:jc w:val="both"/>
      </w:pPr>
      <w:r>
        <w:rPr>
          <w:color w:val="000000"/>
          <w:spacing w:val="0"/>
          <w:w w:val="100"/>
          <w:position w:val="0"/>
        </w:rPr>
        <w:t>无。</w:t>
      </w:r>
      <w:r>
        <w:br w:type="page"/>
      </w:r>
    </w:p>
    <w:p>
      <w:pPr>
        <w:pStyle w:val="Style47"/>
        <w:keepNext/>
        <w:keepLines/>
        <w:widowControl w:val="0"/>
        <w:shd w:val="clear" w:color="auto" w:fill="auto"/>
        <w:bidi w:val="0"/>
        <w:spacing w:before="0" w:after="400" w:line="240" w:lineRule="auto"/>
        <w:ind w:left="0" w:right="0" w:firstLine="0"/>
        <w:jc w:val="left"/>
      </w:pPr>
      <w:bookmarkStart w:id="1407" w:name="bookmark1407"/>
      <w:bookmarkStart w:id="1408" w:name="bookmark1408"/>
      <w:bookmarkStart w:id="1409" w:name="bookmark1409"/>
      <w:bookmarkStart w:id="1410" w:name="bookmark1410"/>
      <w:r>
        <w:rPr>
          <w:color w:val="000000"/>
          <w:spacing w:val="0"/>
          <w:w w:val="100"/>
          <w:position w:val="0"/>
        </w:rPr>
        <w:t>1</w:t>
      </w:r>
      <w:bookmarkEnd w:id="1409"/>
      <w:r>
        <w:rPr>
          <w:color w:val="000000"/>
          <w:spacing w:val="0"/>
          <w:w w:val="100"/>
          <w:position w:val="0"/>
        </w:rPr>
        <w:t>6、长期应收款</w:t>
      </w:r>
      <w:bookmarkEnd w:id="1407"/>
      <w:bookmarkEnd w:id="1408"/>
      <w:bookmarkEnd w:id="1410"/>
    </w:p>
    <w:p>
      <w:pPr>
        <w:pStyle w:val="Style41"/>
        <w:keepNext w:val="0"/>
        <w:keepLines w:val="0"/>
        <w:widowControl w:val="0"/>
        <w:shd w:val="clear" w:color="auto" w:fill="auto"/>
        <w:bidi w:val="0"/>
        <w:spacing w:before="0" w:after="400" w:line="240" w:lineRule="auto"/>
        <w:ind w:left="0" w:right="0" w:firstLine="360"/>
        <w:jc w:val="left"/>
      </w:pPr>
      <w:r>
        <w:rPr>
          <w:color w:val="000000"/>
          <w:spacing w:val="0"/>
          <w:w w:val="100"/>
          <w:position w:val="0"/>
        </w:rPr>
        <w:t>无。</w:t>
      </w:r>
    </w:p>
    <w:p>
      <w:pPr>
        <w:pStyle w:val="Style47"/>
        <w:keepNext/>
        <w:keepLines/>
        <w:widowControl w:val="0"/>
        <w:shd w:val="clear" w:color="auto" w:fill="auto"/>
        <w:bidi w:val="0"/>
        <w:spacing w:before="0" w:after="400" w:line="240" w:lineRule="auto"/>
        <w:ind w:left="0" w:right="0" w:firstLine="0"/>
        <w:jc w:val="left"/>
      </w:pPr>
      <w:bookmarkStart w:id="1411" w:name="bookmark1411"/>
      <w:bookmarkStart w:id="1412" w:name="bookmark1412"/>
      <w:bookmarkStart w:id="1413" w:name="bookmark1413"/>
      <w:bookmarkStart w:id="1414" w:name="bookmark1414"/>
      <w:r>
        <w:rPr>
          <w:color w:val="000000"/>
          <w:spacing w:val="0"/>
          <w:w w:val="100"/>
          <w:position w:val="0"/>
        </w:rPr>
        <w:t>1</w:t>
      </w:r>
      <w:bookmarkEnd w:id="1413"/>
      <w:r>
        <w:rPr>
          <w:color w:val="000000"/>
          <w:spacing w:val="0"/>
          <w:w w:val="100"/>
          <w:position w:val="0"/>
        </w:rPr>
        <w:t>7、长期股权投资</w:t>
      </w:r>
      <w:bookmarkEnd w:id="1411"/>
      <w:bookmarkEnd w:id="1412"/>
      <w:bookmarkEnd w:id="1414"/>
    </w:p>
    <w:p>
      <w:pPr>
        <w:pStyle w:val="Style41"/>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1282"/>
        <w:gridCol w:w="994"/>
        <w:gridCol w:w="706"/>
        <w:gridCol w:w="566"/>
        <w:gridCol w:w="994"/>
        <w:gridCol w:w="850"/>
        <w:gridCol w:w="710"/>
        <w:gridCol w:w="850"/>
        <w:gridCol w:w="710"/>
        <w:gridCol w:w="322"/>
        <w:gridCol w:w="797"/>
        <w:gridCol w:w="806"/>
      </w:tblGrid>
      <w:tr>
        <w:trPr>
          <w:trHeight w:val="408" w:hRule="exact"/>
        </w:trPr>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180"/>
              <w:jc w:val="left"/>
            </w:pPr>
            <w:r>
              <w:rPr>
                <w:color w:val="000000"/>
                <w:spacing w:val="0"/>
                <w:w w:val="100"/>
                <w:position w:val="0"/>
              </w:rPr>
              <w:t>被投资单位</w:t>
            </w:r>
          </w:p>
        </w:tc>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期初余额</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7"/>
                <w:szCs w:val="17"/>
              </w:rPr>
              <w:t>账面价值</w:t>
            </w:r>
            <w:r>
              <w:rPr>
                <w:color w:val="000000"/>
                <w:spacing w:val="0"/>
                <w:w w:val="100"/>
                <w:position w:val="0"/>
                <w:sz w:val="18"/>
                <w:szCs w:val="18"/>
              </w:rPr>
              <w:t>）</w:t>
            </w:r>
          </w:p>
        </w:tc>
        <w:tc>
          <w:tcPr>
            <w:gridSpan w:val="8"/>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本期增减变动</w:t>
            </w:r>
          </w:p>
        </w:tc>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22" w:lineRule="exact"/>
              <w:ind w:left="0" w:right="0" w:firstLine="0"/>
              <w:jc w:val="both"/>
            </w:pPr>
            <w:r>
              <w:rPr>
                <w:color w:val="000000"/>
                <w:spacing w:val="0"/>
                <w:w w:val="100"/>
                <w:position w:val="0"/>
              </w:rPr>
              <w:t>期末余额</w:t>
            </w:r>
          </w:p>
          <w:p>
            <w:pPr>
              <w:pStyle w:val="Style2"/>
              <w:keepNext w:val="0"/>
              <w:keepLines w:val="0"/>
              <w:widowControl w:val="0"/>
              <w:shd w:val="clear" w:color="auto" w:fill="auto"/>
              <w:bidi w:val="0"/>
              <w:spacing w:before="0" w:after="0" w:line="322" w:lineRule="exact"/>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7"/>
                <w:szCs w:val="17"/>
              </w:rPr>
              <w:t>账面价 值</w:t>
            </w:r>
            <w:r>
              <w:rPr>
                <w:color w:val="000000"/>
                <w:spacing w:val="0"/>
                <w:w w:val="100"/>
                <w:position w:val="0"/>
                <w:sz w:val="18"/>
                <w:szCs w:val="18"/>
              </w:rPr>
              <w:t>）</w:t>
            </w:r>
          </w:p>
        </w:tc>
        <w:tc>
          <w:tcPr>
            <w:vMerge w:val="restart"/>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120" w:line="240" w:lineRule="auto"/>
              <w:ind w:left="0" w:right="0" w:firstLine="0"/>
              <w:jc w:val="right"/>
            </w:pPr>
            <w:r>
              <w:rPr>
                <w:color w:val="000000"/>
                <w:spacing w:val="0"/>
                <w:w w:val="100"/>
                <w:position w:val="0"/>
              </w:rPr>
              <w:t>减值准备</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期末余额</w:t>
            </w:r>
          </w:p>
        </w:tc>
      </w:tr>
      <w:tr>
        <w:trPr>
          <w:trHeight w:val="1027" w:hRule="exact"/>
        </w:trPr>
        <w:tc>
          <w:tcPr>
            <w:vMerge/>
            <w:tcBorders>
              <w:left w:val="single" w:sz="4"/>
            </w:tcBorders>
            <w:shd w:val="clear" w:color="auto" w:fill="D7D7D7"/>
            <w:vAlign w:val="center"/>
          </w:tcPr>
          <w:p>
            <w:pPr/>
          </w:p>
        </w:tc>
        <w:tc>
          <w:tcPr>
            <w:vMerge/>
            <w:tcBorders>
              <w:left w:val="single" w:sz="4"/>
            </w:tcBorders>
            <w:shd w:val="clear" w:color="auto" w:fill="D7D7D7"/>
            <w:vAlign w:val="center"/>
          </w:tcPr>
          <w:p>
            <w:pP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追加投 资</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120" w:line="240" w:lineRule="auto"/>
              <w:ind w:left="0" w:right="0" w:firstLine="0"/>
              <w:jc w:val="left"/>
            </w:pPr>
            <w:r>
              <w:rPr>
                <w:color w:val="000000"/>
                <w:spacing w:val="0"/>
                <w:w w:val="100"/>
                <w:position w:val="0"/>
              </w:rPr>
              <w:t>减少</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投资</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120" w:line="240" w:lineRule="auto"/>
              <w:ind w:left="0" w:right="0" w:firstLine="0"/>
              <w:jc w:val="left"/>
            </w:pPr>
            <w:r>
              <w:rPr>
                <w:color w:val="000000"/>
                <w:spacing w:val="0"/>
                <w:w w:val="100"/>
                <w:position w:val="0"/>
              </w:rPr>
              <w:t>权益法下确</w:t>
            </w:r>
          </w:p>
          <w:p>
            <w:pPr>
              <w:pStyle w:val="Style2"/>
              <w:keepNext w:val="0"/>
              <w:keepLines w:val="0"/>
              <w:widowControl w:val="0"/>
              <w:shd w:val="clear" w:color="auto" w:fill="auto"/>
              <w:bidi w:val="0"/>
              <w:spacing w:before="0" w:after="120" w:line="240" w:lineRule="auto"/>
              <w:ind w:left="0" w:right="0" w:firstLine="0"/>
              <w:jc w:val="left"/>
            </w:pPr>
            <w:r>
              <w:rPr>
                <w:color w:val="000000"/>
                <w:spacing w:val="0"/>
                <w:w w:val="100"/>
                <w:position w:val="0"/>
              </w:rPr>
              <w:t>认的投资损</w:t>
            </w:r>
          </w:p>
          <w:p>
            <w:pPr>
              <w:pStyle w:val="Style2"/>
              <w:keepNext w:val="0"/>
              <w:keepLines w:val="0"/>
              <w:widowControl w:val="0"/>
              <w:shd w:val="clear" w:color="auto" w:fill="auto"/>
              <w:bidi w:val="0"/>
              <w:spacing w:before="0" w:after="120" w:line="240" w:lineRule="auto"/>
              <w:ind w:left="0" w:right="0" w:firstLine="0"/>
              <w:jc w:val="center"/>
            </w:pPr>
            <w:r>
              <w:rPr>
                <w:color w:val="000000"/>
                <w:spacing w:val="0"/>
                <w:w w:val="100"/>
                <w:position w:val="0"/>
                <w:u w:val="single"/>
              </w:rPr>
              <w:t>益</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07" w:lineRule="exact"/>
              <w:ind w:left="0" w:right="0" w:firstLine="0"/>
              <w:jc w:val="left"/>
            </w:pPr>
            <w:r>
              <w:rPr>
                <w:color w:val="000000"/>
                <w:spacing w:val="0"/>
                <w:w w:val="100"/>
                <w:position w:val="0"/>
              </w:rPr>
              <w:t>其他综合 收益调整</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其他权 益变动</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22" w:lineRule="exact"/>
              <w:ind w:left="0" w:right="0" w:firstLine="0"/>
              <w:jc w:val="center"/>
            </w:pPr>
            <w:r>
              <w:rPr>
                <w:color w:val="000000"/>
                <w:spacing w:val="0"/>
                <w:w w:val="100"/>
                <w:position w:val="0"/>
              </w:rPr>
              <w:t>宣告发放 现金股利 或利润</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计提减 值准备</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02" w:lineRule="exact"/>
              <w:ind w:left="0" w:right="0" w:firstLine="0"/>
              <w:jc w:val="center"/>
            </w:pPr>
            <w:r>
              <w:rPr>
                <w:color w:val="000000"/>
                <w:spacing w:val="0"/>
                <w:w w:val="100"/>
                <w:position w:val="0"/>
              </w:rPr>
              <w:t>其 他</w:t>
            </w:r>
          </w:p>
        </w:tc>
        <w:tc>
          <w:tcPr>
            <w:vMerge/>
            <w:tcBorders>
              <w:left w:val="single" w:sz="4"/>
            </w:tcBorders>
            <w:shd w:val="clear" w:color="auto" w:fill="D7D7D7"/>
            <w:vAlign w:val="center"/>
          </w:tcPr>
          <w:p>
            <w:pPr/>
          </w:p>
        </w:tc>
        <w:tc>
          <w:tcPr>
            <w:vMerge/>
            <w:tcBorders>
              <w:left w:val="single" w:sz="4"/>
              <w:right w:val="single" w:sz="4"/>
            </w:tcBorders>
            <w:shd w:val="clear" w:color="auto" w:fill="D7D7D7"/>
            <w:vAlign w:val="center"/>
          </w:tcPr>
          <w:p>
            <w:pPr/>
          </w:p>
        </w:tc>
      </w:tr>
      <w:tr>
        <w:trPr>
          <w:trHeight w:val="403" w:hRule="exact"/>
        </w:trPr>
        <w:tc>
          <w:tcPr>
            <w:gridSpan w:val="12"/>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一、合营企业</w:t>
            </w:r>
          </w:p>
        </w:tc>
      </w:tr>
      <w:tr>
        <w:trPr>
          <w:trHeight w:val="398" w:hRule="exact"/>
        </w:trPr>
        <w:tc>
          <w:tcPr>
            <w:gridSpan w:val="12"/>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二、联营企业</w:t>
            </w:r>
          </w:p>
        </w:tc>
      </w:tr>
      <w:tr>
        <w:trPr>
          <w:trHeight w:val="102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both"/>
            </w:pPr>
            <w:r>
              <w:rPr>
                <w:color w:val="000000"/>
                <w:spacing w:val="0"/>
                <w:w w:val="100"/>
                <w:position w:val="0"/>
              </w:rPr>
              <w:t>宁波泰岳梧桐 投资管理有限 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both"/>
              <w:rPr>
                <w:sz w:val="18"/>
                <w:szCs w:val="18"/>
              </w:rPr>
            </w:pPr>
            <w:r>
              <w:rPr>
                <w:rFonts w:ascii="Times New Roman" w:eastAsia="Times New Roman" w:hAnsi="Times New Roman" w:cs="Times New Roman"/>
                <w:color w:val="000000"/>
                <w:spacing w:val="0"/>
                <w:w w:val="100"/>
                <w:position w:val="0"/>
                <w:sz w:val="18"/>
                <w:szCs w:val="18"/>
              </w:rPr>
              <w:t>80,828.39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-80,828.39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both"/>
            </w:pPr>
            <w:r>
              <w:rPr>
                <w:color w:val="000000"/>
                <w:spacing w:val="0"/>
                <w:w w:val="100"/>
                <w:position w:val="0"/>
              </w:rPr>
              <w:t>北京神州泰岳 良品电子商务 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47,118,868.</w:t>
            </w:r>
          </w:p>
          <w:p>
            <w:pPr>
              <w:pStyle w:val="Style2"/>
              <w:keepNext w:val="0"/>
              <w:keepLines w:val="0"/>
              <w:widowControl w:val="0"/>
              <w:shd w:val="clear" w:color="auto" w:fill="auto"/>
              <w:bidi w:val="0"/>
              <w:spacing w:before="0" w:after="0" w:line="240" w:lineRule="auto"/>
              <w:ind w:left="0" w:right="0" w:firstLine="780"/>
              <w:jc w:val="left"/>
              <w:rPr>
                <w:sz w:val="18"/>
                <w:szCs w:val="18"/>
              </w:rPr>
            </w:pPr>
            <w:r>
              <w:rPr>
                <w:rFonts w:ascii="Times New Roman" w:eastAsia="Times New Roman" w:hAnsi="Times New Roman" w:cs="Times New Roman"/>
                <w:color w:val="000000"/>
                <w:spacing w:val="0"/>
                <w:w w:val="100"/>
                <w:position w:val="0"/>
                <w:sz w:val="18"/>
                <w:szCs w:val="18"/>
              </w:rPr>
              <w:t>67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-2,065,485.0</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45,053,38</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3.67</w:t>
            </w: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北京神州泰岳 教育科技有限 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蓝鸥科技有限 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61,532,11</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1.30</w:t>
            </w:r>
          </w:p>
        </w:tc>
      </w:tr>
      <w:tr>
        <w:trPr>
          <w:trHeight w:val="102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both"/>
            </w:pPr>
            <w:r>
              <w:rPr>
                <w:color w:val="000000"/>
                <w:spacing w:val="0"/>
                <w:w w:val="100"/>
                <w:position w:val="0"/>
              </w:rPr>
              <w:t>珠海神州泰岳 投资管理有限 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754,630.60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-396,646.42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357,984.1</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w:t>
            </w: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both"/>
            </w:pPr>
            <w:r>
              <w:rPr>
                <w:color w:val="000000"/>
                <w:spacing w:val="0"/>
                <w:w w:val="100"/>
                <w:position w:val="0"/>
              </w:rPr>
              <w:t>珠海泰岳梧桐 投资管理有限 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737,459.15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-278,108.28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459,350.8</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w:t>
            </w: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pPr>
            <w:r>
              <w:rPr>
                <w:color w:val="000000"/>
                <w:spacing w:val="0"/>
                <w:w w:val="100"/>
                <w:position w:val="0"/>
              </w:rPr>
              <w:t>中建智能技术</w:t>
            </w:r>
          </w:p>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24,041,890.</w:t>
            </w:r>
          </w:p>
          <w:p>
            <w:pPr>
              <w:pStyle w:val="Style2"/>
              <w:keepNext w:val="0"/>
              <w:keepLines w:val="0"/>
              <w:widowControl w:val="0"/>
              <w:shd w:val="clear" w:color="auto" w:fill="auto"/>
              <w:bidi w:val="0"/>
              <w:spacing w:before="0" w:after="0" w:line="240" w:lineRule="auto"/>
              <w:ind w:left="0" w:right="0" w:firstLine="780"/>
              <w:jc w:val="left"/>
              <w:rPr>
                <w:sz w:val="18"/>
                <w:szCs w:val="18"/>
              </w:rPr>
            </w:pPr>
            <w:r>
              <w:rPr>
                <w:rFonts w:ascii="Times New Roman" w:eastAsia="Times New Roman" w:hAnsi="Times New Roman" w:cs="Times New Roman"/>
                <w:color w:val="000000"/>
                <w:spacing w:val="0"/>
                <w:w w:val="100"/>
                <w:position w:val="0"/>
                <w:sz w:val="18"/>
                <w:szCs w:val="18"/>
              </w:rPr>
              <w:t>66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4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2,348,978.4</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26,390,86</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9.07</w:t>
            </w: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pPr>
            <w:r>
              <w:rPr>
                <w:color w:val="000000"/>
                <w:spacing w:val="0"/>
                <w:w w:val="100"/>
                <w:position w:val="0"/>
              </w:rPr>
              <w:t>安徽神州祥升</w:t>
            </w:r>
          </w:p>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软件有限公司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947,110.50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-224,449.20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722,661.3</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both"/>
            </w:pPr>
            <w:r>
              <w:rPr>
                <w:color w:val="000000"/>
                <w:spacing w:val="0"/>
                <w:w w:val="100"/>
                <w:position w:val="0"/>
              </w:rPr>
              <w:t>北京神州泰岳 智能数据技术 有限公司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86,188,6</w:t>
            </w:r>
          </w:p>
          <w:p>
            <w:pPr>
              <w:pStyle w:val="Style2"/>
              <w:keepNext w:val="0"/>
              <w:keepLines w:val="0"/>
              <w:widowControl w:val="0"/>
              <w:shd w:val="clear" w:color="auto" w:fill="auto"/>
              <w:bidi w:val="0"/>
              <w:spacing w:before="0" w:after="0" w:line="240" w:lineRule="auto"/>
              <w:ind w:left="0" w:right="0" w:firstLine="260"/>
              <w:jc w:val="left"/>
              <w:rPr>
                <w:sz w:val="18"/>
                <w:szCs w:val="18"/>
              </w:rPr>
            </w:pPr>
            <w:r>
              <w:rPr>
                <w:rFonts w:ascii="Times New Roman" w:eastAsia="Times New Roman" w:hAnsi="Times New Roman" w:cs="Times New Roman"/>
                <w:color w:val="000000"/>
                <w:spacing w:val="0"/>
                <w:w w:val="100"/>
                <w:position w:val="0"/>
                <w:sz w:val="18"/>
                <w:szCs w:val="18"/>
              </w:rPr>
              <w:t>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-34,476,719.</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51,711,88</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0.19</w:t>
            </w: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小计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73,680,787.</w:t>
            </w:r>
          </w:p>
          <w:p>
            <w:pPr>
              <w:pStyle w:val="Style2"/>
              <w:keepNext w:val="0"/>
              <w:keepLines w:val="0"/>
              <w:widowControl w:val="0"/>
              <w:shd w:val="clear" w:color="auto" w:fill="auto"/>
              <w:bidi w:val="0"/>
              <w:spacing w:before="0" w:after="0" w:line="240" w:lineRule="auto"/>
              <w:ind w:left="0" w:right="0" w:firstLine="780"/>
              <w:jc w:val="left"/>
              <w:rPr>
                <w:sz w:val="18"/>
                <w:szCs w:val="18"/>
              </w:rPr>
            </w:pPr>
            <w:r>
              <w:rPr>
                <w:rFonts w:ascii="Times New Roman" w:eastAsia="Times New Roman" w:hAnsi="Times New Roman" w:cs="Times New Roman"/>
                <w:color w:val="000000"/>
                <w:spacing w:val="0"/>
                <w:w w:val="100"/>
                <w:position w:val="0"/>
                <w:sz w:val="18"/>
                <w:szCs w:val="18"/>
              </w:rPr>
              <w:t>97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86,188,6</w:t>
            </w:r>
          </w:p>
          <w:p>
            <w:pPr>
              <w:pStyle w:val="Style2"/>
              <w:keepNext w:val="0"/>
              <w:keepLines w:val="0"/>
              <w:widowControl w:val="0"/>
              <w:shd w:val="clear" w:color="auto" w:fill="auto"/>
              <w:bidi w:val="0"/>
              <w:spacing w:before="0" w:after="0" w:line="240" w:lineRule="auto"/>
              <w:ind w:left="0" w:right="0" w:firstLine="260"/>
              <w:jc w:val="left"/>
              <w:rPr>
                <w:sz w:val="18"/>
                <w:szCs w:val="18"/>
              </w:rPr>
            </w:pPr>
            <w:r>
              <w:rPr>
                <w:rFonts w:ascii="Times New Roman" w:eastAsia="Times New Roman" w:hAnsi="Times New Roman" w:cs="Times New Roman"/>
                <w:color w:val="000000"/>
                <w:spacing w:val="0"/>
                <w:w w:val="100"/>
                <w:position w:val="0"/>
                <w:sz w:val="18"/>
                <w:szCs w:val="18"/>
              </w:rPr>
              <w:t>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-35,173,258.</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124,696,1</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29.28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61,532,11</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1.30</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73,680,787.</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86,188,6</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-35,173,258.</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124,696,1</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61,532,11</w:t>
            </w:r>
          </w:p>
        </w:tc>
      </w:tr>
    </w:tbl>
    <w:p>
      <w:pPr>
        <w:widowControl w:val="0"/>
        <w:spacing w:line="1" w:lineRule="exact"/>
      </w:pPr>
      <w:r>
        <w:br w:type="page"/>
      </w:r>
    </w:p>
    <w:tbl>
      <w:tblPr>
        <w:tblOverlap w:val="never"/>
        <w:jc w:val="center"/>
        <w:tblLayout w:type="fixed"/>
      </w:tblPr>
      <w:tblGrid>
        <w:gridCol w:w="1282"/>
        <w:gridCol w:w="994"/>
        <w:gridCol w:w="706"/>
        <w:gridCol w:w="566"/>
        <w:gridCol w:w="994"/>
        <w:gridCol w:w="850"/>
        <w:gridCol w:w="710"/>
        <w:gridCol w:w="850"/>
        <w:gridCol w:w="710"/>
        <w:gridCol w:w="322"/>
        <w:gridCol w:w="797"/>
        <w:gridCol w:w="806"/>
      </w:tblGrid>
      <w:tr>
        <w:trPr>
          <w:trHeight w:val="374" w:hRule="exact"/>
        </w:trPr>
        <w:tc>
          <w:tcPr>
            <w:tcBorders>
              <w:top w:val="single" w:sz="4"/>
              <w:left w:val="single" w:sz="4"/>
              <w:bottom w:val="single" w:sz="4"/>
            </w:tcBorders>
            <w:shd w:val="clear" w:color="auto" w:fill="D7D7D7"/>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97</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rPr>
                <w:sz w:val="18"/>
                <w:szCs w:val="18"/>
              </w:rPr>
            </w:pPr>
            <w:r>
              <w:rPr>
                <w:rFonts w:ascii="Times New Roman" w:eastAsia="Times New Roman" w:hAnsi="Times New Roman" w:cs="Times New Roman"/>
                <w:color w:val="000000"/>
                <w:spacing w:val="0"/>
                <w:w w:val="100"/>
                <w:position w:val="0"/>
                <w:sz w:val="18"/>
                <w:szCs w:val="18"/>
              </w:rPr>
              <w:t>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69</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29.28</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1.30</w:t>
            </w:r>
          </w:p>
        </w:tc>
      </w:tr>
    </w:tbl>
    <w:p>
      <w:pPr>
        <w:widowControl w:val="0"/>
        <w:spacing w:after="659" w:line="1" w:lineRule="exact"/>
      </w:pPr>
    </w:p>
    <w:p>
      <w:pPr>
        <w:pStyle w:val="Style47"/>
        <w:keepNext/>
        <w:keepLines/>
        <w:widowControl w:val="0"/>
        <w:shd w:val="clear" w:color="auto" w:fill="auto"/>
        <w:bidi w:val="0"/>
        <w:spacing w:before="0" w:after="400" w:line="240" w:lineRule="auto"/>
        <w:ind w:left="0" w:right="0" w:firstLine="0"/>
        <w:jc w:val="left"/>
      </w:pPr>
      <w:bookmarkStart w:id="1415" w:name="bookmark1415"/>
      <w:bookmarkStart w:id="1416" w:name="bookmark1416"/>
      <w:bookmarkStart w:id="1417" w:name="bookmark1417"/>
      <w:bookmarkStart w:id="1418" w:name="bookmark1418"/>
      <w:r>
        <w:rPr>
          <w:color w:val="000000"/>
          <w:spacing w:val="0"/>
          <w:w w:val="100"/>
          <w:position w:val="0"/>
        </w:rPr>
        <w:t>1</w:t>
      </w:r>
      <w:bookmarkEnd w:id="1417"/>
      <w:r>
        <w:rPr>
          <w:color w:val="000000"/>
          <w:spacing w:val="0"/>
          <w:w w:val="100"/>
          <w:position w:val="0"/>
        </w:rPr>
        <w:t>8、其他权益工具投资</w:t>
      </w:r>
      <w:bookmarkEnd w:id="1415"/>
      <w:bookmarkEnd w:id="1416"/>
      <w:bookmarkEnd w:id="1418"/>
    </w:p>
    <w:p>
      <w:pPr>
        <w:pStyle w:val="Style41"/>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center"/>
        <w:tblLayout w:type="fixed"/>
      </w:tblPr>
      <w:tblGrid>
        <w:gridCol w:w="3192"/>
        <w:gridCol w:w="3192"/>
        <w:gridCol w:w="3202"/>
      </w:tblGrid>
      <w:tr>
        <w:trPr>
          <w:trHeight w:val="40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非上市公司股权</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16,538,743.49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16,792,264.49</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16,538,743.49</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16,792,264.49</w:t>
            </w:r>
          </w:p>
        </w:tc>
      </w:tr>
    </w:tbl>
    <w:p>
      <w:pPr>
        <w:widowControl w:val="0"/>
        <w:spacing w:after="439" w:line="1" w:lineRule="exact"/>
      </w:pPr>
    </w:p>
    <w:p>
      <w:pPr>
        <w:pStyle w:val="Style41"/>
        <w:keepNext w:val="0"/>
        <w:keepLines w:val="0"/>
        <w:widowControl w:val="0"/>
        <w:shd w:val="clear" w:color="auto" w:fill="auto"/>
        <w:bidi w:val="0"/>
        <w:spacing w:before="0" w:after="140" w:line="240" w:lineRule="auto"/>
        <w:ind w:left="0" w:right="0" w:firstLine="0"/>
        <w:jc w:val="left"/>
      </w:pPr>
      <w:r>
        <w:rPr>
          <w:color w:val="000000"/>
          <w:spacing w:val="0"/>
          <w:w w:val="100"/>
          <w:position w:val="0"/>
        </w:rPr>
        <w:t>本期非交易性权益工具投资情况</w:t>
      </w:r>
    </w:p>
    <w:p>
      <w:pPr>
        <w:pStyle w:val="Style41"/>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center"/>
        <w:tblLayout w:type="fixed"/>
      </w:tblPr>
      <w:tblGrid>
        <w:gridCol w:w="1373"/>
        <w:gridCol w:w="902"/>
        <w:gridCol w:w="989"/>
        <w:gridCol w:w="1277"/>
        <w:gridCol w:w="1560"/>
        <w:gridCol w:w="2107"/>
        <w:gridCol w:w="1378"/>
      </w:tblGrid>
      <w:tr>
        <w:trPr>
          <w:trHeight w:val="1032"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项目名称</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确认的股 利收入</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累计利得</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累计损失</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其他综合收益转入 留存收益的金额</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4" w:lineRule="exact"/>
              <w:ind w:left="0" w:right="0" w:firstLine="0"/>
              <w:jc w:val="center"/>
            </w:pPr>
            <w:r>
              <w:rPr>
                <w:color w:val="000000"/>
                <w:spacing w:val="0"/>
                <w:w w:val="100"/>
                <w:position w:val="0"/>
              </w:rPr>
              <w:t>指定为以公允价值计量且 其变动计入其他综合收益 的原因</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314" w:lineRule="exact"/>
              <w:ind w:left="0" w:right="0" w:firstLine="0"/>
              <w:jc w:val="center"/>
            </w:pPr>
            <w:r>
              <w:rPr>
                <w:color w:val="000000"/>
                <w:spacing w:val="0"/>
                <w:w w:val="100"/>
                <w:position w:val="0"/>
              </w:rPr>
              <w:t>其他综合收益转 入留存收益的原 因</w:t>
            </w:r>
          </w:p>
        </w:tc>
      </w:tr>
      <w:tr>
        <w:trPr>
          <w:trHeight w:val="41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非上市公司股权</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30,063,399.95</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出于战略目的长期持有</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659" w:line="1" w:lineRule="exact"/>
      </w:pPr>
    </w:p>
    <w:p>
      <w:pPr>
        <w:pStyle w:val="Style47"/>
        <w:keepNext/>
        <w:keepLines/>
        <w:widowControl w:val="0"/>
        <w:shd w:val="clear" w:color="auto" w:fill="auto"/>
        <w:bidi w:val="0"/>
        <w:spacing w:before="0" w:after="400" w:line="240" w:lineRule="auto"/>
        <w:ind w:left="0" w:right="0" w:firstLine="0"/>
        <w:jc w:val="left"/>
      </w:pPr>
      <w:bookmarkStart w:id="1419" w:name="bookmark1419"/>
      <w:bookmarkStart w:id="1420" w:name="bookmark1420"/>
      <w:bookmarkStart w:id="1421" w:name="bookmark1421"/>
      <w:bookmarkStart w:id="1422" w:name="bookmark1422"/>
      <w:r>
        <w:rPr>
          <w:color w:val="000000"/>
          <w:spacing w:val="0"/>
          <w:w w:val="100"/>
          <w:position w:val="0"/>
        </w:rPr>
        <w:t>1</w:t>
      </w:r>
      <w:bookmarkEnd w:id="1421"/>
      <w:r>
        <w:rPr>
          <w:color w:val="000000"/>
          <w:spacing w:val="0"/>
          <w:w w:val="100"/>
          <w:position w:val="0"/>
        </w:rPr>
        <w:t>9、其他非流动金融资产</w:t>
      </w:r>
      <w:bookmarkEnd w:id="1419"/>
      <w:bookmarkEnd w:id="1420"/>
      <w:bookmarkEnd w:id="1422"/>
    </w:p>
    <w:p>
      <w:pPr>
        <w:pStyle w:val="Style41"/>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center"/>
        <w:tblLayout w:type="fixed"/>
      </w:tblPr>
      <w:tblGrid>
        <w:gridCol w:w="3192"/>
        <w:gridCol w:w="3192"/>
        <w:gridCol w:w="3202"/>
      </w:tblGrid>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以公允价值计量且其变动计入当期损益 的金融资产</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权益工具投资</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177,727,023.21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176,542,160.12</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177,727,023.21</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176,542,160.12</w:t>
            </w:r>
          </w:p>
        </w:tc>
      </w:tr>
    </w:tbl>
    <w:p>
      <w:pPr>
        <w:widowControl w:val="0"/>
        <w:spacing w:after="659" w:line="1" w:lineRule="exact"/>
      </w:pPr>
    </w:p>
    <w:p>
      <w:pPr>
        <w:pStyle w:val="Style47"/>
        <w:keepNext/>
        <w:keepLines/>
        <w:widowControl w:val="0"/>
        <w:shd w:val="clear" w:color="auto" w:fill="auto"/>
        <w:bidi w:val="0"/>
        <w:spacing w:before="0" w:after="400" w:line="240" w:lineRule="auto"/>
        <w:ind w:left="0" w:right="0" w:firstLine="0"/>
        <w:jc w:val="both"/>
      </w:pPr>
      <w:bookmarkStart w:id="1423" w:name="bookmark1423"/>
      <w:bookmarkStart w:id="1424" w:name="bookmark1424"/>
      <w:bookmarkStart w:id="1425" w:name="bookmark1425"/>
      <w:bookmarkStart w:id="1426" w:name="bookmark1426"/>
      <w:r>
        <w:rPr>
          <w:color w:val="000000"/>
          <w:spacing w:val="0"/>
          <w:w w:val="100"/>
          <w:position w:val="0"/>
        </w:rPr>
        <w:t>2</w:t>
      </w:r>
      <w:bookmarkEnd w:id="1425"/>
      <w:r>
        <w:rPr>
          <w:color w:val="000000"/>
          <w:spacing w:val="0"/>
          <w:w w:val="100"/>
          <w:position w:val="0"/>
        </w:rPr>
        <w:t>0、投资性房地产</w:t>
      </w:r>
      <w:bookmarkEnd w:id="1423"/>
      <w:bookmarkEnd w:id="1424"/>
      <w:bookmarkEnd w:id="1426"/>
    </w:p>
    <w:p>
      <w:pPr>
        <w:pStyle w:val="Style58"/>
        <w:keepNext/>
        <w:keepLines/>
        <w:widowControl w:val="0"/>
        <w:shd w:val="clear" w:color="auto" w:fill="auto"/>
        <w:bidi w:val="0"/>
        <w:spacing w:before="0" w:after="400" w:line="240" w:lineRule="auto"/>
        <w:ind w:left="0" w:right="0" w:firstLine="0"/>
        <w:jc w:val="both"/>
        <w:rPr>
          <w:sz w:val="20"/>
          <w:szCs w:val="20"/>
        </w:rPr>
      </w:pPr>
      <w:bookmarkStart w:id="1427" w:name="bookmark1427"/>
      <w:bookmarkStart w:id="1428" w:name="bookmark1428"/>
      <w:bookmarkStart w:id="1429" w:name="bookmark1429"/>
      <w:bookmarkStart w:id="1430" w:name="bookmark1430"/>
      <w:r>
        <w:rPr>
          <w:b/>
          <w:bCs/>
          <w:color w:val="000000"/>
          <w:spacing w:val="0"/>
          <w:w w:val="100"/>
          <w:position w:val="0"/>
          <w:sz w:val="20"/>
          <w:szCs w:val="20"/>
        </w:rPr>
        <w:t>（</w:t>
      </w:r>
      <w:bookmarkEnd w:id="1429"/>
      <w:r>
        <w:rPr>
          <w:b/>
          <w:bCs/>
          <w:color w:val="000000"/>
          <w:spacing w:val="0"/>
          <w:w w:val="100"/>
          <w:position w:val="0"/>
          <w:sz w:val="20"/>
          <w:szCs w:val="20"/>
        </w:rPr>
        <w:t>1）采用成本计量模式的投资性房地产</w:t>
      </w:r>
      <w:bookmarkEnd w:id="1427"/>
      <w:bookmarkEnd w:id="1428"/>
      <w:bookmarkEnd w:id="1430"/>
    </w:p>
    <w:p>
      <w:pPr>
        <w:pStyle w:val="Style41"/>
        <w:keepNext w:val="0"/>
        <w:keepLines w:val="0"/>
        <w:widowControl w:val="0"/>
        <w:shd w:val="clear" w:color="auto" w:fill="auto"/>
        <w:bidi w:val="0"/>
        <w:spacing w:before="0" w:after="140" w:line="240" w:lineRule="auto"/>
        <w:ind w:left="0" w:right="0" w:firstLine="0"/>
        <w:jc w:val="both"/>
      </w:pPr>
      <w:r>
        <w:rPr>
          <w:color w:val="000000"/>
          <w:spacing w:val="0"/>
          <w:w w:val="100"/>
          <w:position w:val="0"/>
          <w:sz w:val="18"/>
          <w:szCs w:val="18"/>
        </w:rPr>
        <w:t>寸</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41"/>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center"/>
        <w:tblLayout w:type="fixed"/>
      </w:tblPr>
      <w:tblGrid>
        <w:gridCol w:w="3230"/>
        <w:gridCol w:w="3235"/>
        <w:gridCol w:w="3077"/>
      </w:tblGrid>
      <w:tr>
        <w:trPr>
          <w:trHeight w:val="40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房屋、建筑物</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一、账面原值</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期初余额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247,258,134.78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247,258,134.78</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本期增加金额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）外购</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）存货</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固定资产</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在建工程转入</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pPr>
      <w:r>
        <w:br w:type="page"/>
      </w:r>
    </w:p>
    <w:tbl>
      <w:tblPr>
        <w:tblOverlap w:val="never"/>
        <w:jc w:val="center"/>
        <w:tblLayout w:type="fixed"/>
      </w:tblPr>
      <w:tblGrid>
        <w:gridCol w:w="3230"/>
        <w:gridCol w:w="3235"/>
        <w:gridCol w:w="3077"/>
      </w:tblGrid>
      <w:tr>
        <w:trPr>
          <w:trHeight w:val="480"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）企业合并增加</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sz w:val="18"/>
                <w:szCs w:val="18"/>
              </w:rPr>
              <w:t>3.</w:t>
            </w:r>
            <w:r>
              <w:rPr>
                <w:color w:val="000000"/>
                <w:spacing w:val="0"/>
                <w:w w:val="100"/>
                <w:position w:val="0"/>
              </w:rPr>
              <w:t>本期减少金额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）处置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）其他转出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sz w:val="18"/>
                <w:szCs w:val="18"/>
              </w:rPr>
              <w:t>4.</w:t>
            </w:r>
            <w:r>
              <w:rPr>
                <w:color w:val="000000"/>
                <w:spacing w:val="0"/>
                <w:w w:val="100"/>
                <w:position w:val="0"/>
              </w:rPr>
              <w:t>期末余额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80" w:right="0" w:firstLine="0"/>
              <w:jc w:val="left"/>
              <w:rPr>
                <w:sz w:val="18"/>
                <w:szCs w:val="18"/>
              </w:rPr>
            </w:pPr>
            <w:r>
              <w:rPr>
                <w:rFonts w:ascii="Times New Roman" w:eastAsia="Times New Roman" w:hAnsi="Times New Roman" w:cs="Times New Roman"/>
                <w:color w:val="000000"/>
                <w:spacing w:val="0"/>
                <w:w w:val="100"/>
                <w:position w:val="0"/>
                <w:sz w:val="18"/>
                <w:szCs w:val="18"/>
              </w:rPr>
              <w:t>247,258,134.78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00" w:right="0" w:firstLine="0"/>
              <w:jc w:val="both"/>
              <w:rPr>
                <w:sz w:val="18"/>
                <w:szCs w:val="18"/>
              </w:rPr>
            </w:pPr>
            <w:r>
              <w:rPr>
                <w:rFonts w:ascii="Times New Roman" w:eastAsia="Times New Roman" w:hAnsi="Times New Roman" w:cs="Times New Roman"/>
                <w:color w:val="000000"/>
                <w:spacing w:val="0"/>
                <w:w w:val="100"/>
                <w:position w:val="0"/>
                <w:sz w:val="18"/>
                <w:szCs w:val="18"/>
              </w:rPr>
              <w:t>247,258,134.78</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二、累计折旧和累计摊销</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期初余额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60" w:right="0" w:firstLine="0"/>
              <w:jc w:val="left"/>
              <w:rPr>
                <w:sz w:val="18"/>
                <w:szCs w:val="18"/>
              </w:rPr>
            </w:pPr>
            <w:r>
              <w:rPr>
                <w:rFonts w:ascii="Times New Roman" w:eastAsia="Times New Roman" w:hAnsi="Times New Roman" w:cs="Times New Roman"/>
                <w:color w:val="000000"/>
                <w:spacing w:val="0"/>
                <w:w w:val="100"/>
                <w:position w:val="0"/>
                <w:sz w:val="18"/>
                <w:szCs w:val="18"/>
              </w:rPr>
              <w:t>38,588,222.90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38,588,222.90</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本期增加金额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60" w:right="0" w:firstLine="0"/>
              <w:jc w:val="left"/>
              <w:rPr>
                <w:sz w:val="18"/>
                <w:szCs w:val="18"/>
              </w:rPr>
            </w:pPr>
            <w:r>
              <w:rPr>
                <w:rFonts w:ascii="Times New Roman" w:eastAsia="Times New Roman" w:hAnsi="Times New Roman" w:cs="Times New Roman"/>
                <w:color w:val="000000"/>
                <w:spacing w:val="0"/>
                <w:w w:val="100"/>
                <w:position w:val="0"/>
                <w:sz w:val="18"/>
                <w:szCs w:val="18"/>
              </w:rPr>
              <w:t>5,233,293.48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5,233,293.48</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）计提或摊销</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60" w:right="0" w:firstLine="0"/>
              <w:jc w:val="left"/>
              <w:rPr>
                <w:sz w:val="18"/>
                <w:szCs w:val="18"/>
              </w:rPr>
            </w:pPr>
            <w:r>
              <w:rPr>
                <w:rFonts w:ascii="Times New Roman" w:eastAsia="Times New Roman" w:hAnsi="Times New Roman" w:cs="Times New Roman"/>
                <w:color w:val="000000"/>
                <w:spacing w:val="0"/>
                <w:w w:val="100"/>
                <w:position w:val="0"/>
                <w:sz w:val="18"/>
                <w:szCs w:val="18"/>
              </w:rPr>
              <w:t>5,233,293.48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5,233,293.48</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sz w:val="18"/>
                <w:szCs w:val="18"/>
              </w:rPr>
              <w:t>3.</w:t>
            </w:r>
            <w:r>
              <w:rPr>
                <w:color w:val="000000"/>
                <w:spacing w:val="0"/>
                <w:w w:val="100"/>
                <w:position w:val="0"/>
              </w:rPr>
              <w:t>本期减少金额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）处置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）其他转出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sz w:val="18"/>
                <w:szCs w:val="18"/>
              </w:rPr>
              <w:t>4.</w:t>
            </w:r>
            <w:r>
              <w:rPr>
                <w:color w:val="000000"/>
                <w:spacing w:val="0"/>
                <w:w w:val="100"/>
                <w:position w:val="0"/>
              </w:rPr>
              <w:t>期末余额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60" w:right="0" w:firstLine="0"/>
              <w:jc w:val="left"/>
              <w:rPr>
                <w:sz w:val="18"/>
                <w:szCs w:val="18"/>
              </w:rPr>
            </w:pPr>
            <w:r>
              <w:rPr>
                <w:rFonts w:ascii="Times New Roman" w:eastAsia="Times New Roman" w:hAnsi="Times New Roman" w:cs="Times New Roman"/>
                <w:color w:val="000000"/>
                <w:spacing w:val="0"/>
                <w:w w:val="100"/>
                <w:position w:val="0"/>
                <w:sz w:val="18"/>
                <w:szCs w:val="18"/>
              </w:rPr>
              <w:t>43,821,516.38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43,821,516.38</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三、减值准备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期初余额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本期增加金额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）计提</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sz w:val="18"/>
                <w:szCs w:val="18"/>
              </w:rPr>
              <w:t>3</w:t>
            </w:r>
            <w:r>
              <w:rPr>
                <w:color w:val="000000"/>
                <w:spacing w:val="0"/>
                <w:w w:val="100"/>
                <w:position w:val="0"/>
              </w:rPr>
              <w:t>、本期减少金额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）处置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）其他转出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sz w:val="18"/>
                <w:szCs w:val="18"/>
              </w:rPr>
              <w:t>4.</w:t>
            </w:r>
            <w:r>
              <w:rPr>
                <w:color w:val="000000"/>
                <w:spacing w:val="0"/>
                <w:w w:val="100"/>
                <w:position w:val="0"/>
              </w:rPr>
              <w:t>期末余额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四、账面价值</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期末账面价值</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80" w:right="0" w:firstLine="0"/>
              <w:jc w:val="left"/>
              <w:rPr>
                <w:sz w:val="18"/>
                <w:szCs w:val="18"/>
              </w:rPr>
            </w:pPr>
            <w:r>
              <w:rPr>
                <w:rFonts w:ascii="Times New Roman" w:eastAsia="Times New Roman" w:hAnsi="Times New Roman" w:cs="Times New Roman"/>
                <w:color w:val="000000"/>
                <w:spacing w:val="0"/>
                <w:w w:val="100"/>
                <w:position w:val="0"/>
                <w:sz w:val="18"/>
                <w:szCs w:val="18"/>
              </w:rPr>
              <w:t>203,436,618.40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00" w:right="0" w:firstLine="0"/>
              <w:jc w:val="both"/>
              <w:rPr>
                <w:sz w:val="18"/>
                <w:szCs w:val="18"/>
              </w:rPr>
            </w:pPr>
            <w:r>
              <w:rPr>
                <w:rFonts w:ascii="Times New Roman" w:eastAsia="Times New Roman" w:hAnsi="Times New Roman" w:cs="Times New Roman"/>
                <w:color w:val="000000"/>
                <w:spacing w:val="0"/>
                <w:w w:val="100"/>
                <w:position w:val="0"/>
                <w:sz w:val="18"/>
                <w:szCs w:val="18"/>
              </w:rPr>
              <w:t>203,436,618.40</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期初账面价值</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80" w:right="0" w:firstLine="0"/>
              <w:jc w:val="left"/>
              <w:rPr>
                <w:sz w:val="18"/>
                <w:szCs w:val="18"/>
              </w:rPr>
            </w:pPr>
            <w:r>
              <w:rPr>
                <w:rFonts w:ascii="Times New Roman" w:eastAsia="Times New Roman" w:hAnsi="Times New Roman" w:cs="Times New Roman"/>
                <w:color w:val="000000"/>
                <w:spacing w:val="0"/>
                <w:w w:val="100"/>
                <w:position w:val="0"/>
                <w:sz w:val="18"/>
                <w:szCs w:val="18"/>
              </w:rPr>
              <w:t>208,669,911.88</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00" w:right="0" w:firstLine="0"/>
              <w:jc w:val="both"/>
              <w:rPr>
                <w:sz w:val="18"/>
                <w:szCs w:val="18"/>
              </w:rPr>
            </w:pPr>
            <w:r>
              <w:rPr>
                <w:rFonts w:ascii="Times New Roman" w:eastAsia="Times New Roman" w:hAnsi="Times New Roman" w:cs="Times New Roman"/>
                <w:color w:val="000000"/>
                <w:spacing w:val="0"/>
                <w:w w:val="100"/>
                <w:position w:val="0"/>
                <w:sz w:val="18"/>
                <w:szCs w:val="18"/>
              </w:rPr>
              <w:t>208,669,911.88</w:t>
            </w:r>
          </w:p>
        </w:tc>
      </w:tr>
    </w:tbl>
    <w:p>
      <w:pPr>
        <w:widowControl w:val="0"/>
        <w:spacing w:after="339" w:line="1" w:lineRule="exact"/>
      </w:pPr>
    </w:p>
    <w:p>
      <w:pPr>
        <w:pStyle w:val="Style58"/>
        <w:keepNext/>
        <w:keepLines/>
        <w:widowControl w:val="0"/>
        <w:shd w:val="clear" w:color="auto" w:fill="auto"/>
        <w:bidi w:val="0"/>
        <w:spacing w:before="0" w:after="400" w:line="240" w:lineRule="auto"/>
        <w:ind w:left="0" w:right="0" w:firstLine="140"/>
        <w:jc w:val="left"/>
        <w:rPr>
          <w:sz w:val="20"/>
          <w:szCs w:val="20"/>
        </w:rPr>
      </w:pPr>
      <w:bookmarkStart w:id="1431" w:name="bookmark1431"/>
      <w:bookmarkStart w:id="1432" w:name="bookmark1432"/>
      <w:bookmarkStart w:id="1433" w:name="bookmark1433"/>
      <w:bookmarkStart w:id="1434" w:name="bookmark1434"/>
      <w:r>
        <w:rPr>
          <w:b/>
          <w:bCs/>
          <w:color w:val="000000"/>
          <w:spacing w:val="0"/>
          <w:w w:val="100"/>
          <w:position w:val="0"/>
          <w:sz w:val="20"/>
          <w:szCs w:val="20"/>
        </w:rPr>
        <w:t>（</w:t>
      </w:r>
      <w:bookmarkEnd w:id="1433"/>
      <w:r>
        <w:rPr>
          <w:b/>
          <w:bCs/>
          <w:color w:val="000000"/>
          <w:spacing w:val="0"/>
          <w:w w:val="100"/>
          <w:position w:val="0"/>
          <w:sz w:val="20"/>
          <w:szCs w:val="20"/>
        </w:rPr>
        <w:t>2）采用公允价值计量模式的投资性房地产</w:t>
      </w:r>
      <w:bookmarkEnd w:id="1431"/>
      <w:bookmarkEnd w:id="1432"/>
      <w:bookmarkEnd w:id="1434"/>
    </w:p>
    <w:p>
      <w:pPr>
        <w:pStyle w:val="Style41"/>
        <w:keepNext w:val="0"/>
        <w:keepLines w:val="0"/>
        <w:widowControl w:val="0"/>
        <w:shd w:val="clear" w:color="auto" w:fill="auto"/>
        <w:bidi w:val="0"/>
        <w:spacing w:before="0" w:after="34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color w:val="000000"/>
          <w:spacing w:val="0"/>
          <w:w w:val="100"/>
          <w:position w:val="0"/>
          <w:sz w:val="18"/>
          <w:szCs w:val="18"/>
        </w:rPr>
        <w:t>寸</w:t>
      </w:r>
      <w:r>
        <w:rPr>
          <w:color w:val="000000"/>
          <w:spacing w:val="0"/>
          <w:w w:val="100"/>
          <w:position w:val="0"/>
        </w:rPr>
        <w:t>不适用</w:t>
      </w:r>
    </w:p>
    <w:p>
      <w:pPr>
        <w:pStyle w:val="Style58"/>
        <w:keepNext/>
        <w:keepLines/>
        <w:widowControl w:val="0"/>
        <w:shd w:val="clear" w:color="auto" w:fill="auto"/>
        <w:bidi w:val="0"/>
        <w:spacing w:before="0" w:after="400" w:line="240" w:lineRule="auto"/>
        <w:ind w:left="0" w:right="0" w:firstLine="140"/>
        <w:jc w:val="left"/>
        <w:rPr>
          <w:sz w:val="20"/>
          <w:szCs w:val="20"/>
        </w:rPr>
      </w:pPr>
      <w:bookmarkStart w:id="1435" w:name="bookmark1435"/>
      <w:bookmarkStart w:id="1436" w:name="bookmark1436"/>
      <w:bookmarkStart w:id="1437" w:name="bookmark1437"/>
      <w:bookmarkStart w:id="1438" w:name="bookmark1438"/>
      <w:r>
        <w:rPr>
          <w:b/>
          <w:bCs/>
          <w:color w:val="000000"/>
          <w:spacing w:val="0"/>
          <w:w w:val="100"/>
          <w:position w:val="0"/>
          <w:sz w:val="20"/>
          <w:szCs w:val="20"/>
        </w:rPr>
        <w:t>（</w:t>
      </w:r>
      <w:bookmarkEnd w:id="1437"/>
      <w:r>
        <w:rPr>
          <w:b/>
          <w:bCs/>
          <w:color w:val="000000"/>
          <w:spacing w:val="0"/>
          <w:w w:val="100"/>
          <w:position w:val="0"/>
          <w:sz w:val="20"/>
          <w:szCs w:val="20"/>
        </w:rPr>
        <w:t>3）未办妥产权证书的投资性房地产情况</w:t>
      </w:r>
      <w:bookmarkEnd w:id="1435"/>
      <w:bookmarkEnd w:id="1436"/>
      <w:bookmarkEnd w:id="1438"/>
    </w:p>
    <w:p>
      <w:pPr>
        <w:pStyle w:val="Style41"/>
        <w:keepNext w:val="0"/>
        <w:keepLines w:val="0"/>
        <w:widowControl w:val="0"/>
        <w:shd w:val="clear" w:color="auto" w:fill="auto"/>
        <w:bidi w:val="0"/>
        <w:spacing w:before="0" w:after="400" w:line="240" w:lineRule="auto"/>
        <w:ind w:left="0" w:right="0"/>
        <w:jc w:val="left"/>
      </w:pPr>
      <w:r>
        <w:rPr>
          <w:color w:val="000000"/>
          <w:spacing w:val="0"/>
          <w:w w:val="100"/>
          <w:position w:val="0"/>
        </w:rPr>
        <w:t>无。</w:t>
      </w:r>
    </w:p>
    <w:p>
      <w:pPr>
        <w:pStyle w:val="Style47"/>
        <w:keepNext/>
        <w:keepLines/>
        <w:widowControl w:val="0"/>
        <w:shd w:val="clear" w:color="auto" w:fill="auto"/>
        <w:bidi w:val="0"/>
        <w:spacing w:before="0" w:after="400" w:line="240" w:lineRule="auto"/>
        <w:ind w:left="0" w:right="0" w:firstLine="0"/>
        <w:jc w:val="left"/>
      </w:pPr>
      <w:bookmarkStart w:id="1439" w:name="bookmark1439"/>
      <w:bookmarkStart w:id="1440" w:name="bookmark1440"/>
      <w:bookmarkStart w:id="1441" w:name="bookmark1441"/>
      <w:bookmarkStart w:id="1442" w:name="bookmark1442"/>
      <w:r>
        <w:rPr>
          <w:color w:val="000000"/>
          <w:spacing w:val="0"/>
          <w:w w:val="100"/>
          <w:position w:val="0"/>
        </w:rPr>
        <w:t>2</w:t>
      </w:r>
      <w:bookmarkEnd w:id="1441"/>
      <w:r>
        <w:rPr>
          <w:color w:val="000000"/>
          <w:spacing w:val="0"/>
          <w:w w:val="100"/>
          <w:position w:val="0"/>
        </w:rPr>
        <w:t>1、固定资产</w:t>
      </w:r>
      <w:bookmarkEnd w:id="1439"/>
      <w:bookmarkEnd w:id="1440"/>
      <w:bookmarkEnd w:id="1442"/>
    </w:p>
    <w:p>
      <w:pPr>
        <w:pStyle w:val="Style41"/>
        <w:keepNext w:val="0"/>
        <w:keepLines w:val="0"/>
        <w:widowControl w:val="0"/>
        <w:shd w:val="clear" w:color="auto" w:fill="auto"/>
        <w:bidi w:val="0"/>
        <w:spacing w:before="0" w:after="400" w:line="240" w:lineRule="auto"/>
        <w:ind w:left="0" w:right="0" w:firstLine="0"/>
        <w:jc w:val="right"/>
      </w:pPr>
      <w:r>
        <w:rPr>
          <w:color w:val="000000"/>
          <w:spacing w:val="0"/>
          <w:w w:val="100"/>
          <w:position w:val="0"/>
        </w:rPr>
        <w:t>单位：元</w:t>
      </w:r>
    </w:p>
    <w:p>
      <w:pPr>
        <w:widowControl w:val="0"/>
        <w:spacing w:line="1" w:lineRule="exact"/>
      </w:pPr>
      <w:r>
        <mc:AlternateContent>
          <mc:Choice Requires="wps">
            <w:drawing>
              <wp:anchor distT="28575" distB="0" distL="0" distR="0" simplePos="0" relativeHeight="125829508" behindDoc="0" locked="0" layoutInCell="1" allowOverlap="1">
                <wp:simplePos x="0" y="0"/>
                <wp:positionH relativeFrom="page">
                  <wp:posOffset>1600200</wp:posOffset>
                </wp:positionH>
                <wp:positionV relativeFrom="paragraph">
                  <wp:posOffset>28575</wp:posOffset>
                </wp:positionV>
                <wp:extent cx="255905" cy="146050"/>
                <wp:wrapTopAndBottom/>
                <wp:docPr id="970" name="Shape 970"/>
                <a:graphic xmlns:a="http://schemas.openxmlformats.org/drawingml/2006/main">
                  <a:graphicData uri="http://schemas.microsoft.com/office/word/2010/wordprocessingShape">
                    <wps:wsp>
                      <wps:cNvSpPr txBox="1"/>
                      <wps:spPr>
                        <a:xfrm>
                          <a:ext cx="255905" cy="146050"/>
                        </a:xfrm>
                        <a:prstGeom prst="rect"/>
                        <a:noFill/>
                      </wps:spPr>
                      <wps:txbx>
                        <w:txbxContent>
                          <w:p>
                            <w:pPr>
                              <w:pStyle w:val="Style41"/>
                              <w:keepNext w:val="0"/>
                              <w:keepLines w:val="0"/>
                              <w:widowControl w:val="0"/>
                              <w:pBdr>
                                <w:top w:val="single" w:sz="0" w:space="0" w:color="D3D3D3"/>
                                <w:left w:val="single" w:sz="0" w:space="31" w:color="D3D3D3"/>
                                <w:bottom w:val="single" w:sz="0" w:space="0" w:color="D3D3D3"/>
                                <w:right w:val="single" w:sz="0" w:space="31" w:color="D3D3D3"/>
                              </w:pBdr>
                              <w:shd w:val="clear" w:color="auto" w:fill="D3D3D3"/>
                              <w:bidi w:val="0"/>
                              <w:spacing w:before="0" w:after="0" w:line="240" w:lineRule="auto"/>
                              <w:ind w:left="0" w:right="0" w:firstLine="0"/>
                              <w:jc w:val="left"/>
                            </w:pPr>
                            <w:r>
                              <w:rPr>
                                <w:color w:val="000000"/>
                                <w:spacing w:val="0"/>
                                <w:w w:val="100"/>
                                <w:position w:val="0"/>
                              </w:rPr>
                              <w:t>项目</w:t>
                            </w:r>
                          </w:p>
                        </w:txbxContent>
                      </wps:txbx>
                      <wps:bodyPr wrap="none" lIns="0" tIns="0" rIns="0" bIns="0">
                        <a:noAutoFit/>
                      </wps:bodyPr>
                    </wps:wsp>
                  </a:graphicData>
                </a:graphic>
              </wp:anchor>
            </w:drawing>
          </mc:Choice>
          <mc:Fallback>
            <w:pict>
              <v:shape id="_x0000_s1996" type="#_x0000_t202" style="position:absolute;margin-left:126.pt;margin-top:2.25pt;width:20.150000000000002pt;height:11.5pt;z-index:-125829245;mso-wrap-distance-left:0;mso-wrap-distance-top:2.25pt;mso-wrap-distance-right:0;mso-position-horizontal-relative:page" filled="f" stroked="f">
                <v:textbox inset="0,0,0,0">
                  <w:txbxContent>
                    <w:p>
                      <w:pPr>
                        <w:pStyle w:val="Style41"/>
                        <w:keepNext w:val="0"/>
                        <w:keepLines w:val="0"/>
                        <w:widowControl w:val="0"/>
                        <w:pBdr>
                          <w:top w:val="single" w:sz="0" w:space="0" w:color="D3D3D3"/>
                          <w:left w:val="single" w:sz="0" w:space="31" w:color="D3D3D3"/>
                          <w:bottom w:val="single" w:sz="0" w:space="0" w:color="D3D3D3"/>
                          <w:right w:val="single" w:sz="0" w:space="31" w:color="D3D3D3"/>
                        </w:pBdr>
                        <w:shd w:val="clear" w:color="auto" w:fill="D3D3D3"/>
                        <w:bidi w:val="0"/>
                        <w:spacing w:before="0" w:after="0" w:line="240" w:lineRule="auto"/>
                        <w:ind w:left="0" w:right="0" w:firstLine="0"/>
                        <w:jc w:val="left"/>
                      </w:pPr>
                      <w:r>
                        <w:rPr>
                          <w:color w:val="000000"/>
                          <w:spacing w:val="0"/>
                          <w:w w:val="100"/>
                          <w:position w:val="0"/>
                        </w:rPr>
                        <w:t>项目</w:t>
                      </w:r>
                    </w:p>
                  </w:txbxContent>
                </v:textbox>
                <w10:wrap type="topAndBottom" anchorx="page"/>
              </v:shape>
            </w:pict>
          </mc:Fallback>
        </mc:AlternateContent>
      </w:r>
      <w:r>
        <mc:AlternateContent>
          <mc:Choice Requires="wps">
            <w:drawing>
              <wp:anchor distT="25400" distB="0" distL="0" distR="0" simplePos="0" relativeHeight="125829510" behindDoc="0" locked="0" layoutInCell="1" allowOverlap="1">
                <wp:simplePos x="0" y="0"/>
                <wp:positionH relativeFrom="page">
                  <wp:posOffset>3508375</wp:posOffset>
                </wp:positionH>
                <wp:positionV relativeFrom="paragraph">
                  <wp:posOffset>25400</wp:posOffset>
                </wp:positionV>
                <wp:extent cx="484505" cy="149225"/>
                <wp:wrapTopAndBottom/>
                <wp:docPr id="972" name="Shape 972"/>
                <a:graphic xmlns:a="http://schemas.openxmlformats.org/drawingml/2006/main">
                  <a:graphicData uri="http://schemas.microsoft.com/office/word/2010/wordprocessingShape">
                    <wps:wsp>
                      <wps:cNvSpPr txBox="1"/>
                      <wps:spPr>
                        <a:xfrm>
                          <a:ext cx="484505" cy="149225"/>
                        </a:xfrm>
                        <a:prstGeom prst="rect"/>
                        <a:noFill/>
                      </wps:spPr>
                      <wps:txbx>
                        <w:txbxContent>
                          <w:p>
                            <w:pPr>
                              <w:pStyle w:val="Style41"/>
                              <w:keepNext w:val="0"/>
                              <w:keepLines w:val="0"/>
                              <w:widowControl w:val="0"/>
                              <w:pBdr>
                                <w:top w:val="single" w:sz="4" w:space="0" w:color="D3D3D3"/>
                                <w:left w:val="single" w:sz="4" w:space="31" w:color="D3D3D3"/>
                                <w:bottom w:val="single" w:sz="4" w:space="0" w:color="D3D3D3"/>
                                <w:right w:val="single" w:sz="4" w:space="31" w:color="D3D3D3"/>
                              </w:pBdr>
                              <w:shd w:val="clear" w:color="auto" w:fill="D3D3D3"/>
                              <w:bidi w:val="0"/>
                              <w:spacing w:before="0" w:after="0" w:line="240" w:lineRule="auto"/>
                              <w:ind w:left="0" w:right="0" w:firstLine="0"/>
                              <w:jc w:val="center"/>
                            </w:pPr>
                            <w:r>
                              <w:rPr>
                                <w:color w:val="000000"/>
                                <w:spacing w:val="0"/>
                                <w:w w:val="100"/>
                                <w:position w:val="0"/>
                              </w:rPr>
                              <w:t>期末余额</w:t>
                            </w:r>
                          </w:p>
                        </w:txbxContent>
                      </wps:txbx>
                      <wps:bodyPr wrap="none" lIns="0" tIns="0" rIns="0" bIns="0">
                        <a:noAutoFit/>
                      </wps:bodyPr>
                    </wps:wsp>
                  </a:graphicData>
                </a:graphic>
              </wp:anchor>
            </w:drawing>
          </mc:Choice>
          <mc:Fallback>
            <w:pict>
              <v:shape id="_x0000_s1998" type="#_x0000_t202" style="position:absolute;margin-left:276.25pt;margin-top:2.pt;width:38.149999999999999pt;height:11.75pt;z-index:-125829243;mso-wrap-distance-left:0;mso-wrap-distance-top:2.pt;mso-wrap-distance-right:0;mso-position-horizontal-relative:page" filled="f" stroked="f">
                <v:textbox inset="0,0,0,0">
                  <w:txbxContent>
                    <w:p>
                      <w:pPr>
                        <w:pStyle w:val="Style41"/>
                        <w:keepNext w:val="0"/>
                        <w:keepLines w:val="0"/>
                        <w:widowControl w:val="0"/>
                        <w:pBdr>
                          <w:top w:val="single" w:sz="4" w:space="0" w:color="D3D3D3"/>
                          <w:left w:val="single" w:sz="4" w:space="31" w:color="D3D3D3"/>
                          <w:bottom w:val="single" w:sz="4" w:space="0" w:color="D3D3D3"/>
                          <w:right w:val="single" w:sz="4" w:space="31" w:color="D3D3D3"/>
                        </w:pBdr>
                        <w:shd w:val="clear" w:color="auto" w:fill="D3D3D3"/>
                        <w:bidi w:val="0"/>
                        <w:spacing w:before="0" w:after="0" w:line="240" w:lineRule="auto"/>
                        <w:ind w:left="0" w:right="0" w:firstLine="0"/>
                        <w:jc w:val="center"/>
                      </w:pPr>
                      <w:r>
                        <w:rPr>
                          <w:color w:val="000000"/>
                          <w:spacing w:val="0"/>
                          <w:w w:val="100"/>
                          <w:position w:val="0"/>
                        </w:rPr>
                        <w:t>期末余额</w:t>
                      </w:r>
                    </w:p>
                  </w:txbxContent>
                </v:textbox>
                <w10:wrap type="topAndBottom" anchorx="page"/>
              </v:shape>
            </w:pict>
          </mc:Fallback>
        </mc:AlternateContent>
      </w:r>
      <w:r>
        <mc:AlternateContent>
          <mc:Choice Requires="wps">
            <w:drawing>
              <wp:anchor distT="25400" distB="0" distL="0" distR="0" simplePos="0" relativeHeight="125829512" behindDoc="0" locked="0" layoutInCell="1" allowOverlap="1">
                <wp:simplePos x="0" y="0"/>
                <wp:positionH relativeFrom="page">
                  <wp:posOffset>5538470</wp:posOffset>
                </wp:positionH>
                <wp:positionV relativeFrom="paragraph">
                  <wp:posOffset>25400</wp:posOffset>
                </wp:positionV>
                <wp:extent cx="484505" cy="149225"/>
                <wp:wrapTopAndBottom/>
                <wp:docPr id="974" name="Shape 974"/>
                <a:graphic xmlns:a="http://schemas.openxmlformats.org/drawingml/2006/main">
                  <a:graphicData uri="http://schemas.microsoft.com/office/word/2010/wordprocessingShape">
                    <wps:wsp>
                      <wps:cNvSpPr txBox="1"/>
                      <wps:spPr>
                        <a:xfrm>
                          <a:ext cx="484505" cy="149225"/>
                        </a:xfrm>
                        <a:prstGeom prst="rect"/>
                        <a:noFill/>
                      </wps:spPr>
                      <wps:txbx>
                        <w:txbxContent>
                          <w:p>
                            <w:pPr>
                              <w:pStyle w:val="Style41"/>
                              <w:keepNext w:val="0"/>
                              <w:keepLines w:val="0"/>
                              <w:widowControl w:val="0"/>
                              <w:pBdr>
                                <w:top w:val="single" w:sz="0" w:space="0" w:color="D3D3D3"/>
                                <w:left w:val="single" w:sz="0" w:space="31" w:color="D3D3D3"/>
                                <w:bottom w:val="single" w:sz="0" w:space="0" w:color="D3D3D3"/>
                                <w:right w:val="single" w:sz="0" w:space="31" w:color="D3D3D3"/>
                              </w:pBdr>
                              <w:shd w:val="clear" w:color="auto" w:fill="D3D3D3"/>
                              <w:bidi w:val="0"/>
                              <w:spacing w:before="0" w:after="0" w:line="240" w:lineRule="auto"/>
                              <w:ind w:left="0" w:right="0" w:firstLine="0"/>
                              <w:jc w:val="left"/>
                            </w:pPr>
                            <w:r>
                              <w:rPr>
                                <w:color w:val="000000"/>
                                <w:spacing w:val="0"/>
                                <w:w w:val="100"/>
                                <w:position w:val="0"/>
                              </w:rPr>
                              <w:t>期初余额</w:t>
                            </w:r>
                          </w:p>
                        </w:txbxContent>
                      </wps:txbx>
                      <wps:bodyPr wrap="none" lIns="0" tIns="0" rIns="0" bIns="0">
                        <a:noAutoFit/>
                      </wps:bodyPr>
                    </wps:wsp>
                  </a:graphicData>
                </a:graphic>
              </wp:anchor>
            </w:drawing>
          </mc:Choice>
          <mc:Fallback>
            <w:pict>
              <v:shape id="_x0000_s2000" type="#_x0000_t202" style="position:absolute;margin-left:436.10000000000002pt;margin-top:2.pt;width:38.149999999999999pt;height:11.75pt;z-index:-125829241;mso-wrap-distance-left:0;mso-wrap-distance-top:2.pt;mso-wrap-distance-right:0;mso-position-horizontal-relative:page" filled="f" stroked="f">
                <v:textbox inset="0,0,0,0">
                  <w:txbxContent>
                    <w:p>
                      <w:pPr>
                        <w:pStyle w:val="Style41"/>
                        <w:keepNext w:val="0"/>
                        <w:keepLines w:val="0"/>
                        <w:widowControl w:val="0"/>
                        <w:pBdr>
                          <w:top w:val="single" w:sz="0" w:space="0" w:color="D3D3D3"/>
                          <w:left w:val="single" w:sz="0" w:space="31" w:color="D3D3D3"/>
                          <w:bottom w:val="single" w:sz="0" w:space="0" w:color="D3D3D3"/>
                          <w:right w:val="single" w:sz="0" w:space="31" w:color="D3D3D3"/>
                        </w:pBdr>
                        <w:shd w:val="clear" w:color="auto" w:fill="D3D3D3"/>
                        <w:bidi w:val="0"/>
                        <w:spacing w:before="0" w:after="0" w:line="240" w:lineRule="auto"/>
                        <w:ind w:left="0" w:right="0" w:firstLine="0"/>
                        <w:jc w:val="left"/>
                      </w:pPr>
                      <w:r>
                        <w:rPr>
                          <w:color w:val="000000"/>
                          <w:spacing w:val="0"/>
                          <w:w w:val="100"/>
                          <w:position w:val="0"/>
                        </w:rPr>
                        <w:t>期初余额</w:t>
                      </w:r>
                    </w:p>
                  </w:txbxContent>
                </v:textbox>
                <w10:wrap type="topAndBottom" anchorx="page"/>
              </v:shape>
            </w:pict>
          </mc:Fallback>
        </mc:AlternateContent>
      </w:r>
      <w:r>
        <w:br w:type="page"/>
      </w:r>
    </w:p>
    <w:tbl>
      <w:tblPr>
        <w:tblOverlap w:val="never"/>
        <w:jc w:val="center"/>
        <w:tblLayout w:type="fixed"/>
      </w:tblPr>
      <w:tblGrid>
        <w:gridCol w:w="3192"/>
        <w:gridCol w:w="3192"/>
        <w:gridCol w:w="3202"/>
      </w:tblGrid>
      <w:tr>
        <w:trPr>
          <w:trHeight w:val="480"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固定资产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376,709,225.03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388,432,648.04</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376,709,225.03</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388,432,648.04</w:t>
            </w:r>
          </w:p>
        </w:tc>
      </w:tr>
    </w:tbl>
    <w:p>
      <w:pPr>
        <w:widowControl w:val="0"/>
        <w:spacing w:after="319" w:line="1" w:lineRule="exact"/>
      </w:pPr>
    </w:p>
    <w:p>
      <w:pPr>
        <w:pStyle w:val="Style58"/>
        <w:keepNext/>
        <w:keepLines/>
        <w:widowControl w:val="0"/>
        <w:shd w:val="clear" w:color="auto" w:fill="auto"/>
        <w:bidi w:val="0"/>
        <w:spacing w:before="0" w:after="400" w:line="240" w:lineRule="auto"/>
        <w:ind w:left="0" w:right="0" w:firstLine="0"/>
        <w:jc w:val="left"/>
        <w:rPr>
          <w:sz w:val="20"/>
          <w:szCs w:val="20"/>
        </w:rPr>
      </w:pPr>
      <w:bookmarkStart w:id="1443" w:name="bookmark1443"/>
      <w:bookmarkStart w:id="1444" w:name="bookmark1444"/>
      <w:bookmarkStart w:id="1445" w:name="bookmark1445"/>
      <w:bookmarkStart w:id="1446" w:name="bookmark1446"/>
      <w:r>
        <w:rPr>
          <w:b/>
          <w:bCs/>
          <w:color w:val="000000"/>
          <w:spacing w:val="0"/>
          <w:w w:val="100"/>
          <w:position w:val="0"/>
          <w:sz w:val="20"/>
          <w:szCs w:val="20"/>
        </w:rPr>
        <w:t>（</w:t>
      </w:r>
      <w:bookmarkEnd w:id="1445"/>
      <w:r>
        <w:rPr>
          <w:b/>
          <w:bCs/>
          <w:color w:val="000000"/>
          <w:spacing w:val="0"/>
          <w:w w:val="100"/>
          <w:position w:val="0"/>
          <w:sz w:val="20"/>
          <w:szCs w:val="20"/>
        </w:rPr>
        <w:t>1）固定资产情况</w:t>
      </w:r>
      <w:bookmarkEnd w:id="1443"/>
      <w:bookmarkEnd w:id="1444"/>
      <w:bookmarkEnd w:id="1446"/>
    </w:p>
    <w:p>
      <w:pPr>
        <w:pStyle w:val="Style41"/>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1373"/>
        <w:gridCol w:w="1368"/>
        <w:gridCol w:w="1363"/>
        <w:gridCol w:w="1368"/>
        <w:gridCol w:w="1368"/>
        <w:gridCol w:w="1368"/>
        <w:gridCol w:w="1378"/>
      </w:tblGrid>
      <w:tr>
        <w:trPr>
          <w:trHeight w:val="40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房屋及建筑物</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300"/>
              <w:jc w:val="left"/>
            </w:pPr>
            <w:r>
              <w:rPr>
                <w:color w:val="000000"/>
                <w:spacing w:val="0"/>
                <w:w w:val="100"/>
                <w:position w:val="0"/>
              </w:rPr>
              <w:t>运输设备</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办公及电子设备</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固定资产装修</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机器设备</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500"/>
              <w:jc w:val="left"/>
            </w:pPr>
            <w:r>
              <w:rPr>
                <w:color w:val="000000"/>
                <w:spacing w:val="0"/>
                <w:w w:val="100"/>
                <w:position w:val="0"/>
              </w:rPr>
              <w:t>合计</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一、账面原值：</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200"/>
              <w:jc w:val="both"/>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期初余额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432,791,378.78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12,958,553.03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106,347,651.81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14,303,646.23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both"/>
              <w:rPr>
                <w:sz w:val="18"/>
                <w:szCs w:val="18"/>
              </w:rPr>
            </w:pPr>
            <w:r>
              <w:rPr>
                <w:rFonts w:ascii="Times New Roman" w:eastAsia="Times New Roman" w:hAnsi="Times New Roman" w:cs="Times New Roman"/>
                <w:color w:val="000000"/>
                <w:spacing w:val="0"/>
                <w:w w:val="100"/>
                <w:position w:val="0"/>
                <w:sz w:val="18"/>
                <w:szCs w:val="18"/>
              </w:rPr>
              <w:t>6,678,629.56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both"/>
              <w:rPr>
                <w:sz w:val="18"/>
                <w:szCs w:val="18"/>
              </w:rPr>
            </w:pPr>
            <w:r>
              <w:rPr>
                <w:rFonts w:ascii="Times New Roman" w:eastAsia="Times New Roman" w:hAnsi="Times New Roman" w:cs="Times New Roman"/>
                <w:color w:val="000000"/>
                <w:spacing w:val="0"/>
                <w:w w:val="100"/>
                <w:position w:val="0"/>
                <w:sz w:val="18"/>
                <w:szCs w:val="18"/>
              </w:rPr>
              <w:t>573,079,859.41</w:t>
            </w: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22" w:lineRule="exact"/>
              <w:ind w:left="0" w:right="0" w:firstLine="200"/>
              <w:jc w:val="both"/>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本期增加金 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both"/>
              <w:rPr>
                <w:sz w:val="18"/>
                <w:szCs w:val="18"/>
              </w:rPr>
            </w:pPr>
            <w:r>
              <w:rPr>
                <w:rFonts w:ascii="Times New Roman" w:eastAsia="Times New Roman" w:hAnsi="Times New Roman" w:cs="Times New Roman"/>
                <w:color w:val="000000"/>
                <w:spacing w:val="0"/>
                <w:w w:val="100"/>
                <w:position w:val="0"/>
                <w:sz w:val="18"/>
                <w:szCs w:val="18"/>
              </w:rPr>
              <w:t>251,247.79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both"/>
              <w:rPr>
                <w:sz w:val="18"/>
                <w:szCs w:val="18"/>
              </w:rPr>
            </w:pPr>
            <w:r>
              <w:rPr>
                <w:rFonts w:ascii="Times New Roman" w:eastAsia="Times New Roman" w:hAnsi="Times New Roman" w:cs="Times New Roman"/>
                <w:color w:val="000000"/>
                <w:spacing w:val="0"/>
                <w:w w:val="100"/>
                <w:position w:val="0"/>
                <w:sz w:val="18"/>
                <w:szCs w:val="18"/>
              </w:rPr>
              <w:t>5,859,377.20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2,770,915.21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both"/>
              <w:rPr>
                <w:sz w:val="18"/>
                <w:szCs w:val="18"/>
              </w:rPr>
            </w:pPr>
            <w:r>
              <w:rPr>
                <w:rFonts w:ascii="Times New Roman" w:eastAsia="Times New Roman" w:hAnsi="Times New Roman" w:cs="Times New Roman"/>
                <w:color w:val="000000"/>
                <w:spacing w:val="0"/>
                <w:w w:val="100"/>
                <w:position w:val="0"/>
                <w:sz w:val="18"/>
                <w:szCs w:val="18"/>
              </w:rPr>
              <w:t>276,276.16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both"/>
              <w:rPr>
                <w:sz w:val="18"/>
                <w:szCs w:val="18"/>
              </w:rPr>
            </w:pPr>
            <w:r>
              <w:rPr>
                <w:rFonts w:ascii="Times New Roman" w:eastAsia="Times New Roman" w:hAnsi="Times New Roman" w:cs="Times New Roman"/>
                <w:color w:val="000000"/>
                <w:spacing w:val="0"/>
                <w:w w:val="100"/>
                <w:position w:val="0"/>
                <w:sz w:val="18"/>
                <w:szCs w:val="18"/>
              </w:rPr>
              <w:t>9,157,816.36</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360"/>
              <w:jc w:val="left"/>
            </w:pPr>
            <w:r>
              <w:rPr>
                <w:color w:val="000000"/>
                <w:spacing w:val="0"/>
                <w:w w:val="100"/>
                <w:position w:val="0"/>
              </w:rPr>
              <w:t>（</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）购置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both"/>
              <w:rPr>
                <w:sz w:val="18"/>
                <w:szCs w:val="18"/>
              </w:rPr>
            </w:pPr>
            <w:r>
              <w:rPr>
                <w:rFonts w:ascii="Times New Roman" w:eastAsia="Times New Roman" w:hAnsi="Times New Roman" w:cs="Times New Roman"/>
                <w:color w:val="000000"/>
                <w:spacing w:val="0"/>
                <w:w w:val="100"/>
                <w:position w:val="0"/>
                <w:sz w:val="18"/>
                <w:szCs w:val="18"/>
              </w:rPr>
              <w:t>251,247.79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both"/>
              <w:rPr>
                <w:sz w:val="18"/>
                <w:szCs w:val="18"/>
              </w:rPr>
            </w:pPr>
            <w:r>
              <w:rPr>
                <w:rFonts w:ascii="Times New Roman" w:eastAsia="Times New Roman" w:hAnsi="Times New Roman" w:cs="Times New Roman"/>
                <w:color w:val="000000"/>
                <w:spacing w:val="0"/>
                <w:w w:val="100"/>
                <w:position w:val="0"/>
                <w:sz w:val="18"/>
                <w:szCs w:val="18"/>
              </w:rPr>
              <w:t>5,907,802.29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2,770,915.21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both"/>
              <w:rPr>
                <w:sz w:val="18"/>
                <w:szCs w:val="18"/>
              </w:rPr>
            </w:pPr>
            <w:r>
              <w:rPr>
                <w:rFonts w:ascii="Times New Roman" w:eastAsia="Times New Roman" w:hAnsi="Times New Roman" w:cs="Times New Roman"/>
                <w:color w:val="000000"/>
                <w:spacing w:val="0"/>
                <w:w w:val="100"/>
                <w:position w:val="0"/>
                <w:sz w:val="18"/>
                <w:szCs w:val="18"/>
              </w:rPr>
              <w:t>276,276.16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both"/>
              <w:rPr>
                <w:sz w:val="18"/>
                <w:szCs w:val="18"/>
              </w:rPr>
            </w:pPr>
            <w:r>
              <w:rPr>
                <w:rFonts w:ascii="Times New Roman" w:eastAsia="Times New Roman" w:hAnsi="Times New Roman" w:cs="Times New Roman"/>
                <w:color w:val="000000"/>
                <w:spacing w:val="0"/>
                <w:w w:val="100"/>
                <w:position w:val="0"/>
                <w:sz w:val="18"/>
                <w:szCs w:val="18"/>
              </w:rPr>
              <w:t>9,206,241.45</w:t>
            </w: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26" w:lineRule="exact"/>
              <w:ind w:left="0" w:right="0"/>
              <w:jc w:val="both"/>
            </w:pPr>
            <w:r>
              <w:rPr>
                <w:color w:val="000000"/>
                <w:spacing w:val="0"/>
                <w:w w:val="100"/>
                <w:position w:val="0"/>
              </w:rPr>
              <w:t>（</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）在建工 程转入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26" w:lineRule="exact"/>
              <w:ind w:left="0" w:right="0"/>
              <w:jc w:val="both"/>
            </w:pPr>
            <w:r>
              <w:rPr>
                <w:color w:val="000000"/>
                <w:spacing w:val="0"/>
                <w:w w:val="100"/>
                <w:position w:val="0"/>
              </w:rPr>
              <w:t>（</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）企业合 并增加</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36" w:lineRule="exact"/>
              <w:ind w:left="0" w:right="0"/>
              <w:jc w:val="both"/>
            </w:pPr>
            <w:r>
              <w:rPr>
                <w:color w:val="000000"/>
                <w:spacing w:val="0"/>
                <w:w w:val="100"/>
                <w:position w:val="0"/>
              </w:rPr>
              <w:t>（</w:t>
            </w:r>
            <w:r>
              <w:rPr>
                <w:rFonts w:ascii="Times New Roman" w:eastAsia="Times New Roman" w:hAnsi="Times New Roman" w:cs="Times New Roman"/>
                <w:color w:val="000000"/>
                <w:spacing w:val="0"/>
                <w:w w:val="100"/>
                <w:position w:val="0"/>
                <w:sz w:val="18"/>
                <w:szCs w:val="18"/>
              </w:rPr>
              <w:t>4</w:t>
            </w:r>
            <w:r>
              <w:rPr>
                <w:color w:val="000000"/>
                <w:spacing w:val="0"/>
                <w:w w:val="100"/>
                <w:position w:val="0"/>
              </w:rPr>
              <w:t>）汇率变 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-48,425.09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-48,425.09</w:t>
            </w: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26" w:lineRule="exact"/>
              <w:ind w:left="0" w:right="0" w:firstLine="200"/>
              <w:jc w:val="both"/>
            </w:pPr>
            <w:r>
              <w:rPr>
                <w:rFonts w:ascii="Times New Roman" w:eastAsia="Times New Roman" w:hAnsi="Times New Roman" w:cs="Times New Roman"/>
                <w:color w:val="000000"/>
                <w:spacing w:val="0"/>
                <w:w w:val="100"/>
                <w:position w:val="0"/>
                <w:sz w:val="18"/>
                <w:szCs w:val="18"/>
              </w:rPr>
              <w:t>3.</w:t>
            </w:r>
            <w:r>
              <w:rPr>
                <w:color w:val="000000"/>
                <w:spacing w:val="0"/>
                <w:w w:val="100"/>
                <w:position w:val="0"/>
              </w:rPr>
              <w:t>本期减少金 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rPr>
                <w:sz w:val="18"/>
                <w:szCs w:val="18"/>
              </w:rPr>
            </w:pPr>
            <w:r>
              <w:rPr>
                <w:rFonts w:ascii="Times New Roman" w:eastAsia="Times New Roman" w:hAnsi="Times New Roman" w:cs="Times New Roman"/>
                <w:color w:val="000000"/>
                <w:spacing w:val="0"/>
                <w:w w:val="100"/>
                <w:position w:val="0"/>
                <w:sz w:val="18"/>
                <w:szCs w:val="18"/>
              </w:rPr>
              <w:t>1,555,491.13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rPr>
                <w:sz w:val="18"/>
                <w:szCs w:val="18"/>
              </w:rPr>
            </w:pPr>
            <w:r>
              <w:rPr>
                <w:rFonts w:ascii="Times New Roman" w:eastAsia="Times New Roman" w:hAnsi="Times New Roman" w:cs="Times New Roman"/>
                <w:color w:val="000000"/>
                <w:spacing w:val="0"/>
                <w:w w:val="100"/>
                <w:position w:val="0"/>
                <w:sz w:val="18"/>
                <w:szCs w:val="18"/>
              </w:rPr>
              <w:t>3,186,405.03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both"/>
              <w:rPr>
                <w:sz w:val="18"/>
                <w:szCs w:val="18"/>
              </w:rPr>
            </w:pPr>
            <w:r>
              <w:rPr>
                <w:rFonts w:ascii="Times New Roman" w:eastAsia="Times New Roman" w:hAnsi="Times New Roman" w:cs="Times New Roman"/>
                <w:color w:val="000000"/>
                <w:spacing w:val="0"/>
                <w:w w:val="100"/>
                <w:position w:val="0"/>
                <w:sz w:val="18"/>
                <w:szCs w:val="18"/>
              </w:rPr>
              <w:t>125,938.27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both"/>
              <w:rPr>
                <w:sz w:val="18"/>
                <w:szCs w:val="18"/>
              </w:rPr>
            </w:pPr>
            <w:r>
              <w:rPr>
                <w:rFonts w:ascii="Times New Roman" w:eastAsia="Times New Roman" w:hAnsi="Times New Roman" w:cs="Times New Roman"/>
                <w:color w:val="000000"/>
                <w:spacing w:val="0"/>
                <w:w w:val="100"/>
                <w:position w:val="0"/>
                <w:sz w:val="18"/>
                <w:szCs w:val="18"/>
              </w:rPr>
              <w:t>4,867,834.43</w:t>
            </w: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jc w:val="both"/>
            </w:pPr>
            <w:r>
              <w:rPr>
                <w:color w:val="000000"/>
                <w:spacing w:val="0"/>
                <w:w w:val="100"/>
                <w:position w:val="0"/>
              </w:rPr>
              <w:t>（</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）处置或 报废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rPr>
                <w:sz w:val="18"/>
                <w:szCs w:val="18"/>
              </w:rPr>
            </w:pPr>
            <w:r>
              <w:rPr>
                <w:rFonts w:ascii="Times New Roman" w:eastAsia="Times New Roman" w:hAnsi="Times New Roman" w:cs="Times New Roman"/>
                <w:color w:val="000000"/>
                <w:spacing w:val="0"/>
                <w:w w:val="100"/>
                <w:position w:val="0"/>
                <w:sz w:val="18"/>
                <w:szCs w:val="18"/>
              </w:rPr>
              <w:t>1,555,491.13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rPr>
                <w:sz w:val="18"/>
                <w:szCs w:val="18"/>
              </w:rPr>
            </w:pPr>
            <w:r>
              <w:rPr>
                <w:rFonts w:ascii="Times New Roman" w:eastAsia="Times New Roman" w:hAnsi="Times New Roman" w:cs="Times New Roman"/>
                <w:color w:val="000000"/>
                <w:spacing w:val="0"/>
                <w:w w:val="100"/>
                <w:position w:val="0"/>
                <w:sz w:val="18"/>
                <w:szCs w:val="18"/>
              </w:rPr>
              <w:t>1,999,000.41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both"/>
              <w:rPr>
                <w:sz w:val="18"/>
                <w:szCs w:val="18"/>
              </w:rPr>
            </w:pPr>
            <w:r>
              <w:rPr>
                <w:rFonts w:ascii="Times New Roman" w:eastAsia="Times New Roman" w:hAnsi="Times New Roman" w:cs="Times New Roman"/>
                <w:color w:val="000000"/>
                <w:spacing w:val="0"/>
                <w:w w:val="100"/>
                <w:position w:val="0"/>
                <w:sz w:val="18"/>
                <w:szCs w:val="18"/>
              </w:rPr>
              <w:t>125,938.27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both"/>
              <w:rPr>
                <w:sz w:val="18"/>
                <w:szCs w:val="18"/>
              </w:rPr>
            </w:pPr>
            <w:r>
              <w:rPr>
                <w:rFonts w:ascii="Times New Roman" w:eastAsia="Times New Roman" w:hAnsi="Times New Roman" w:cs="Times New Roman"/>
                <w:color w:val="000000"/>
                <w:spacing w:val="0"/>
                <w:w w:val="100"/>
                <w:position w:val="0"/>
                <w:sz w:val="18"/>
                <w:szCs w:val="18"/>
              </w:rPr>
              <w:t>3,680,429.81</w:t>
            </w:r>
          </w:p>
        </w:tc>
      </w:tr>
      <w:tr>
        <w:trPr>
          <w:trHeight w:val="710"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26" w:lineRule="exact"/>
              <w:ind w:left="0" w:right="0"/>
              <w:jc w:val="both"/>
            </w:pPr>
            <w:r>
              <w:rPr>
                <w:color w:val="000000"/>
                <w:spacing w:val="0"/>
                <w:w w:val="100"/>
                <w:position w:val="0"/>
              </w:rPr>
              <w:t>（</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）退出合 并范围</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rPr>
                <w:sz w:val="18"/>
                <w:szCs w:val="18"/>
              </w:rPr>
            </w:pPr>
            <w:r>
              <w:rPr>
                <w:rFonts w:ascii="Times New Roman" w:eastAsia="Times New Roman" w:hAnsi="Times New Roman" w:cs="Times New Roman"/>
                <w:color w:val="000000"/>
                <w:spacing w:val="0"/>
                <w:w w:val="100"/>
                <w:position w:val="0"/>
                <w:sz w:val="18"/>
                <w:szCs w:val="18"/>
              </w:rPr>
              <w:t>1,187,404.62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both"/>
              <w:rPr>
                <w:sz w:val="18"/>
                <w:szCs w:val="18"/>
              </w:rPr>
            </w:pPr>
            <w:r>
              <w:rPr>
                <w:rFonts w:ascii="Times New Roman" w:eastAsia="Times New Roman" w:hAnsi="Times New Roman" w:cs="Times New Roman"/>
                <w:color w:val="000000"/>
                <w:spacing w:val="0"/>
                <w:w w:val="100"/>
                <w:position w:val="0"/>
                <w:sz w:val="18"/>
                <w:szCs w:val="18"/>
              </w:rPr>
              <w:t>1,187,404.62</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200"/>
              <w:jc w:val="both"/>
            </w:pPr>
            <w:r>
              <w:rPr>
                <w:rFonts w:ascii="Times New Roman" w:eastAsia="Times New Roman" w:hAnsi="Times New Roman" w:cs="Times New Roman"/>
                <w:color w:val="000000"/>
                <w:spacing w:val="0"/>
                <w:w w:val="100"/>
                <w:position w:val="0"/>
                <w:sz w:val="18"/>
                <w:szCs w:val="18"/>
              </w:rPr>
              <w:t>4.</w:t>
            </w:r>
            <w:r>
              <w:rPr>
                <w:color w:val="000000"/>
                <w:spacing w:val="0"/>
                <w:w w:val="100"/>
                <w:position w:val="0"/>
              </w:rPr>
              <w:t>期末余额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432,791,378.78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11,654,309.69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109,020,623.98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17,074,561.44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both"/>
              <w:rPr>
                <w:sz w:val="18"/>
                <w:szCs w:val="18"/>
              </w:rPr>
            </w:pPr>
            <w:r>
              <w:rPr>
                <w:rFonts w:ascii="Times New Roman" w:eastAsia="Times New Roman" w:hAnsi="Times New Roman" w:cs="Times New Roman"/>
                <w:color w:val="000000"/>
                <w:spacing w:val="0"/>
                <w:w w:val="100"/>
                <w:position w:val="0"/>
                <w:sz w:val="18"/>
                <w:szCs w:val="18"/>
              </w:rPr>
              <w:t>6,828,967.45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both"/>
              <w:rPr>
                <w:sz w:val="18"/>
                <w:szCs w:val="18"/>
              </w:rPr>
            </w:pPr>
            <w:r>
              <w:rPr>
                <w:rFonts w:ascii="Times New Roman" w:eastAsia="Times New Roman" w:hAnsi="Times New Roman" w:cs="Times New Roman"/>
                <w:color w:val="000000"/>
                <w:spacing w:val="0"/>
                <w:w w:val="100"/>
                <w:position w:val="0"/>
                <w:sz w:val="18"/>
                <w:szCs w:val="18"/>
              </w:rPr>
              <w:t>577,369,841.34</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二、累计折旧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200"/>
              <w:jc w:val="both"/>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期初余额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73,283,839.02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rPr>
                <w:sz w:val="18"/>
                <w:szCs w:val="18"/>
              </w:rPr>
            </w:pPr>
            <w:r>
              <w:rPr>
                <w:rFonts w:ascii="Times New Roman" w:eastAsia="Times New Roman" w:hAnsi="Times New Roman" w:cs="Times New Roman"/>
                <w:color w:val="000000"/>
                <w:spacing w:val="0"/>
                <w:w w:val="100"/>
                <w:position w:val="0"/>
                <w:sz w:val="18"/>
                <w:szCs w:val="18"/>
              </w:rPr>
              <w:t>9,744,733.43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85,284,187.37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12,373,177.88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both"/>
              <w:rPr>
                <w:sz w:val="18"/>
                <w:szCs w:val="18"/>
              </w:rPr>
            </w:pPr>
            <w:r>
              <w:rPr>
                <w:rFonts w:ascii="Times New Roman" w:eastAsia="Times New Roman" w:hAnsi="Times New Roman" w:cs="Times New Roman"/>
                <w:color w:val="000000"/>
                <w:spacing w:val="0"/>
                <w:w w:val="100"/>
                <w:position w:val="0"/>
                <w:sz w:val="18"/>
                <w:szCs w:val="18"/>
              </w:rPr>
              <w:t>3,961,273.67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both"/>
              <w:rPr>
                <w:sz w:val="18"/>
                <w:szCs w:val="18"/>
              </w:rPr>
            </w:pPr>
            <w:r>
              <w:rPr>
                <w:rFonts w:ascii="Times New Roman" w:eastAsia="Times New Roman" w:hAnsi="Times New Roman" w:cs="Times New Roman"/>
                <w:color w:val="000000"/>
                <w:spacing w:val="0"/>
                <w:w w:val="100"/>
                <w:position w:val="0"/>
                <w:sz w:val="18"/>
                <w:szCs w:val="18"/>
              </w:rPr>
              <w:t>184,647,211.37</w:t>
            </w:r>
          </w:p>
        </w:tc>
      </w:tr>
      <w:tr>
        <w:trPr>
          <w:trHeight w:val="710"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22" w:lineRule="exact"/>
              <w:ind w:left="0" w:right="0" w:firstLine="200"/>
              <w:jc w:val="both"/>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本期增加金 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rPr>
                <w:sz w:val="18"/>
                <w:szCs w:val="18"/>
              </w:rPr>
            </w:pPr>
            <w:r>
              <w:rPr>
                <w:rFonts w:ascii="Times New Roman" w:eastAsia="Times New Roman" w:hAnsi="Times New Roman" w:cs="Times New Roman"/>
                <w:color w:val="000000"/>
                <w:spacing w:val="0"/>
                <w:w w:val="100"/>
                <w:position w:val="0"/>
                <w:sz w:val="18"/>
                <w:szCs w:val="18"/>
              </w:rPr>
              <w:t>9,717,533.25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left"/>
              <w:rPr>
                <w:sz w:val="18"/>
                <w:szCs w:val="18"/>
              </w:rPr>
            </w:pPr>
            <w:r>
              <w:rPr>
                <w:rFonts w:ascii="Times New Roman" w:eastAsia="Times New Roman" w:hAnsi="Times New Roman" w:cs="Times New Roman"/>
                <w:color w:val="000000"/>
                <w:spacing w:val="0"/>
                <w:w w:val="100"/>
                <w:position w:val="0"/>
                <w:sz w:val="18"/>
                <w:szCs w:val="18"/>
              </w:rPr>
              <w:t>825,490.21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rPr>
                <w:sz w:val="18"/>
                <w:szCs w:val="18"/>
              </w:rPr>
            </w:pPr>
            <w:r>
              <w:rPr>
                <w:rFonts w:ascii="Times New Roman" w:eastAsia="Times New Roman" w:hAnsi="Times New Roman" w:cs="Times New Roman"/>
                <w:color w:val="000000"/>
                <w:spacing w:val="0"/>
                <w:w w:val="100"/>
                <w:position w:val="0"/>
                <w:sz w:val="18"/>
                <w:szCs w:val="18"/>
              </w:rPr>
              <w:t>8,760,521.83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794,546.04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both"/>
              <w:rPr>
                <w:sz w:val="18"/>
                <w:szCs w:val="18"/>
              </w:rPr>
            </w:pPr>
            <w:r>
              <w:rPr>
                <w:rFonts w:ascii="Times New Roman" w:eastAsia="Times New Roman" w:hAnsi="Times New Roman" w:cs="Times New Roman"/>
                <w:color w:val="000000"/>
                <w:spacing w:val="0"/>
                <w:w w:val="100"/>
                <w:position w:val="0"/>
                <w:sz w:val="18"/>
                <w:szCs w:val="18"/>
              </w:rPr>
              <w:t>299,687.26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20,397,778.59</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360"/>
              <w:jc w:val="left"/>
            </w:pPr>
            <w:r>
              <w:rPr>
                <w:color w:val="000000"/>
                <w:spacing w:val="0"/>
                <w:w w:val="100"/>
                <w:position w:val="0"/>
              </w:rPr>
              <w:t>（</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）计提</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rPr>
                <w:sz w:val="18"/>
                <w:szCs w:val="18"/>
              </w:rPr>
            </w:pPr>
            <w:r>
              <w:rPr>
                <w:rFonts w:ascii="Times New Roman" w:eastAsia="Times New Roman" w:hAnsi="Times New Roman" w:cs="Times New Roman"/>
                <w:color w:val="000000"/>
                <w:spacing w:val="0"/>
                <w:w w:val="100"/>
                <w:position w:val="0"/>
                <w:sz w:val="18"/>
                <w:szCs w:val="18"/>
              </w:rPr>
              <w:t>9,717,533.25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left"/>
              <w:rPr>
                <w:sz w:val="18"/>
                <w:szCs w:val="18"/>
              </w:rPr>
            </w:pPr>
            <w:r>
              <w:rPr>
                <w:rFonts w:ascii="Times New Roman" w:eastAsia="Times New Roman" w:hAnsi="Times New Roman" w:cs="Times New Roman"/>
                <w:color w:val="000000"/>
                <w:spacing w:val="0"/>
                <w:w w:val="100"/>
                <w:position w:val="0"/>
                <w:sz w:val="18"/>
                <w:szCs w:val="18"/>
              </w:rPr>
              <w:t>825,490.21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rPr>
                <w:sz w:val="18"/>
                <w:szCs w:val="18"/>
              </w:rPr>
            </w:pPr>
            <w:r>
              <w:rPr>
                <w:rFonts w:ascii="Times New Roman" w:eastAsia="Times New Roman" w:hAnsi="Times New Roman" w:cs="Times New Roman"/>
                <w:color w:val="000000"/>
                <w:spacing w:val="0"/>
                <w:w w:val="100"/>
                <w:position w:val="0"/>
                <w:sz w:val="18"/>
                <w:szCs w:val="18"/>
              </w:rPr>
              <w:t>8,807,627.33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794,546.04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both"/>
              <w:rPr>
                <w:sz w:val="18"/>
                <w:szCs w:val="18"/>
              </w:rPr>
            </w:pPr>
            <w:r>
              <w:rPr>
                <w:rFonts w:ascii="Times New Roman" w:eastAsia="Times New Roman" w:hAnsi="Times New Roman" w:cs="Times New Roman"/>
                <w:color w:val="000000"/>
                <w:spacing w:val="0"/>
                <w:w w:val="100"/>
                <w:position w:val="0"/>
                <w:sz w:val="18"/>
                <w:szCs w:val="18"/>
              </w:rPr>
              <w:t>299,687.26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20,444,884.09</w:t>
            </w: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36" w:lineRule="exact"/>
              <w:ind w:left="0" w:right="0" w:firstLine="300"/>
              <w:jc w:val="both"/>
            </w:pPr>
            <w:r>
              <w:rPr>
                <w:color w:val="000000"/>
                <w:spacing w:val="0"/>
                <w:w w:val="100"/>
                <w:position w:val="0"/>
              </w:rPr>
              <w:t>（</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）汇率变 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-47,105.50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-47,105.50</w:t>
            </w: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22" w:lineRule="exact"/>
              <w:ind w:left="0" w:right="0" w:firstLine="200"/>
              <w:jc w:val="both"/>
            </w:pPr>
            <w:r>
              <w:rPr>
                <w:rFonts w:ascii="Times New Roman" w:eastAsia="Times New Roman" w:hAnsi="Times New Roman" w:cs="Times New Roman"/>
                <w:color w:val="000000"/>
                <w:spacing w:val="0"/>
                <w:w w:val="100"/>
                <w:position w:val="0"/>
                <w:sz w:val="18"/>
                <w:szCs w:val="18"/>
              </w:rPr>
              <w:t>3.</w:t>
            </w:r>
            <w:r>
              <w:rPr>
                <w:color w:val="000000"/>
                <w:spacing w:val="0"/>
                <w:w w:val="100"/>
                <w:position w:val="0"/>
              </w:rPr>
              <w:t>本期减少金 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rPr>
                <w:sz w:val="18"/>
                <w:szCs w:val="18"/>
              </w:rPr>
            </w:pPr>
            <w:r>
              <w:rPr>
                <w:rFonts w:ascii="Times New Roman" w:eastAsia="Times New Roman" w:hAnsi="Times New Roman" w:cs="Times New Roman"/>
                <w:color w:val="000000"/>
                <w:spacing w:val="0"/>
                <w:w w:val="100"/>
                <w:position w:val="0"/>
                <w:sz w:val="18"/>
                <w:szCs w:val="18"/>
              </w:rPr>
              <w:t>1,477,716.58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rPr>
                <w:sz w:val="18"/>
                <w:szCs w:val="18"/>
              </w:rPr>
            </w:pPr>
            <w:r>
              <w:rPr>
                <w:rFonts w:ascii="Times New Roman" w:eastAsia="Times New Roman" w:hAnsi="Times New Roman" w:cs="Times New Roman"/>
                <w:color w:val="000000"/>
                <w:spacing w:val="0"/>
                <w:w w:val="100"/>
                <w:position w:val="0"/>
                <w:sz w:val="18"/>
                <w:szCs w:val="18"/>
              </w:rPr>
              <w:t>2,823,614.37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83,042.70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both"/>
              <w:rPr>
                <w:sz w:val="18"/>
                <w:szCs w:val="18"/>
              </w:rPr>
            </w:pPr>
            <w:r>
              <w:rPr>
                <w:rFonts w:ascii="Times New Roman" w:eastAsia="Times New Roman" w:hAnsi="Times New Roman" w:cs="Times New Roman"/>
                <w:color w:val="000000"/>
                <w:spacing w:val="0"/>
                <w:w w:val="100"/>
                <w:position w:val="0"/>
                <w:sz w:val="18"/>
                <w:szCs w:val="18"/>
              </w:rPr>
              <w:t>4,384,373.65</w:t>
            </w:r>
          </w:p>
        </w:tc>
      </w:tr>
      <w:tr>
        <w:trPr>
          <w:trHeight w:val="710"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jc w:val="both"/>
            </w:pPr>
            <w:r>
              <w:rPr>
                <w:color w:val="000000"/>
                <w:spacing w:val="0"/>
                <w:w w:val="100"/>
                <w:position w:val="0"/>
              </w:rPr>
              <w:t>（</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）处置或 报废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rPr>
                <w:sz w:val="18"/>
                <w:szCs w:val="18"/>
              </w:rPr>
            </w:pPr>
            <w:r>
              <w:rPr>
                <w:rFonts w:ascii="Times New Roman" w:eastAsia="Times New Roman" w:hAnsi="Times New Roman" w:cs="Times New Roman"/>
                <w:color w:val="000000"/>
                <w:spacing w:val="0"/>
                <w:w w:val="100"/>
                <w:position w:val="0"/>
                <w:sz w:val="18"/>
                <w:szCs w:val="18"/>
              </w:rPr>
              <w:t>1,477,716.58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rPr>
                <w:sz w:val="18"/>
                <w:szCs w:val="18"/>
              </w:rPr>
            </w:pPr>
            <w:r>
              <w:rPr>
                <w:rFonts w:ascii="Times New Roman" w:eastAsia="Times New Roman" w:hAnsi="Times New Roman" w:cs="Times New Roman"/>
                <w:color w:val="000000"/>
                <w:spacing w:val="0"/>
                <w:w w:val="100"/>
                <w:position w:val="0"/>
                <w:sz w:val="18"/>
                <w:szCs w:val="18"/>
              </w:rPr>
              <w:t>1,870,599.89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83,042.70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both"/>
              <w:rPr>
                <w:sz w:val="18"/>
                <w:szCs w:val="18"/>
              </w:rPr>
            </w:pPr>
            <w:r>
              <w:rPr>
                <w:rFonts w:ascii="Times New Roman" w:eastAsia="Times New Roman" w:hAnsi="Times New Roman" w:cs="Times New Roman"/>
                <w:color w:val="000000"/>
                <w:spacing w:val="0"/>
                <w:w w:val="100"/>
                <w:position w:val="0"/>
                <w:sz w:val="18"/>
                <w:szCs w:val="18"/>
              </w:rPr>
              <w:t>3,431,359.17</w:t>
            </w:r>
          </w:p>
        </w:tc>
      </w:tr>
      <w:tr>
        <w:trPr>
          <w:trHeight w:val="725"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120" w:line="240" w:lineRule="auto"/>
              <w:ind w:left="0" w:right="0" w:firstLine="300"/>
              <w:jc w:val="both"/>
            </w:pPr>
            <w:r>
              <w:rPr>
                <w:color w:val="000000"/>
                <w:spacing w:val="0"/>
                <w:w w:val="100"/>
                <w:position w:val="0"/>
              </w:rPr>
              <w:t>（</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）退出合</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并范围</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953,014.48</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953,014.48</w:t>
            </w:r>
          </w:p>
        </w:tc>
      </w:tr>
    </w:tbl>
    <w:p>
      <w:pPr>
        <w:widowControl w:val="0"/>
        <w:spacing w:line="1" w:lineRule="exact"/>
      </w:pPr>
      <w:r>
        <w:br w:type="page"/>
      </w:r>
    </w:p>
    <w:tbl>
      <w:tblPr>
        <w:tblOverlap w:val="never"/>
        <w:jc w:val="center"/>
        <w:tblLayout w:type="fixed"/>
      </w:tblPr>
      <w:tblGrid>
        <w:gridCol w:w="1373"/>
        <w:gridCol w:w="1368"/>
        <w:gridCol w:w="1363"/>
        <w:gridCol w:w="1368"/>
        <w:gridCol w:w="1368"/>
        <w:gridCol w:w="1368"/>
        <w:gridCol w:w="1378"/>
      </w:tblGrid>
      <w:tr>
        <w:trPr>
          <w:trHeight w:val="480" w:hRule="exact"/>
        </w:trPr>
        <w:tc>
          <w:tcPr>
            <w:tcBorders>
              <w:top w:val="single" w:sz="4"/>
              <w:left w:val="single" w:sz="4"/>
            </w:tcBorders>
            <w:shd w:val="clear" w:color="auto" w:fill="D7D7D7"/>
            <w:vAlign w:val="bottom"/>
          </w:tcPr>
          <w:p>
            <w:pPr>
              <w:pStyle w:val="Style2"/>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sz w:val="18"/>
                <w:szCs w:val="18"/>
              </w:rPr>
              <w:t>4.</w:t>
            </w:r>
            <w:r>
              <w:rPr>
                <w:color w:val="000000"/>
                <w:spacing w:val="0"/>
                <w:w w:val="100"/>
                <w:position w:val="0"/>
              </w:rPr>
              <w:t>期末余额</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83,001,372.27</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jc w:val="left"/>
              <w:rPr>
                <w:sz w:val="18"/>
                <w:szCs w:val="18"/>
              </w:rPr>
            </w:pPr>
            <w:r>
              <w:rPr>
                <w:rFonts w:ascii="Times New Roman" w:eastAsia="Times New Roman" w:hAnsi="Times New Roman" w:cs="Times New Roman"/>
                <w:color w:val="000000"/>
                <w:spacing w:val="0"/>
                <w:w w:val="100"/>
                <w:position w:val="0"/>
                <w:sz w:val="18"/>
                <w:szCs w:val="18"/>
              </w:rPr>
              <w:t>9,092,507.06</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91,221,094.83</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13,167,723.92</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jc w:val="left"/>
              <w:rPr>
                <w:sz w:val="18"/>
                <w:szCs w:val="18"/>
              </w:rPr>
            </w:pPr>
            <w:r>
              <w:rPr>
                <w:rFonts w:ascii="Times New Roman" w:eastAsia="Times New Roman" w:hAnsi="Times New Roman" w:cs="Times New Roman"/>
                <w:color w:val="000000"/>
                <w:spacing w:val="0"/>
                <w:w w:val="100"/>
                <w:position w:val="0"/>
                <w:sz w:val="18"/>
                <w:szCs w:val="18"/>
              </w:rPr>
              <w:t>4,177,918.23</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220"/>
              <w:jc w:val="left"/>
              <w:rPr>
                <w:sz w:val="18"/>
                <w:szCs w:val="18"/>
              </w:rPr>
            </w:pPr>
            <w:r>
              <w:rPr>
                <w:rFonts w:ascii="Times New Roman" w:eastAsia="Times New Roman" w:hAnsi="Times New Roman" w:cs="Times New Roman"/>
                <w:color w:val="000000"/>
                <w:spacing w:val="0"/>
                <w:w w:val="100"/>
                <w:position w:val="0"/>
                <w:sz w:val="18"/>
                <w:szCs w:val="18"/>
              </w:rPr>
              <w:t>200,660,616.31</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三、减值准备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期初余额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26" w:lineRule="exact"/>
              <w:ind w:left="0" w:right="0" w:firstLine="200"/>
              <w:jc w:val="left"/>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本期增加金 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360"/>
              <w:jc w:val="left"/>
            </w:pPr>
            <w:r>
              <w:rPr>
                <w:color w:val="000000"/>
                <w:spacing w:val="0"/>
                <w:w w:val="100"/>
                <w:position w:val="0"/>
              </w:rPr>
              <w:t>（</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）计提</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22" w:lineRule="exact"/>
              <w:ind w:left="0" w:right="0" w:firstLine="200"/>
              <w:jc w:val="left"/>
            </w:pPr>
            <w:r>
              <w:rPr>
                <w:rFonts w:ascii="Times New Roman" w:eastAsia="Times New Roman" w:hAnsi="Times New Roman" w:cs="Times New Roman"/>
                <w:color w:val="000000"/>
                <w:spacing w:val="0"/>
                <w:w w:val="100"/>
                <w:position w:val="0"/>
                <w:sz w:val="18"/>
                <w:szCs w:val="18"/>
              </w:rPr>
              <w:t>3.</w:t>
            </w:r>
            <w:r>
              <w:rPr>
                <w:color w:val="000000"/>
                <w:spacing w:val="0"/>
                <w:w w:val="100"/>
                <w:position w:val="0"/>
              </w:rPr>
              <w:t>本期减少金 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jc w:val="left"/>
            </w:pPr>
            <w:r>
              <w:rPr>
                <w:color w:val="000000"/>
                <w:spacing w:val="0"/>
                <w:w w:val="100"/>
                <w:position w:val="0"/>
              </w:rPr>
              <w:t>（</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）处置或 报废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sz w:val="18"/>
                <w:szCs w:val="18"/>
              </w:rPr>
              <w:t>4.</w:t>
            </w:r>
            <w:r>
              <w:rPr>
                <w:color w:val="000000"/>
                <w:spacing w:val="0"/>
                <w:w w:val="100"/>
                <w:position w:val="0"/>
              </w:rPr>
              <w:t>期末余额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四、账面价值</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22" w:lineRule="exact"/>
              <w:ind w:left="0" w:right="0" w:firstLine="20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期末账面价 值</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349,790,006.51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rPr>
                <w:sz w:val="18"/>
                <w:szCs w:val="18"/>
              </w:rPr>
            </w:pPr>
            <w:r>
              <w:rPr>
                <w:rFonts w:ascii="Times New Roman" w:eastAsia="Times New Roman" w:hAnsi="Times New Roman" w:cs="Times New Roman"/>
                <w:color w:val="000000"/>
                <w:spacing w:val="0"/>
                <w:w w:val="100"/>
                <w:position w:val="0"/>
                <w:sz w:val="18"/>
                <w:szCs w:val="18"/>
              </w:rPr>
              <w:t>2,561,802.63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17,799,529.15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3,906,837.52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rPr>
                <w:sz w:val="18"/>
                <w:szCs w:val="18"/>
              </w:rPr>
            </w:pPr>
            <w:r>
              <w:rPr>
                <w:rFonts w:ascii="Times New Roman" w:eastAsia="Times New Roman" w:hAnsi="Times New Roman" w:cs="Times New Roman"/>
                <w:color w:val="000000"/>
                <w:spacing w:val="0"/>
                <w:w w:val="100"/>
                <w:position w:val="0"/>
                <w:sz w:val="18"/>
                <w:szCs w:val="18"/>
              </w:rPr>
              <w:t>2,651,049.22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rFonts w:ascii="Times New Roman" w:eastAsia="Times New Roman" w:hAnsi="Times New Roman" w:cs="Times New Roman"/>
                <w:color w:val="000000"/>
                <w:spacing w:val="0"/>
                <w:w w:val="100"/>
                <w:position w:val="0"/>
                <w:sz w:val="18"/>
                <w:szCs w:val="18"/>
              </w:rPr>
              <w:t>376,709,225.03</w:t>
            </w:r>
          </w:p>
        </w:tc>
      </w:tr>
      <w:tr>
        <w:trPr>
          <w:trHeight w:val="725"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326" w:lineRule="exact"/>
              <w:ind w:left="0" w:right="0" w:firstLine="200"/>
              <w:jc w:val="left"/>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期初账面价 值</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359,507,539.76</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rPr>
                <w:sz w:val="18"/>
                <w:szCs w:val="18"/>
              </w:rPr>
            </w:pPr>
            <w:r>
              <w:rPr>
                <w:rFonts w:ascii="Times New Roman" w:eastAsia="Times New Roman" w:hAnsi="Times New Roman" w:cs="Times New Roman"/>
                <w:color w:val="000000"/>
                <w:spacing w:val="0"/>
                <w:w w:val="100"/>
                <w:position w:val="0"/>
                <w:sz w:val="18"/>
                <w:szCs w:val="18"/>
              </w:rPr>
              <w:t>3,213,819.60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21,063,464.44</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1,930,468.35</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rPr>
                <w:sz w:val="18"/>
                <w:szCs w:val="18"/>
              </w:rPr>
            </w:pPr>
            <w:r>
              <w:rPr>
                <w:rFonts w:ascii="Times New Roman" w:eastAsia="Times New Roman" w:hAnsi="Times New Roman" w:cs="Times New Roman"/>
                <w:color w:val="000000"/>
                <w:spacing w:val="0"/>
                <w:w w:val="100"/>
                <w:position w:val="0"/>
                <w:sz w:val="18"/>
                <w:szCs w:val="18"/>
              </w:rPr>
              <w:t>2,717,355.89</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rFonts w:ascii="Times New Roman" w:eastAsia="Times New Roman" w:hAnsi="Times New Roman" w:cs="Times New Roman"/>
                <w:color w:val="000000"/>
                <w:spacing w:val="0"/>
                <w:w w:val="100"/>
                <w:position w:val="0"/>
                <w:sz w:val="18"/>
                <w:szCs w:val="18"/>
              </w:rPr>
              <w:t>388,432,648.04</w:t>
            </w:r>
          </w:p>
        </w:tc>
      </w:tr>
    </w:tbl>
    <w:p>
      <w:pPr>
        <w:widowControl w:val="0"/>
        <w:spacing w:after="319" w:line="1" w:lineRule="exact"/>
      </w:pPr>
    </w:p>
    <w:p>
      <w:pPr>
        <w:pStyle w:val="Style58"/>
        <w:keepNext/>
        <w:keepLines/>
        <w:widowControl w:val="0"/>
        <w:shd w:val="clear" w:color="auto" w:fill="auto"/>
        <w:bidi w:val="0"/>
        <w:spacing w:before="0" w:after="400" w:line="240" w:lineRule="auto"/>
        <w:ind w:left="0" w:right="0" w:firstLine="140"/>
        <w:jc w:val="left"/>
        <w:rPr>
          <w:sz w:val="20"/>
          <w:szCs w:val="20"/>
        </w:rPr>
      </w:pPr>
      <w:bookmarkStart w:id="1447" w:name="bookmark1447"/>
      <w:bookmarkStart w:id="1448" w:name="bookmark1448"/>
      <w:bookmarkStart w:id="1449" w:name="bookmark1449"/>
      <w:bookmarkStart w:id="1450" w:name="bookmark1450"/>
      <w:r>
        <w:rPr>
          <w:b/>
          <w:bCs/>
          <w:color w:val="000000"/>
          <w:spacing w:val="0"/>
          <w:w w:val="100"/>
          <w:position w:val="0"/>
          <w:sz w:val="20"/>
          <w:szCs w:val="20"/>
        </w:rPr>
        <w:t>（</w:t>
      </w:r>
      <w:bookmarkEnd w:id="1449"/>
      <w:r>
        <w:rPr>
          <w:b/>
          <w:bCs/>
          <w:color w:val="000000"/>
          <w:spacing w:val="0"/>
          <w:w w:val="100"/>
          <w:position w:val="0"/>
          <w:sz w:val="20"/>
          <w:szCs w:val="20"/>
        </w:rPr>
        <w:t>2）未办妥产权证书的固定资产情况</w:t>
      </w:r>
      <w:bookmarkEnd w:id="1447"/>
      <w:bookmarkEnd w:id="1448"/>
      <w:bookmarkEnd w:id="1450"/>
    </w:p>
    <w:p>
      <w:pPr>
        <w:pStyle w:val="Style41"/>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2275"/>
        <w:gridCol w:w="1560"/>
        <w:gridCol w:w="5750"/>
      </w:tblGrid>
      <w:tr>
        <w:trPr>
          <w:trHeight w:val="40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400"/>
              <w:jc w:val="left"/>
            </w:pPr>
            <w:r>
              <w:rPr>
                <w:color w:val="000000"/>
                <w:spacing w:val="0"/>
                <w:w w:val="100"/>
                <w:position w:val="0"/>
              </w:rPr>
              <w:t>账面价值</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未办妥产权证书的原因</w:t>
            </w:r>
          </w:p>
        </w:tc>
      </w:tr>
      <w:tr>
        <w:trPr>
          <w:trHeight w:val="41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房屋及建筑物</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left"/>
              <w:rPr>
                <w:sz w:val="18"/>
                <w:szCs w:val="18"/>
              </w:rPr>
            </w:pPr>
            <w:r>
              <w:rPr>
                <w:rFonts w:ascii="Times New Roman" w:eastAsia="Times New Roman" w:hAnsi="Times New Roman" w:cs="Times New Roman"/>
                <w:color w:val="000000"/>
                <w:spacing w:val="0"/>
                <w:w w:val="100"/>
                <w:position w:val="0"/>
                <w:sz w:val="18"/>
                <w:szCs w:val="18"/>
              </w:rPr>
              <w:t>83,385,643.87</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重庆新媒农信茶园软件园</w:t>
            </w:r>
            <w:r>
              <w:rPr>
                <w:rFonts w:ascii="Times New Roman" w:eastAsia="Times New Roman" w:hAnsi="Times New Roman" w:cs="Times New Roman"/>
                <w:color w:val="000000"/>
                <w:spacing w:val="0"/>
                <w:w w:val="100"/>
                <w:position w:val="0"/>
                <w:sz w:val="18"/>
                <w:szCs w:val="18"/>
              </w:rPr>
              <w:t>2016</w:t>
            </w:r>
            <w:r>
              <w:rPr>
                <w:color w:val="000000"/>
                <w:spacing w:val="0"/>
                <w:w w:val="100"/>
                <w:position w:val="0"/>
              </w:rPr>
              <w:t>年办理完竣工验收，权证尚未办理完毕。</w:t>
            </w:r>
          </w:p>
        </w:tc>
      </w:tr>
    </w:tbl>
    <w:p>
      <w:pPr>
        <w:widowControl w:val="0"/>
        <w:spacing w:after="659" w:line="1" w:lineRule="exact"/>
      </w:pPr>
    </w:p>
    <w:p>
      <w:pPr>
        <w:pStyle w:val="Style47"/>
        <w:keepNext/>
        <w:keepLines/>
        <w:widowControl w:val="0"/>
        <w:shd w:val="clear" w:color="auto" w:fill="auto"/>
        <w:tabs>
          <w:tab w:pos="483" w:val="left"/>
        </w:tabs>
        <w:bidi w:val="0"/>
        <w:spacing w:before="0" w:after="400" w:line="240" w:lineRule="auto"/>
        <w:ind w:left="0" w:right="0" w:firstLine="0"/>
        <w:jc w:val="left"/>
      </w:pPr>
      <w:bookmarkStart w:id="1451" w:name="bookmark1451"/>
      <w:bookmarkStart w:id="1452" w:name="bookmark1452"/>
      <w:bookmarkStart w:id="1453" w:name="bookmark1453"/>
      <w:bookmarkStart w:id="1454" w:name="bookmark1454"/>
      <w:r>
        <w:rPr>
          <w:color w:val="000000"/>
          <w:spacing w:val="0"/>
          <w:w w:val="100"/>
          <w:position w:val="0"/>
        </w:rPr>
        <w:t>2</w:t>
      </w:r>
      <w:bookmarkEnd w:id="1453"/>
      <w:r>
        <w:rPr>
          <w:color w:val="000000"/>
          <w:spacing w:val="0"/>
          <w:w w:val="100"/>
          <w:position w:val="0"/>
        </w:rPr>
        <w:t>2、</w:t>
        <w:tab/>
        <w:t>在建工程</w:t>
      </w:r>
      <w:bookmarkEnd w:id="1451"/>
      <w:bookmarkEnd w:id="1452"/>
      <w:bookmarkEnd w:id="1454"/>
    </w:p>
    <w:p>
      <w:pPr>
        <w:pStyle w:val="Style41"/>
        <w:keepNext w:val="0"/>
        <w:keepLines w:val="0"/>
        <w:widowControl w:val="0"/>
        <w:shd w:val="clear" w:color="auto" w:fill="auto"/>
        <w:bidi w:val="0"/>
        <w:spacing w:before="0" w:after="400" w:line="240" w:lineRule="auto"/>
        <w:ind w:left="0" w:right="0"/>
        <w:jc w:val="left"/>
      </w:pPr>
      <w:r>
        <w:rPr>
          <w:color w:val="000000"/>
          <w:spacing w:val="0"/>
          <w:w w:val="100"/>
          <w:position w:val="0"/>
        </w:rPr>
        <w:t>无。</w:t>
      </w:r>
    </w:p>
    <w:p>
      <w:pPr>
        <w:pStyle w:val="Style47"/>
        <w:keepNext/>
        <w:keepLines/>
        <w:widowControl w:val="0"/>
        <w:shd w:val="clear" w:color="auto" w:fill="auto"/>
        <w:tabs>
          <w:tab w:pos="483" w:val="left"/>
        </w:tabs>
        <w:bidi w:val="0"/>
        <w:spacing w:before="0" w:after="400" w:line="240" w:lineRule="auto"/>
        <w:ind w:left="0" w:right="0" w:firstLine="0"/>
        <w:jc w:val="left"/>
      </w:pPr>
      <w:bookmarkStart w:id="1455" w:name="bookmark1455"/>
      <w:bookmarkStart w:id="1456" w:name="bookmark1456"/>
      <w:bookmarkStart w:id="1457" w:name="bookmark1457"/>
      <w:bookmarkStart w:id="1458" w:name="bookmark1458"/>
      <w:r>
        <w:rPr>
          <w:color w:val="000000"/>
          <w:spacing w:val="0"/>
          <w:w w:val="100"/>
          <w:position w:val="0"/>
        </w:rPr>
        <w:t>2</w:t>
      </w:r>
      <w:bookmarkEnd w:id="1457"/>
      <w:r>
        <w:rPr>
          <w:color w:val="000000"/>
          <w:spacing w:val="0"/>
          <w:w w:val="100"/>
          <w:position w:val="0"/>
        </w:rPr>
        <w:t>3、</w:t>
        <w:tab/>
        <w:t>生产性生物资产</w:t>
      </w:r>
      <w:bookmarkEnd w:id="1455"/>
      <w:bookmarkEnd w:id="1456"/>
      <w:bookmarkEnd w:id="1458"/>
    </w:p>
    <w:p>
      <w:pPr>
        <w:pStyle w:val="Style41"/>
        <w:keepNext w:val="0"/>
        <w:keepLines w:val="0"/>
        <w:widowControl w:val="0"/>
        <w:shd w:val="clear" w:color="auto" w:fill="auto"/>
        <w:bidi w:val="0"/>
        <w:spacing w:before="0" w:after="400" w:line="240" w:lineRule="auto"/>
        <w:ind w:left="0" w:right="0"/>
        <w:jc w:val="left"/>
      </w:pPr>
      <w:r>
        <w:rPr>
          <w:color w:val="000000"/>
          <w:spacing w:val="0"/>
          <w:w w:val="100"/>
          <w:position w:val="0"/>
        </w:rPr>
        <w:t>无。</w:t>
      </w:r>
    </w:p>
    <w:p>
      <w:pPr>
        <w:pStyle w:val="Style47"/>
        <w:keepNext/>
        <w:keepLines/>
        <w:widowControl w:val="0"/>
        <w:shd w:val="clear" w:color="auto" w:fill="auto"/>
        <w:tabs>
          <w:tab w:pos="483" w:val="left"/>
        </w:tabs>
        <w:bidi w:val="0"/>
        <w:spacing w:before="0" w:after="400" w:line="240" w:lineRule="auto"/>
        <w:ind w:left="0" w:right="0" w:firstLine="0"/>
        <w:jc w:val="left"/>
      </w:pPr>
      <w:bookmarkStart w:id="1459" w:name="bookmark1459"/>
      <w:bookmarkStart w:id="1460" w:name="bookmark1460"/>
      <w:bookmarkStart w:id="1461" w:name="bookmark1461"/>
      <w:bookmarkStart w:id="1462" w:name="bookmark1462"/>
      <w:r>
        <w:rPr>
          <w:color w:val="000000"/>
          <w:spacing w:val="0"/>
          <w:w w:val="100"/>
          <w:position w:val="0"/>
        </w:rPr>
        <w:t>2</w:t>
      </w:r>
      <w:bookmarkEnd w:id="1461"/>
      <w:r>
        <w:rPr>
          <w:color w:val="000000"/>
          <w:spacing w:val="0"/>
          <w:w w:val="100"/>
          <w:position w:val="0"/>
        </w:rPr>
        <w:t>4、</w:t>
        <w:tab/>
        <w:t>油气资产</w:t>
      </w:r>
      <w:bookmarkEnd w:id="1459"/>
      <w:bookmarkEnd w:id="1460"/>
      <w:bookmarkEnd w:id="1462"/>
    </w:p>
    <w:p>
      <w:pPr>
        <w:pStyle w:val="Style41"/>
        <w:keepNext w:val="0"/>
        <w:keepLines w:val="0"/>
        <w:widowControl w:val="0"/>
        <w:shd w:val="clear" w:color="auto" w:fill="auto"/>
        <w:bidi w:val="0"/>
        <w:spacing w:before="0" w:after="400" w:line="240" w:lineRule="auto"/>
        <w:ind w:left="0" w:right="0"/>
        <w:jc w:val="left"/>
      </w:pPr>
      <w:r>
        <w:rPr>
          <w:color w:val="000000"/>
          <w:spacing w:val="0"/>
          <w:w w:val="100"/>
          <w:position w:val="0"/>
        </w:rPr>
        <w:t>无。</w:t>
      </w:r>
    </w:p>
    <w:p>
      <w:pPr>
        <w:pStyle w:val="Style47"/>
        <w:keepNext/>
        <w:keepLines/>
        <w:widowControl w:val="0"/>
        <w:shd w:val="clear" w:color="auto" w:fill="auto"/>
        <w:tabs>
          <w:tab w:pos="483" w:val="left"/>
        </w:tabs>
        <w:bidi w:val="0"/>
        <w:spacing w:before="0" w:after="400" w:line="240" w:lineRule="auto"/>
        <w:ind w:left="0" w:right="0" w:firstLine="0"/>
        <w:jc w:val="left"/>
      </w:pPr>
      <w:bookmarkStart w:id="1463" w:name="bookmark1463"/>
      <w:bookmarkStart w:id="1464" w:name="bookmark1464"/>
      <w:bookmarkStart w:id="1465" w:name="bookmark1465"/>
      <w:bookmarkStart w:id="1466" w:name="bookmark1466"/>
      <w:r>
        <w:rPr>
          <w:color w:val="000000"/>
          <w:spacing w:val="0"/>
          <w:w w:val="100"/>
          <w:position w:val="0"/>
        </w:rPr>
        <w:t>2</w:t>
      </w:r>
      <w:bookmarkEnd w:id="1465"/>
      <w:r>
        <w:rPr>
          <w:color w:val="000000"/>
          <w:spacing w:val="0"/>
          <w:w w:val="100"/>
          <w:position w:val="0"/>
        </w:rPr>
        <w:t>5、</w:t>
        <w:tab/>
        <w:t>使用权资产</w:t>
      </w:r>
      <w:bookmarkEnd w:id="1463"/>
      <w:bookmarkEnd w:id="1464"/>
      <w:bookmarkEnd w:id="1466"/>
    </w:p>
    <w:p>
      <w:pPr>
        <w:pStyle w:val="Style41"/>
        <w:keepNext w:val="0"/>
        <w:keepLines w:val="0"/>
        <w:widowControl w:val="0"/>
        <w:shd w:val="clear" w:color="auto" w:fill="auto"/>
        <w:bidi w:val="0"/>
        <w:spacing w:before="0" w:after="400" w:line="240" w:lineRule="auto"/>
        <w:ind w:left="0" w:right="0"/>
        <w:jc w:val="left"/>
      </w:pPr>
      <w:r>
        <w:rPr>
          <w:color w:val="000000"/>
          <w:spacing w:val="0"/>
          <w:w w:val="100"/>
          <w:position w:val="0"/>
        </w:rPr>
        <w:t>无。</w:t>
      </w:r>
      <w:r>
        <w:br w:type="page"/>
      </w:r>
    </w:p>
    <w:p>
      <w:pPr>
        <w:pStyle w:val="Style47"/>
        <w:keepNext/>
        <w:keepLines/>
        <w:widowControl w:val="0"/>
        <w:shd w:val="clear" w:color="auto" w:fill="auto"/>
        <w:bidi w:val="0"/>
        <w:spacing w:before="0" w:after="380" w:line="240" w:lineRule="auto"/>
        <w:ind w:left="0" w:right="0" w:firstLine="0"/>
        <w:jc w:val="left"/>
      </w:pPr>
      <w:bookmarkStart w:id="1467" w:name="bookmark1467"/>
      <w:bookmarkStart w:id="1468" w:name="bookmark1468"/>
      <w:bookmarkStart w:id="1469" w:name="bookmark1469"/>
      <w:bookmarkStart w:id="1470" w:name="bookmark1470"/>
      <w:r>
        <w:rPr>
          <w:color w:val="000000"/>
          <w:spacing w:val="0"/>
          <w:w w:val="100"/>
          <w:position w:val="0"/>
        </w:rPr>
        <w:t>2</w:t>
      </w:r>
      <w:bookmarkEnd w:id="1469"/>
      <w:r>
        <w:rPr>
          <w:color w:val="000000"/>
          <w:spacing w:val="0"/>
          <w:w w:val="100"/>
          <w:position w:val="0"/>
        </w:rPr>
        <w:t>6、无形资产</w:t>
      </w:r>
      <w:bookmarkEnd w:id="1467"/>
      <w:bookmarkEnd w:id="1468"/>
      <w:bookmarkEnd w:id="1470"/>
    </w:p>
    <w:p>
      <w:pPr>
        <w:pStyle w:val="Style58"/>
        <w:keepNext/>
        <w:keepLines/>
        <w:widowControl w:val="0"/>
        <w:shd w:val="clear" w:color="auto" w:fill="auto"/>
        <w:bidi w:val="0"/>
        <w:spacing w:before="0" w:after="380" w:line="240" w:lineRule="auto"/>
        <w:ind w:left="0" w:right="0" w:firstLine="140"/>
        <w:jc w:val="left"/>
        <w:rPr>
          <w:sz w:val="20"/>
          <w:szCs w:val="20"/>
        </w:rPr>
      </w:pPr>
      <w:bookmarkStart w:id="1471" w:name="bookmark1471"/>
      <w:bookmarkStart w:id="1472" w:name="bookmark1472"/>
      <w:bookmarkStart w:id="1473" w:name="bookmark1473"/>
      <w:bookmarkStart w:id="1474" w:name="bookmark1474"/>
      <w:r>
        <w:rPr>
          <w:b/>
          <w:bCs/>
          <w:color w:val="000000"/>
          <w:spacing w:val="0"/>
          <w:w w:val="100"/>
          <w:position w:val="0"/>
          <w:sz w:val="20"/>
          <w:szCs w:val="20"/>
        </w:rPr>
        <w:t>（</w:t>
      </w:r>
      <w:bookmarkEnd w:id="1473"/>
      <w:r>
        <w:rPr>
          <w:b/>
          <w:bCs/>
          <w:color w:val="000000"/>
          <w:spacing w:val="0"/>
          <w:w w:val="100"/>
          <w:position w:val="0"/>
          <w:sz w:val="20"/>
          <w:szCs w:val="20"/>
        </w:rPr>
        <w:t>1）无形资产情况</w:t>
      </w:r>
      <w:bookmarkEnd w:id="1471"/>
      <w:bookmarkEnd w:id="1472"/>
      <w:bookmarkEnd w:id="1474"/>
    </w:p>
    <w:p>
      <w:pPr>
        <w:pStyle w:val="Style20"/>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单位：元</w:t>
      </w:r>
    </w:p>
    <w:tbl>
      <w:tblPr>
        <w:tblOverlap w:val="never"/>
        <w:jc w:val="center"/>
        <w:tblLayout w:type="fixed"/>
      </w:tblPr>
      <w:tblGrid>
        <w:gridCol w:w="1214"/>
        <w:gridCol w:w="1214"/>
        <w:gridCol w:w="1210"/>
        <w:gridCol w:w="1214"/>
        <w:gridCol w:w="1210"/>
        <w:gridCol w:w="1214"/>
        <w:gridCol w:w="1210"/>
        <w:gridCol w:w="1224"/>
      </w:tblGrid>
      <w:tr>
        <w:trPr>
          <w:trHeight w:val="40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项目</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140"/>
              <w:jc w:val="left"/>
            </w:pPr>
            <w:r>
              <w:rPr>
                <w:color w:val="000000"/>
                <w:spacing w:val="0"/>
                <w:w w:val="100"/>
                <w:position w:val="0"/>
              </w:rPr>
              <w:t>土地使用权</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非专利技术</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360"/>
              <w:jc w:val="left"/>
            </w:pPr>
            <w:r>
              <w:rPr>
                <w:color w:val="000000"/>
                <w:spacing w:val="0"/>
                <w:w w:val="100"/>
                <w:position w:val="0"/>
              </w:rPr>
              <w:t>软件</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自主研发软件</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140" w:firstLine="0"/>
              <w:jc w:val="right"/>
            </w:pPr>
            <w:r>
              <w:rPr>
                <w:color w:val="000000"/>
                <w:spacing w:val="0"/>
                <w:w w:val="100"/>
                <w:position w:val="0"/>
              </w:rPr>
              <w:t>许可使用权</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140"/>
              <w:jc w:val="left"/>
            </w:pPr>
            <w:r>
              <w:rPr>
                <w:color w:val="000000"/>
                <w:spacing w:val="0"/>
                <w:w w:val="100"/>
                <w:position w:val="0"/>
              </w:rPr>
              <w:t>软件著作权</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420" w:firstLine="0"/>
              <w:jc w:val="right"/>
            </w:pPr>
            <w:r>
              <w:rPr>
                <w:color w:val="000000"/>
                <w:spacing w:val="0"/>
                <w:w w:val="100"/>
                <w:position w:val="0"/>
              </w:rPr>
              <w:t>合计</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一、账面原值</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firstLine="400"/>
              <w:jc w:val="both"/>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期初余 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21,629,941.45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8"/>
                <w:szCs w:val="18"/>
              </w:rPr>
            </w:pPr>
            <w:r>
              <w:rPr>
                <w:rFonts w:ascii="Times New Roman" w:eastAsia="Times New Roman" w:hAnsi="Times New Roman" w:cs="Times New Roman"/>
                <w:color w:val="000000"/>
                <w:spacing w:val="0"/>
                <w:w w:val="100"/>
                <w:position w:val="0"/>
                <w:sz w:val="18"/>
                <w:szCs w:val="18"/>
              </w:rPr>
              <w:t>2,899,000.00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both"/>
              <w:rPr>
                <w:sz w:val="18"/>
                <w:szCs w:val="18"/>
              </w:rPr>
            </w:pPr>
            <w:r>
              <w:rPr>
                <w:rFonts w:ascii="Times New Roman" w:eastAsia="Times New Roman" w:hAnsi="Times New Roman" w:cs="Times New Roman"/>
                <w:color w:val="000000"/>
                <w:spacing w:val="0"/>
                <w:w w:val="100"/>
                <w:position w:val="0"/>
                <w:sz w:val="18"/>
                <w:szCs w:val="18"/>
              </w:rPr>
              <w:t>9,837,576.48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666,224,343.62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8"/>
                <w:szCs w:val="18"/>
              </w:rPr>
            </w:pPr>
            <w:r>
              <w:rPr>
                <w:rFonts w:ascii="Times New Roman" w:eastAsia="Times New Roman" w:hAnsi="Times New Roman" w:cs="Times New Roman"/>
                <w:color w:val="000000"/>
                <w:spacing w:val="0"/>
                <w:w w:val="100"/>
                <w:position w:val="0"/>
                <w:sz w:val="18"/>
                <w:szCs w:val="18"/>
              </w:rPr>
              <w:t>4,518,005.11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46,398,300.00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751,507,166.66</w:t>
            </w: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120" w:line="240" w:lineRule="auto"/>
              <w:ind w:left="0" w:right="0" w:firstLine="400"/>
              <w:jc w:val="both"/>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本期增</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加金额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-93,956.09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both"/>
              <w:rPr>
                <w:sz w:val="18"/>
                <w:szCs w:val="18"/>
              </w:rPr>
            </w:pPr>
            <w:r>
              <w:rPr>
                <w:rFonts w:ascii="Times New Roman" w:eastAsia="Times New Roman" w:hAnsi="Times New Roman" w:cs="Times New Roman"/>
                <w:color w:val="000000"/>
                <w:spacing w:val="0"/>
                <w:w w:val="100"/>
                <w:position w:val="0"/>
                <w:sz w:val="18"/>
                <w:szCs w:val="18"/>
              </w:rPr>
              <w:t>89,511,368.51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89,417,412.42</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200"/>
              <w:jc w:val="both"/>
            </w:pPr>
            <w:r>
              <w:rPr>
                <w:color w:val="000000"/>
                <w:spacing w:val="0"/>
                <w:w w:val="100"/>
                <w:position w:val="0"/>
              </w:rPr>
              <w:t>（</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）购置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both"/>
              <w:rPr>
                <w:sz w:val="18"/>
                <w:szCs w:val="18"/>
              </w:rPr>
            </w:pPr>
            <w:r>
              <w:rPr>
                <w:rFonts w:ascii="Times New Roman" w:eastAsia="Times New Roman" w:hAnsi="Times New Roman" w:cs="Times New Roman"/>
                <w:color w:val="000000"/>
                <w:spacing w:val="0"/>
                <w:w w:val="100"/>
                <w:position w:val="0"/>
                <w:sz w:val="18"/>
                <w:szCs w:val="18"/>
              </w:rPr>
              <w:t>87,433.63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87,433.63</w:t>
            </w:r>
          </w:p>
        </w:tc>
      </w:tr>
      <w:tr>
        <w:trPr>
          <w:trHeight w:val="710"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31" w:lineRule="exact"/>
              <w:ind w:left="0" w:right="0" w:firstLine="200"/>
              <w:jc w:val="both"/>
            </w:pPr>
            <w:r>
              <w:rPr>
                <w:color w:val="000000"/>
                <w:spacing w:val="0"/>
                <w:w w:val="100"/>
                <w:position w:val="0"/>
              </w:rPr>
              <w:t>（</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）内部研 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both"/>
              <w:rPr>
                <w:sz w:val="18"/>
                <w:szCs w:val="18"/>
              </w:rPr>
            </w:pPr>
            <w:r>
              <w:rPr>
                <w:rFonts w:ascii="Times New Roman" w:eastAsia="Times New Roman" w:hAnsi="Times New Roman" w:cs="Times New Roman"/>
                <w:color w:val="000000"/>
                <w:spacing w:val="0"/>
                <w:w w:val="100"/>
                <w:position w:val="0"/>
                <w:sz w:val="18"/>
                <w:szCs w:val="18"/>
              </w:rPr>
              <w:t>89,511,368.51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89,511,368.51</w:t>
            </w: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120" w:line="240" w:lineRule="auto"/>
              <w:ind w:left="0" w:right="0" w:firstLine="200"/>
              <w:jc w:val="both"/>
            </w:pPr>
            <w:r>
              <w:rPr>
                <w:color w:val="000000"/>
                <w:spacing w:val="0"/>
                <w:w w:val="100"/>
                <w:position w:val="0"/>
              </w:rPr>
              <w:t>（</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）企业合</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并增加</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41" w:lineRule="exact"/>
              <w:ind w:left="0" w:right="0" w:firstLine="200"/>
              <w:jc w:val="both"/>
            </w:pPr>
            <w:r>
              <w:rPr>
                <w:color w:val="000000"/>
                <w:spacing w:val="0"/>
                <w:w w:val="100"/>
                <w:position w:val="0"/>
              </w:rPr>
              <w:t>（</w:t>
            </w:r>
            <w:r>
              <w:rPr>
                <w:rFonts w:ascii="Times New Roman" w:eastAsia="Times New Roman" w:hAnsi="Times New Roman" w:cs="Times New Roman"/>
                <w:color w:val="000000"/>
                <w:spacing w:val="0"/>
                <w:w w:val="100"/>
                <w:position w:val="0"/>
                <w:sz w:val="18"/>
                <w:szCs w:val="18"/>
              </w:rPr>
              <w:t>4</w:t>
            </w:r>
            <w:r>
              <w:rPr>
                <w:color w:val="000000"/>
                <w:spacing w:val="0"/>
                <w:w w:val="100"/>
                <w:position w:val="0"/>
              </w:rPr>
              <w:t>）汇率变 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-181,389.72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-181,389.72</w:t>
            </w: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100" w:line="240" w:lineRule="auto"/>
              <w:ind w:left="0" w:right="0" w:firstLine="200"/>
              <w:jc w:val="both"/>
            </w:pPr>
            <w:r>
              <w:rPr>
                <w:rFonts w:ascii="Times New Roman" w:eastAsia="Times New Roman" w:hAnsi="Times New Roman" w:cs="Times New Roman"/>
                <w:color w:val="000000"/>
                <w:spacing w:val="0"/>
                <w:w w:val="100"/>
                <w:position w:val="0"/>
                <w:sz w:val="18"/>
                <w:szCs w:val="18"/>
              </w:rPr>
              <w:t>3.</w:t>
            </w:r>
            <w:r>
              <w:rPr>
                <w:color w:val="000000"/>
                <w:spacing w:val="0"/>
                <w:w w:val="100"/>
                <w:position w:val="0"/>
              </w:rPr>
              <w:t>本期减少</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both"/>
              <w:rPr>
                <w:sz w:val="18"/>
                <w:szCs w:val="18"/>
              </w:rPr>
            </w:pPr>
            <w:r>
              <w:rPr>
                <w:rFonts w:ascii="Times New Roman" w:eastAsia="Times New Roman" w:hAnsi="Times New Roman" w:cs="Times New Roman"/>
                <w:color w:val="000000"/>
                <w:spacing w:val="0"/>
                <w:w w:val="100"/>
                <w:position w:val="0"/>
                <w:sz w:val="18"/>
                <w:szCs w:val="18"/>
              </w:rPr>
              <w:t>286,548.68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15,095,727.56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15,382,276.24</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）处置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31" w:lineRule="exact"/>
              <w:ind w:left="0" w:right="0" w:firstLine="0"/>
              <w:jc w:val="left"/>
            </w:pPr>
            <w:r>
              <w:rPr>
                <w:color w:val="000000"/>
                <w:spacing w:val="0"/>
                <w:w w:val="100"/>
                <w:position w:val="0"/>
              </w:rPr>
              <w:t>（</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）退出合 并范围</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both"/>
              <w:rPr>
                <w:sz w:val="18"/>
                <w:szCs w:val="18"/>
              </w:rPr>
            </w:pPr>
            <w:r>
              <w:rPr>
                <w:rFonts w:ascii="Times New Roman" w:eastAsia="Times New Roman" w:hAnsi="Times New Roman" w:cs="Times New Roman"/>
                <w:color w:val="000000"/>
                <w:spacing w:val="0"/>
                <w:w w:val="100"/>
                <w:position w:val="0"/>
                <w:sz w:val="18"/>
                <w:szCs w:val="18"/>
              </w:rPr>
              <w:t>286,548.68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15,095,727.56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15,382,276.24</w:t>
            </w: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26" w:lineRule="exact"/>
              <w:ind w:left="0" w:right="0" w:firstLine="400"/>
              <w:jc w:val="both"/>
            </w:pPr>
            <w:r>
              <w:rPr>
                <w:rFonts w:ascii="Times New Roman" w:eastAsia="Times New Roman" w:hAnsi="Times New Roman" w:cs="Times New Roman"/>
                <w:color w:val="000000"/>
                <w:spacing w:val="0"/>
                <w:w w:val="100"/>
                <w:position w:val="0"/>
                <w:sz w:val="18"/>
                <w:szCs w:val="18"/>
              </w:rPr>
              <w:t>4.</w:t>
            </w:r>
            <w:r>
              <w:rPr>
                <w:color w:val="000000"/>
                <w:spacing w:val="0"/>
                <w:w w:val="100"/>
                <w:position w:val="0"/>
              </w:rPr>
              <w:t>期末余 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21,629,941.45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8"/>
                <w:szCs w:val="18"/>
              </w:rPr>
            </w:pPr>
            <w:r>
              <w:rPr>
                <w:rFonts w:ascii="Times New Roman" w:eastAsia="Times New Roman" w:hAnsi="Times New Roman" w:cs="Times New Roman"/>
                <w:color w:val="000000"/>
                <w:spacing w:val="0"/>
                <w:w w:val="100"/>
                <w:position w:val="0"/>
                <w:sz w:val="18"/>
                <w:szCs w:val="18"/>
              </w:rPr>
              <w:t>2,899,000.00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both"/>
              <w:rPr>
                <w:sz w:val="18"/>
                <w:szCs w:val="18"/>
              </w:rPr>
            </w:pPr>
            <w:r>
              <w:rPr>
                <w:rFonts w:ascii="Times New Roman" w:eastAsia="Times New Roman" w:hAnsi="Times New Roman" w:cs="Times New Roman"/>
                <w:color w:val="000000"/>
                <w:spacing w:val="0"/>
                <w:w w:val="100"/>
                <w:position w:val="0"/>
                <w:sz w:val="18"/>
                <w:szCs w:val="18"/>
              </w:rPr>
              <w:t>9,457,071.71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740,639,984.57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8"/>
                <w:szCs w:val="18"/>
              </w:rPr>
            </w:pPr>
            <w:r>
              <w:rPr>
                <w:rFonts w:ascii="Times New Roman" w:eastAsia="Times New Roman" w:hAnsi="Times New Roman" w:cs="Times New Roman"/>
                <w:color w:val="000000"/>
                <w:spacing w:val="0"/>
                <w:w w:val="100"/>
                <w:position w:val="0"/>
                <w:sz w:val="18"/>
                <w:szCs w:val="18"/>
              </w:rPr>
              <w:t>4,518,005.11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46,398,300.00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825,542,302.84</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二、累计摊销</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firstLine="400"/>
              <w:jc w:val="both"/>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期初余 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8"/>
                <w:szCs w:val="18"/>
              </w:rPr>
            </w:pPr>
            <w:r>
              <w:rPr>
                <w:rFonts w:ascii="Times New Roman" w:eastAsia="Times New Roman" w:hAnsi="Times New Roman" w:cs="Times New Roman"/>
                <w:color w:val="000000"/>
                <w:spacing w:val="0"/>
                <w:w w:val="100"/>
                <w:position w:val="0"/>
                <w:sz w:val="18"/>
                <w:szCs w:val="18"/>
              </w:rPr>
              <w:t>3,548,284.80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8"/>
                <w:szCs w:val="18"/>
              </w:rPr>
            </w:pPr>
            <w:r>
              <w:rPr>
                <w:rFonts w:ascii="Times New Roman" w:eastAsia="Times New Roman" w:hAnsi="Times New Roman" w:cs="Times New Roman"/>
                <w:color w:val="000000"/>
                <w:spacing w:val="0"/>
                <w:w w:val="100"/>
                <w:position w:val="0"/>
                <w:sz w:val="18"/>
                <w:szCs w:val="18"/>
              </w:rPr>
              <w:t>2,899,000.00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both"/>
              <w:rPr>
                <w:sz w:val="18"/>
                <w:szCs w:val="18"/>
              </w:rPr>
            </w:pPr>
            <w:r>
              <w:rPr>
                <w:rFonts w:ascii="Times New Roman" w:eastAsia="Times New Roman" w:hAnsi="Times New Roman" w:cs="Times New Roman"/>
                <w:color w:val="000000"/>
                <w:spacing w:val="0"/>
                <w:w w:val="100"/>
                <w:position w:val="0"/>
                <w:sz w:val="18"/>
                <w:szCs w:val="18"/>
              </w:rPr>
              <w:t>8,477,958.60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227,428,195.67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8"/>
                <w:szCs w:val="18"/>
              </w:rPr>
            </w:pPr>
            <w:r>
              <w:rPr>
                <w:rFonts w:ascii="Times New Roman" w:eastAsia="Times New Roman" w:hAnsi="Times New Roman" w:cs="Times New Roman"/>
                <w:color w:val="000000"/>
                <w:spacing w:val="0"/>
                <w:w w:val="100"/>
                <w:position w:val="0"/>
                <w:sz w:val="18"/>
                <w:szCs w:val="18"/>
              </w:rPr>
              <w:t>3,932,098.57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43,148,300.00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289,433,837.64</w:t>
            </w: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100" w:line="240" w:lineRule="auto"/>
              <w:ind w:left="0" w:right="0" w:firstLine="400"/>
              <w:jc w:val="both"/>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本期增</w:t>
            </w:r>
          </w:p>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加金额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433,051.80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both"/>
              <w:rPr>
                <w:sz w:val="18"/>
                <w:szCs w:val="18"/>
              </w:rPr>
            </w:pPr>
            <w:r>
              <w:rPr>
                <w:rFonts w:ascii="Times New Roman" w:eastAsia="Times New Roman" w:hAnsi="Times New Roman" w:cs="Times New Roman"/>
                <w:color w:val="000000"/>
                <w:spacing w:val="0"/>
                <w:w w:val="100"/>
                <w:position w:val="0"/>
                <w:sz w:val="18"/>
                <w:szCs w:val="18"/>
              </w:rPr>
              <w:t>437,540.36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75,264,668.29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292,953.35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8"/>
                <w:szCs w:val="18"/>
              </w:rPr>
            </w:pPr>
            <w:r>
              <w:rPr>
                <w:rFonts w:ascii="Times New Roman" w:eastAsia="Times New Roman" w:hAnsi="Times New Roman" w:cs="Times New Roman"/>
                <w:color w:val="000000"/>
                <w:spacing w:val="0"/>
                <w:w w:val="100"/>
                <w:position w:val="0"/>
                <w:sz w:val="18"/>
                <w:szCs w:val="18"/>
              </w:rPr>
              <w:t>3,000,000.00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79,428,213.80</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both"/>
            </w:pPr>
            <w:r>
              <w:rPr>
                <w:color w:val="000000"/>
                <w:spacing w:val="0"/>
                <w:w w:val="100"/>
                <w:position w:val="0"/>
              </w:rPr>
              <w:t>（</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）计提</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433,051.80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both"/>
              <w:rPr>
                <w:sz w:val="18"/>
                <w:szCs w:val="18"/>
              </w:rPr>
            </w:pPr>
            <w:r>
              <w:rPr>
                <w:rFonts w:ascii="Times New Roman" w:eastAsia="Times New Roman" w:hAnsi="Times New Roman" w:cs="Times New Roman"/>
                <w:color w:val="000000"/>
                <w:spacing w:val="0"/>
                <w:w w:val="100"/>
                <w:position w:val="0"/>
                <w:sz w:val="18"/>
                <w:szCs w:val="18"/>
              </w:rPr>
              <w:t>618,930.02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75,264,668.29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292,953.35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8"/>
                <w:szCs w:val="18"/>
              </w:rPr>
            </w:pPr>
            <w:r>
              <w:rPr>
                <w:rFonts w:ascii="Times New Roman" w:eastAsia="Times New Roman" w:hAnsi="Times New Roman" w:cs="Times New Roman"/>
                <w:color w:val="000000"/>
                <w:spacing w:val="0"/>
                <w:w w:val="100"/>
                <w:position w:val="0"/>
                <w:sz w:val="18"/>
                <w:szCs w:val="18"/>
              </w:rPr>
              <w:t>3,000,000.00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79,609,603.46</w:t>
            </w: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100" w:line="240" w:lineRule="auto"/>
              <w:ind w:left="0" w:right="0" w:firstLine="300"/>
              <w:jc w:val="both"/>
            </w:pPr>
            <w:r>
              <w:rPr>
                <w:color w:val="000000"/>
                <w:spacing w:val="0"/>
                <w:w w:val="100"/>
                <w:position w:val="0"/>
              </w:rPr>
              <w:t>（</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）汇率</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变动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-181,389.66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-181,389.66</w:t>
            </w:r>
          </w:p>
        </w:tc>
      </w:tr>
      <w:tr>
        <w:trPr>
          <w:trHeight w:val="710"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100" w:line="240" w:lineRule="auto"/>
              <w:ind w:left="0" w:right="0"/>
              <w:jc w:val="both"/>
            </w:pPr>
            <w:r>
              <w:rPr>
                <w:rFonts w:ascii="Times New Roman" w:eastAsia="Times New Roman" w:hAnsi="Times New Roman" w:cs="Times New Roman"/>
                <w:color w:val="000000"/>
                <w:spacing w:val="0"/>
                <w:w w:val="100"/>
                <w:position w:val="0"/>
                <w:sz w:val="18"/>
                <w:szCs w:val="18"/>
              </w:rPr>
              <w:t>3.</w:t>
            </w:r>
            <w:r>
              <w:rPr>
                <w:color w:val="000000"/>
                <w:spacing w:val="0"/>
                <w:w w:val="100"/>
                <w:position w:val="0"/>
              </w:rPr>
              <w:t>本期减</w:t>
            </w:r>
          </w:p>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少金额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both"/>
              <w:rPr>
                <w:sz w:val="18"/>
                <w:szCs w:val="18"/>
              </w:rPr>
            </w:pPr>
            <w:r>
              <w:rPr>
                <w:rFonts w:ascii="Times New Roman" w:eastAsia="Times New Roman" w:hAnsi="Times New Roman" w:cs="Times New Roman"/>
                <w:color w:val="000000"/>
                <w:spacing w:val="0"/>
                <w:w w:val="100"/>
                <w:position w:val="0"/>
                <w:sz w:val="18"/>
                <w:szCs w:val="18"/>
              </w:rPr>
              <w:t>56,749.18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8"/>
                <w:szCs w:val="18"/>
              </w:rPr>
            </w:pPr>
            <w:r>
              <w:rPr>
                <w:rFonts w:ascii="Times New Roman" w:eastAsia="Times New Roman" w:hAnsi="Times New Roman" w:cs="Times New Roman"/>
                <w:color w:val="000000"/>
                <w:spacing w:val="0"/>
                <w:w w:val="100"/>
                <w:position w:val="0"/>
                <w:sz w:val="18"/>
                <w:szCs w:val="18"/>
              </w:rPr>
              <w:t>6,410,403.61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6,467,152.79</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200"/>
              <w:jc w:val="both"/>
            </w:pPr>
            <w:r>
              <w:rPr>
                <w:color w:val="000000"/>
                <w:spacing w:val="0"/>
                <w:w w:val="100"/>
                <w:position w:val="0"/>
              </w:rPr>
              <w:t>（</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）处置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25"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120" w:line="240" w:lineRule="auto"/>
              <w:ind w:left="0" w:right="0" w:firstLine="200"/>
              <w:jc w:val="both"/>
            </w:pPr>
            <w:r>
              <w:rPr>
                <w:color w:val="000000"/>
                <w:spacing w:val="0"/>
                <w:w w:val="100"/>
                <w:position w:val="0"/>
              </w:rPr>
              <w:t>（</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）退出合</w:t>
            </w:r>
          </w:p>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并范围</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both"/>
              <w:rPr>
                <w:sz w:val="18"/>
                <w:szCs w:val="18"/>
              </w:rPr>
            </w:pPr>
            <w:r>
              <w:rPr>
                <w:rFonts w:ascii="Times New Roman" w:eastAsia="Times New Roman" w:hAnsi="Times New Roman" w:cs="Times New Roman"/>
                <w:color w:val="000000"/>
                <w:spacing w:val="0"/>
                <w:w w:val="100"/>
                <w:position w:val="0"/>
                <w:sz w:val="18"/>
                <w:szCs w:val="18"/>
              </w:rPr>
              <w:t>56,749.18</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8"/>
                <w:szCs w:val="18"/>
              </w:rPr>
            </w:pPr>
            <w:r>
              <w:rPr>
                <w:rFonts w:ascii="Times New Roman" w:eastAsia="Times New Roman" w:hAnsi="Times New Roman" w:cs="Times New Roman"/>
                <w:color w:val="000000"/>
                <w:spacing w:val="0"/>
                <w:w w:val="100"/>
                <w:position w:val="0"/>
                <w:sz w:val="18"/>
                <w:szCs w:val="18"/>
              </w:rPr>
              <w:t>6,410,403.61</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6,467,152.79</w:t>
            </w:r>
          </w:p>
        </w:tc>
      </w:tr>
    </w:tbl>
    <w:p>
      <w:pPr>
        <w:widowControl w:val="0"/>
        <w:spacing w:line="1" w:lineRule="exact"/>
        <w:sectPr>
          <w:headerReference w:type="default" r:id="rId379"/>
          <w:footerReference w:type="default" r:id="rId380"/>
          <w:headerReference w:type="even" r:id="rId381"/>
          <w:footerReference w:type="even" r:id="rId382"/>
          <w:headerReference w:type="first" r:id="rId383"/>
          <w:footerReference w:type="first" r:id="rId384"/>
          <w:footnotePr>
            <w:pos w:val="pageBottom"/>
            <w:numFmt w:val="decimal"/>
            <w:numRestart w:val="continuous"/>
          </w:footnotePr>
          <w:pgSz w:w="11904" w:h="17375"/>
          <w:pgMar w:top="1676" w:right="1030" w:bottom="1663" w:left="1006" w:header="0" w:footer="3" w:gutter="0"/>
          <w:cols w:space="720"/>
          <w:noEndnote/>
          <w:titlePg/>
          <w:rtlGutter w:val="0"/>
          <w:docGrid w:linePitch="360"/>
        </w:sectPr>
      </w:pPr>
    </w:p>
    <w:tbl>
      <w:tblPr>
        <w:tblOverlap w:val="never"/>
        <w:jc w:val="center"/>
        <w:tblLayout w:type="fixed"/>
      </w:tblPr>
      <w:tblGrid>
        <w:gridCol w:w="1214"/>
        <w:gridCol w:w="1214"/>
        <w:gridCol w:w="1210"/>
        <w:gridCol w:w="1214"/>
        <w:gridCol w:w="1210"/>
        <w:gridCol w:w="1214"/>
        <w:gridCol w:w="1210"/>
        <w:gridCol w:w="1224"/>
      </w:tblGrid>
      <w:tr>
        <w:trPr>
          <w:trHeight w:val="792"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22" w:lineRule="exact"/>
              <w:ind w:left="0" w:right="0"/>
              <w:jc w:val="both"/>
            </w:pPr>
            <w:r>
              <w:rPr>
                <w:rFonts w:ascii="Times New Roman" w:eastAsia="Times New Roman" w:hAnsi="Times New Roman" w:cs="Times New Roman"/>
                <w:color w:val="000000"/>
                <w:spacing w:val="0"/>
                <w:w w:val="100"/>
                <w:position w:val="0"/>
                <w:sz w:val="18"/>
                <w:szCs w:val="18"/>
              </w:rPr>
              <w:t>4.</w:t>
            </w:r>
            <w:r>
              <w:rPr>
                <w:color w:val="000000"/>
                <w:spacing w:val="0"/>
                <w:w w:val="100"/>
                <w:position w:val="0"/>
              </w:rPr>
              <w:t>期末余 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8"/>
                <w:szCs w:val="18"/>
              </w:rPr>
            </w:pPr>
            <w:r>
              <w:rPr>
                <w:rFonts w:ascii="Times New Roman" w:eastAsia="Times New Roman" w:hAnsi="Times New Roman" w:cs="Times New Roman"/>
                <w:color w:val="000000"/>
                <w:spacing w:val="0"/>
                <w:w w:val="100"/>
                <w:position w:val="0"/>
                <w:sz w:val="18"/>
                <w:szCs w:val="18"/>
              </w:rPr>
              <w:t>3,981,336.60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8"/>
                <w:szCs w:val="18"/>
              </w:rPr>
            </w:pPr>
            <w:r>
              <w:rPr>
                <w:rFonts w:ascii="Times New Roman" w:eastAsia="Times New Roman" w:hAnsi="Times New Roman" w:cs="Times New Roman"/>
                <w:color w:val="000000"/>
                <w:spacing w:val="0"/>
                <w:w w:val="100"/>
                <w:position w:val="0"/>
                <w:sz w:val="18"/>
                <w:szCs w:val="18"/>
              </w:rPr>
              <w:t>2,899,000.00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8"/>
                <w:szCs w:val="18"/>
              </w:rPr>
            </w:pPr>
            <w:r>
              <w:rPr>
                <w:rFonts w:ascii="Times New Roman" w:eastAsia="Times New Roman" w:hAnsi="Times New Roman" w:cs="Times New Roman"/>
                <w:color w:val="000000"/>
                <w:spacing w:val="0"/>
                <w:w w:val="100"/>
                <w:position w:val="0"/>
                <w:sz w:val="18"/>
                <w:szCs w:val="18"/>
              </w:rPr>
              <w:t>8,858,749.78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296,282,460.35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4,225,051.92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46,148,300.00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362,394,898.65</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三、减值准备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jc w:val="both"/>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期初余 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80,134,840.73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80,134,840.73</w:t>
            </w: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120" w:line="240" w:lineRule="auto"/>
              <w:ind w:left="0" w:right="0"/>
              <w:jc w:val="both"/>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本期增</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加金额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）计提</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100" w:line="240" w:lineRule="auto"/>
              <w:ind w:left="0" w:right="0"/>
              <w:jc w:val="left"/>
            </w:pPr>
            <w:r>
              <w:rPr>
                <w:rFonts w:ascii="Times New Roman" w:eastAsia="Times New Roman" w:hAnsi="Times New Roman" w:cs="Times New Roman"/>
                <w:color w:val="000000"/>
                <w:spacing w:val="0"/>
                <w:w w:val="100"/>
                <w:position w:val="0"/>
                <w:sz w:val="18"/>
                <w:szCs w:val="18"/>
              </w:rPr>
              <w:t>3.</w:t>
            </w:r>
            <w:r>
              <w:rPr>
                <w:color w:val="000000"/>
                <w:spacing w:val="0"/>
                <w:w w:val="100"/>
                <w:position w:val="0"/>
              </w:rPr>
              <w:t>本期减</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少金额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both"/>
            </w:pPr>
            <w:r>
              <w:rPr>
                <w:color w:val="000000"/>
                <w:spacing w:val="0"/>
                <w:w w:val="100"/>
                <w:position w:val="0"/>
              </w:rPr>
              <w:t>（</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）处置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26" w:lineRule="exact"/>
              <w:ind w:left="0" w:right="0"/>
              <w:jc w:val="both"/>
            </w:pPr>
            <w:r>
              <w:rPr>
                <w:rFonts w:ascii="Times New Roman" w:eastAsia="Times New Roman" w:hAnsi="Times New Roman" w:cs="Times New Roman"/>
                <w:color w:val="000000"/>
                <w:spacing w:val="0"/>
                <w:w w:val="100"/>
                <w:position w:val="0"/>
                <w:sz w:val="18"/>
                <w:szCs w:val="18"/>
              </w:rPr>
              <w:t>4.</w:t>
            </w:r>
            <w:r>
              <w:rPr>
                <w:color w:val="000000"/>
                <w:spacing w:val="0"/>
                <w:w w:val="100"/>
                <w:position w:val="0"/>
              </w:rPr>
              <w:t>期末余 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80,134,840.73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80,134,840.73</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四、账面价值</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jc w:val="both"/>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期末账 面价值</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17,648,604.85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598,321.93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364,222,683.49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292,953.19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250,000.00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383,012,563.46</w:t>
            </w:r>
          </w:p>
        </w:tc>
      </w:tr>
      <w:tr>
        <w:trPr>
          <w:trHeight w:val="725"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100" w:line="240" w:lineRule="auto"/>
              <w:ind w:left="0" w:right="0"/>
              <w:jc w:val="both"/>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期初账</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面价值</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18,081,656.65</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8"/>
                <w:szCs w:val="18"/>
              </w:rPr>
            </w:pPr>
            <w:r>
              <w:rPr>
                <w:rFonts w:ascii="Times New Roman" w:eastAsia="Times New Roman" w:hAnsi="Times New Roman" w:cs="Times New Roman"/>
                <w:color w:val="000000"/>
                <w:spacing w:val="0"/>
                <w:w w:val="100"/>
                <w:position w:val="0"/>
                <w:sz w:val="18"/>
                <w:szCs w:val="18"/>
              </w:rPr>
              <w:t>1,359,617.88</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358,661,307.22</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585,906.54</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3,250,000.00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381,938,488.29</w:t>
            </w:r>
          </w:p>
        </w:tc>
      </w:tr>
    </w:tbl>
    <w:p>
      <w:pPr>
        <w:pStyle w:val="Style20"/>
        <w:keepNext w:val="0"/>
        <w:keepLines w:val="0"/>
        <w:widowControl w:val="0"/>
        <w:shd w:val="clear" w:color="auto" w:fill="auto"/>
        <w:bidi w:val="0"/>
        <w:spacing w:before="0" w:after="0" w:line="240" w:lineRule="auto"/>
        <w:ind w:left="14" w:right="0" w:firstLine="0"/>
        <w:jc w:val="left"/>
        <w:rPr>
          <w:sz w:val="17"/>
          <w:szCs w:val="17"/>
        </w:rPr>
      </w:pPr>
      <w:r>
        <w:rPr>
          <w:rFonts w:ascii="SimSun" w:eastAsia="SimSun" w:hAnsi="SimSun" w:cs="SimSun"/>
          <w:color w:val="000000"/>
          <w:spacing w:val="0"/>
          <w:w w:val="100"/>
          <w:position w:val="0"/>
          <w:sz w:val="17"/>
          <w:szCs w:val="17"/>
        </w:rPr>
        <w:t>本期末通过公司内部研发形成的无形资产占无形资产余额的比例</w:t>
      </w:r>
      <w:r>
        <w:rPr>
          <w:rFonts w:ascii="Times New Roman" w:eastAsia="Times New Roman" w:hAnsi="Times New Roman" w:cs="Times New Roman"/>
          <w:color w:val="000000"/>
          <w:spacing w:val="0"/>
          <w:w w:val="100"/>
          <w:position w:val="0"/>
          <w:sz w:val="18"/>
          <w:szCs w:val="18"/>
        </w:rPr>
        <w:t>95.09%</w:t>
      </w:r>
      <w:r>
        <w:rPr>
          <w:rFonts w:ascii="SimSun" w:eastAsia="SimSun" w:hAnsi="SimSun" w:cs="SimSun"/>
          <w:color w:val="000000"/>
          <w:spacing w:val="0"/>
          <w:w w:val="100"/>
          <w:position w:val="0"/>
          <w:sz w:val="17"/>
          <w:szCs w:val="17"/>
        </w:rPr>
        <w:t>。</w:t>
      </w:r>
    </w:p>
    <w:p>
      <w:pPr>
        <w:widowControl w:val="0"/>
        <w:spacing w:after="319" w:line="1" w:lineRule="exact"/>
      </w:pPr>
    </w:p>
    <w:p>
      <w:pPr>
        <w:pStyle w:val="Style41"/>
        <w:keepNext w:val="0"/>
        <w:keepLines w:val="0"/>
        <w:widowControl w:val="0"/>
        <w:shd w:val="clear" w:color="auto" w:fill="auto"/>
        <w:bidi w:val="0"/>
        <w:spacing w:before="0" w:after="120" w:line="365" w:lineRule="exact"/>
        <w:ind w:left="0" w:right="0" w:firstLine="0"/>
        <w:jc w:val="left"/>
      </w:pPr>
      <w:r>
        <w:rPr>
          <w:color w:val="000000"/>
          <w:spacing w:val="0"/>
          <w:w w:val="100"/>
          <w:position w:val="0"/>
        </w:rPr>
        <w:t>公司需遵守《深圳证券交易所创业板行业信息披露指引第</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号——上市公司从事互联网游戏业务》的披露要求 前五名游戏情况</w:t>
      </w:r>
    </w:p>
    <w:p>
      <w:pPr>
        <w:pStyle w:val="Style20"/>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单位：元</w:t>
      </w:r>
    </w:p>
    <w:tbl>
      <w:tblPr>
        <w:tblOverlap w:val="never"/>
        <w:jc w:val="center"/>
        <w:tblLayout w:type="fixed"/>
      </w:tblPr>
      <w:tblGrid>
        <w:gridCol w:w="2986"/>
        <w:gridCol w:w="3336"/>
        <w:gridCol w:w="3355"/>
      </w:tblGrid>
      <w:tr>
        <w:trPr>
          <w:trHeight w:val="360"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游戏名称</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账面价值</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占无形资产比重（</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tc>
      </w:tr>
      <w:tr>
        <w:trPr>
          <w:trHeight w:val="3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战火与秩序</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237,129.99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0.06</w:t>
            </w:r>
          </w:p>
        </w:tc>
      </w:tr>
      <w:tr>
        <w:trPr>
          <w:trHeight w:val="3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Z</w:t>
            </w:r>
            <w:r>
              <w:rPr>
                <w:color w:val="000000"/>
                <w:spacing w:val="0"/>
                <w:w w:val="100"/>
                <w:position w:val="0"/>
              </w:rPr>
              <w:t>纪元</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Age of Z</w:t>
            </w:r>
            <w:r>
              <w:rPr>
                <w:color w:val="000000"/>
                <w:spacing w:val="0"/>
                <w:w w:val="100"/>
                <w:position w:val="0"/>
              </w:rPr>
              <w: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9,566,618.44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2.50</w:t>
            </w:r>
          </w:p>
        </w:tc>
      </w:tr>
      <w:tr>
        <w:trPr>
          <w:trHeight w:val="3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7"/>
                <w:szCs w:val="17"/>
              </w:rPr>
              <w:t>无尽苍穹</w:t>
            </w:r>
            <w:r>
              <w:rPr>
                <w:rFonts w:ascii="Times New Roman" w:eastAsia="Times New Roman" w:hAnsi="Times New Roman" w:cs="Times New Roman"/>
                <w:color w:val="000000"/>
                <w:spacing w:val="0"/>
                <w:w w:val="100"/>
                <w:position w:val="0"/>
                <w:sz w:val="18"/>
                <w:szCs w:val="18"/>
              </w:rPr>
              <w:t>(Infinite Galaxy)</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29,841,457.01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7.79</w:t>
            </w:r>
          </w:p>
        </w:tc>
      </w:tr>
      <w:tr>
        <w:trPr>
          <w:trHeight w:val="360"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39,645,205.44</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10.35</w:t>
            </w:r>
          </w:p>
        </w:tc>
      </w:tr>
    </w:tbl>
    <w:p>
      <w:pPr>
        <w:widowControl w:val="0"/>
        <w:spacing w:after="639" w:line="1" w:lineRule="exact"/>
      </w:pPr>
    </w:p>
    <w:p>
      <w:pPr>
        <w:pStyle w:val="Style58"/>
        <w:keepNext/>
        <w:keepLines/>
        <w:widowControl w:val="0"/>
        <w:shd w:val="clear" w:color="auto" w:fill="auto"/>
        <w:bidi w:val="0"/>
        <w:spacing w:before="0" w:after="400" w:line="240" w:lineRule="auto"/>
        <w:ind w:left="0" w:right="0" w:firstLine="140"/>
        <w:jc w:val="left"/>
        <w:rPr>
          <w:sz w:val="20"/>
          <w:szCs w:val="20"/>
        </w:rPr>
      </w:pPr>
      <w:bookmarkStart w:id="1475" w:name="bookmark1475"/>
      <w:bookmarkStart w:id="1476" w:name="bookmark1476"/>
      <w:bookmarkStart w:id="1477" w:name="bookmark1477"/>
      <w:bookmarkStart w:id="1478" w:name="bookmark1478"/>
      <w:r>
        <w:rPr>
          <w:b/>
          <w:bCs/>
          <w:color w:val="000000"/>
          <w:spacing w:val="0"/>
          <w:w w:val="100"/>
          <w:position w:val="0"/>
          <w:sz w:val="20"/>
          <w:szCs w:val="20"/>
        </w:rPr>
        <w:t>（</w:t>
      </w:r>
      <w:bookmarkEnd w:id="1477"/>
      <w:r>
        <w:rPr>
          <w:b/>
          <w:bCs/>
          <w:color w:val="000000"/>
          <w:spacing w:val="0"/>
          <w:w w:val="100"/>
          <w:position w:val="0"/>
          <w:sz w:val="20"/>
          <w:szCs w:val="20"/>
        </w:rPr>
        <w:t>2）未办妥产权证书的土地使用权情况</w:t>
      </w:r>
      <w:bookmarkEnd w:id="1475"/>
      <w:bookmarkEnd w:id="1476"/>
      <w:bookmarkEnd w:id="1478"/>
    </w:p>
    <w:p>
      <w:pPr>
        <w:pStyle w:val="Style41"/>
        <w:keepNext w:val="0"/>
        <w:keepLines w:val="0"/>
        <w:widowControl w:val="0"/>
        <w:shd w:val="clear" w:color="auto" w:fill="auto"/>
        <w:bidi w:val="0"/>
        <w:spacing w:before="0" w:after="400" w:line="240" w:lineRule="auto"/>
        <w:ind w:left="0" w:right="0"/>
        <w:jc w:val="left"/>
      </w:pPr>
      <w:r>
        <w:rPr>
          <w:color w:val="000000"/>
          <w:spacing w:val="0"/>
          <w:w w:val="100"/>
          <w:position w:val="0"/>
        </w:rPr>
        <w:t>无。</w:t>
      </w:r>
    </w:p>
    <w:p>
      <w:pPr>
        <w:pStyle w:val="Style47"/>
        <w:keepNext/>
        <w:keepLines/>
        <w:widowControl w:val="0"/>
        <w:shd w:val="clear" w:color="auto" w:fill="auto"/>
        <w:bidi w:val="0"/>
        <w:spacing w:before="0" w:after="400" w:line="240" w:lineRule="auto"/>
        <w:ind w:left="0" w:right="0" w:firstLine="0"/>
        <w:jc w:val="left"/>
      </w:pPr>
      <w:bookmarkStart w:id="1479" w:name="bookmark1479"/>
      <w:bookmarkStart w:id="1480" w:name="bookmark1480"/>
      <w:bookmarkStart w:id="1481" w:name="bookmark1481"/>
      <w:bookmarkStart w:id="1482" w:name="bookmark1482"/>
      <w:r>
        <w:rPr>
          <w:color w:val="000000"/>
          <w:spacing w:val="0"/>
          <w:w w:val="100"/>
          <w:position w:val="0"/>
        </w:rPr>
        <w:t>2</w:t>
      </w:r>
      <w:bookmarkEnd w:id="1481"/>
      <w:r>
        <w:rPr>
          <w:color w:val="000000"/>
          <w:spacing w:val="0"/>
          <w:w w:val="100"/>
          <w:position w:val="0"/>
        </w:rPr>
        <w:t>7、开发支出</w:t>
      </w:r>
      <w:bookmarkEnd w:id="1479"/>
      <w:bookmarkEnd w:id="1480"/>
      <w:bookmarkEnd w:id="1482"/>
    </w:p>
    <w:p>
      <w:pPr>
        <w:pStyle w:val="Style41"/>
        <w:keepNext w:val="0"/>
        <w:keepLines w:val="0"/>
        <w:widowControl w:val="0"/>
        <w:shd w:val="clear" w:color="auto" w:fill="auto"/>
        <w:bidi w:val="0"/>
        <w:spacing w:before="0" w:after="400" w:line="240" w:lineRule="auto"/>
        <w:ind w:left="0" w:right="0" w:firstLine="0"/>
        <w:jc w:val="right"/>
      </w:pPr>
      <w:r>
        <w:rPr>
          <w:color w:val="000000"/>
          <w:spacing w:val="0"/>
          <w:w w:val="100"/>
          <w:position w:val="0"/>
        </w:rPr>
        <w:t>单位：元</w:t>
      </w:r>
    </w:p>
    <w:p>
      <w:pPr>
        <w:widowControl w:val="0"/>
        <w:spacing w:line="1" w:lineRule="exact"/>
      </w:pPr>
      <w:r>
        <mc:AlternateContent>
          <mc:Choice Requires="wps">
            <w:drawing>
              <wp:anchor distT="194945" distB="177165" distL="0" distR="0" simplePos="0" relativeHeight="125829514" behindDoc="0" locked="0" layoutInCell="1" allowOverlap="1">
                <wp:simplePos x="0" y="0"/>
                <wp:positionH relativeFrom="page">
                  <wp:posOffset>1203960</wp:posOffset>
                </wp:positionH>
                <wp:positionV relativeFrom="paragraph">
                  <wp:posOffset>194945</wp:posOffset>
                </wp:positionV>
                <wp:extent cx="255905" cy="146050"/>
                <wp:wrapTopAndBottom/>
                <wp:docPr id="995" name="Shape 995"/>
                <a:graphic xmlns:a="http://schemas.openxmlformats.org/drawingml/2006/main">
                  <a:graphicData uri="http://schemas.microsoft.com/office/word/2010/wordprocessingShape">
                    <wps:wsp>
                      <wps:cNvSpPr txBox="1"/>
                      <wps:spPr>
                        <a:xfrm>
                          <a:ext cx="255905" cy="146050"/>
                        </a:xfrm>
                        <a:prstGeom prst="rect"/>
                        <a:noFill/>
                      </wps:spPr>
                      <wps:txbx>
                        <w:txbxContent>
                          <w:p>
                            <w:pPr>
                              <w:pStyle w:val="Style41"/>
                              <w:keepNext w:val="0"/>
                              <w:keepLines w:val="0"/>
                              <w:widowControl w:val="0"/>
                              <w:pBdr>
                                <w:top w:val="single" w:sz="0" w:space="0" w:color="D3D3D3"/>
                                <w:left w:val="single" w:sz="0" w:space="10" w:color="D3D3D3"/>
                                <w:bottom w:val="single" w:sz="0" w:space="0" w:color="D3D3D3"/>
                                <w:right w:val="single" w:sz="0" w:space="10" w:color="D3D3D3"/>
                              </w:pBdr>
                              <w:shd w:val="clear" w:color="auto" w:fill="D3D3D3"/>
                              <w:bidi w:val="0"/>
                              <w:spacing w:before="0" w:after="0" w:line="240" w:lineRule="auto"/>
                              <w:ind w:left="0" w:right="0" w:firstLine="0"/>
                              <w:jc w:val="left"/>
                            </w:pPr>
                            <w:r>
                              <w:rPr>
                                <w:color w:val="000000"/>
                                <w:spacing w:val="0"/>
                                <w:w w:val="100"/>
                                <w:position w:val="0"/>
                              </w:rPr>
                              <w:t>项目</w:t>
                            </w:r>
                          </w:p>
                        </w:txbxContent>
                      </wps:txbx>
                      <wps:bodyPr wrap="none" lIns="0" tIns="0" rIns="0" bIns="0">
                        <a:noAutoFit/>
                      </wps:bodyPr>
                    </wps:wsp>
                  </a:graphicData>
                </a:graphic>
              </wp:anchor>
            </w:drawing>
          </mc:Choice>
          <mc:Fallback>
            <w:pict>
              <v:shape id="_x0000_s2021" type="#_x0000_t202" style="position:absolute;margin-left:94.799999999999997pt;margin-top:15.35pt;width:20.150000000000002pt;height:11.5pt;z-index:-125829239;mso-wrap-distance-left:0;mso-wrap-distance-top:15.35pt;mso-wrap-distance-right:0;mso-wrap-distance-bottom:13.950000000000001pt;mso-position-horizontal-relative:page" filled="f" stroked="f">
                <v:textbox inset="0,0,0,0">
                  <w:txbxContent>
                    <w:p>
                      <w:pPr>
                        <w:pStyle w:val="Style41"/>
                        <w:keepNext w:val="0"/>
                        <w:keepLines w:val="0"/>
                        <w:widowControl w:val="0"/>
                        <w:pBdr>
                          <w:top w:val="single" w:sz="0" w:space="0" w:color="D3D3D3"/>
                          <w:left w:val="single" w:sz="0" w:space="10" w:color="D3D3D3"/>
                          <w:bottom w:val="single" w:sz="0" w:space="0" w:color="D3D3D3"/>
                          <w:right w:val="single" w:sz="0" w:space="10" w:color="D3D3D3"/>
                        </w:pBdr>
                        <w:shd w:val="clear" w:color="auto" w:fill="D3D3D3"/>
                        <w:bidi w:val="0"/>
                        <w:spacing w:before="0" w:after="0" w:line="240" w:lineRule="auto"/>
                        <w:ind w:left="0" w:right="0" w:firstLine="0"/>
                        <w:jc w:val="left"/>
                      </w:pPr>
                      <w:r>
                        <w:rPr>
                          <w:color w:val="000000"/>
                          <w:spacing w:val="0"/>
                          <w:w w:val="100"/>
                          <w:position w:val="0"/>
                        </w:rPr>
                        <w:t>项目</w:t>
                      </w:r>
                    </w:p>
                  </w:txbxContent>
                </v:textbox>
                <w10:wrap type="topAndBottom" anchorx="page"/>
              </v:shape>
            </w:pict>
          </mc:Fallback>
        </mc:AlternateContent>
      </w:r>
      <w:r>
        <mc:AlternateContent>
          <mc:Choice Requires="wps">
            <w:drawing>
              <wp:anchor distT="191770" distB="177165" distL="0" distR="0" simplePos="0" relativeHeight="125829516" behindDoc="0" locked="0" layoutInCell="1" allowOverlap="1">
                <wp:simplePos x="0" y="0"/>
                <wp:positionH relativeFrom="page">
                  <wp:posOffset>2225040</wp:posOffset>
                </wp:positionH>
                <wp:positionV relativeFrom="paragraph">
                  <wp:posOffset>191770</wp:posOffset>
                </wp:positionV>
                <wp:extent cx="484505" cy="149225"/>
                <wp:wrapTopAndBottom/>
                <wp:docPr id="997" name="Shape 997"/>
                <a:graphic xmlns:a="http://schemas.openxmlformats.org/drawingml/2006/main">
                  <a:graphicData uri="http://schemas.microsoft.com/office/word/2010/wordprocessingShape">
                    <wps:wsp>
                      <wps:cNvSpPr txBox="1"/>
                      <wps:spPr>
                        <a:xfrm>
                          <a:ext cx="484505" cy="149225"/>
                        </a:xfrm>
                        <a:prstGeom prst="rect"/>
                        <a:noFill/>
                      </wps:spPr>
                      <wps:txbx>
                        <w:txbxContent>
                          <w:p>
                            <w:pPr>
                              <w:pStyle w:val="Style41"/>
                              <w:keepNext w:val="0"/>
                              <w:keepLines w:val="0"/>
                              <w:widowControl w:val="0"/>
                              <w:pBdr>
                                <w:top w:val="single" w:sz="0" w:space="0" w:color="D3D3D3"/>
                                <w:left w:val="single" w:sz="0" w:space="10" w:color="D3D3D3"/>
                                <w:bottom w:val="single" w:sz="0" w:space="0" w:color="D3D3D3"/>
                                <w:right w:val="single" w:sz="0" w:space="10" w:color="D3D3D3"/>
                              </w:pBdr>
                              <w:shd w:val="clear" w:color="auto" w:fill="D3D3D3"/>
                              <w:bidi w:val="0"/>
                              <w:spacing w:before="0" w:after="0" w:line="240" w:lineRule="auto"/>
                              <w:ind w:left="0" w:right="0" w:firstLine="0"/>
                              <w:jc w:val="left"/>
                            </w:pPr>
                            <w:r>
                              <w:rPr>
                                <w:color w:val="000000"/>
                                <w:spacing w:val="0"/>
                                <w:w w:val="100"/>
                                <w:position w:val="0"/>
                              </w:rPr>
                              <w:t>期初余额</w:t>
                            </w:r>
                          </w:p>
                        </w:txbxContent>
                      </wps:txbx>
                      <wps:bodyPr wrap="none" lIns="0" tIns="0" rIns="0" bIns="0">
                        <a:noAutoFit/>
                      </wps:bodyPr>
                    </wps:wsp>
                  </a:graphicData>
                </a:graphic>
              </wp:anchor>
            </w:drawing>
          </mc:Choice>
          <mc:Fallback>
            <w:pict>
              <v:shape id="_x0000_s2023" type="#_x0000_t202" style="position:absolute;margin-left:175.20000000000002pt;margin-top:15.1pt;width:38.149999999999999pt;height:11.75pt;z-index:-125829237;mso-wrap-distance-left:0;mso-wrap-distance-top:15.1pt;mso-wrap-distance-right:0;mso-wrap-distance-bottom:13.950000000000001pt;mso-position-horizontal-relative:page" filled="f" stroked="f">
                <v:textbox inset="0,0,0,0">
                  <w:txbxContent>
                    <w:p>
                      <w:pPr>
                        <w:pStyle w:val="Style41"/>
                        <w:keepNext w:val="0"/>
                        <w:keepLines w:val="0"/>
                        <w:widowControl w:val="0"/>
                        <w:pBdr>
                          <w:top w:val="single" w:sz="0" w:space="0" w:color="D3D3D3"/>
                          <w:left w:val="single" w:sz="0" w:space="10" w:color="D3D3D3"/>
                          <w:bottom w:val="single" w:sz="0" w:space="0" w:color="D3D3D3"/>
                          <w:right w:val="single" w:sz="0" w:space="10" w:color="D3D3D3"/>
                        </w:pBdr>
                        <w:shd w:val="clear" w:color="auto" w:fill="D3D3D3"/>
                        <w:bidi w:val="0"/>
                        <w:spacing w:before="0" w:after="0" w:line="240" w:lineRule="auto"/>
                        <w:ind w:left="0" w:right="0" w:firstLine="0"/>
                        <w:jc w:val="left"/>
                      </w:pPr>
                      <w:r>
                        <w:rPr>
                          <w:color w:val="000000"/>
                          <w:spacing w:val="0"/>
                          <w:w w:val="100"/>
                          <w:position w:val="0"/>
                        </w:rPr>
                        <w:t>期初余额</w:t>
                      </w:r>
                    </w:p>
                  </w:txbxContent>
                </v:textbox>
                <w10:wrap type="topAndBottom" anchorx="page"/>
              </v:shape>
            </w:pict>
          </mc:Fallback>
        </mc:AlternateContent>
      </w:r>
      <w:r>
        <mc:AlternateContent>
          <mc:Choice Requires="wps">
            <w:drawing>
              <wp:anchor distT="0" distB="0" distL="0" distR="609600" simplePos="0" relativeHeight="125829518" behindDoc="0" locked="0" layoutInCell="1" allowOverlap="1">
                <wp:simplePos x="0" y="0"/>
                <wp:positionH relativeFrom="page">
                  <wp:posOffset>2956560</wp:posOffset>
                </wp:positionH>
                <wp:positionV relativeFrom="paragraph">
                  <wp:posOffset>0</wp:posOffset>
                </wp:positionV>
                <wp:extent cx="3161030" cy="518160"/>
                <wp:wrapTopAndBottom/>
                <wp:docPr id="999" name="Shape 999"/>
                <a:graphic xmlns:a="http://schemas.openxmlformats.org/drawingml/2006/main">
                  <a:graphicData uri="http://schemas.microsoft.com/office/word/2010/wordprocessingShape">
                    <wps:wsp>
                      <wps:cNvSpPr txBox="1"/>
                      <wps:spPr>
                        <a:xfrm>
                          <a:ext cx="3161030" cy="518160"/>
                        </a:xfrm>
                        <a:prstGeom prst="rect"/>
                        <a:noFill/>
                      </wps:spPr>
                      <wps:txbx>
                        <w:txbxContent>
                          <w:tbl>
                            <w:tblPr>
                              <w:tblOverlap w:val="never"/>
                              <w:jc w:val="left"/>
                              <w:tblLayout w:type="fixed"/>
                            </w:tblPr>
                            <w:tblGrid>
                              <w:gridCol w:w="1426"/>
                              <w:gridCol w:w="850"/>
                              <w:gridCol w:w="1416"/>
                              <w:gridCol w:w="1286"/>
                            </w:tblGrid>
                            <w:tr>
                              <w:trPr>
                                <w:tblHeader/>
                                <w:trHeight w:val="408" w:hRule="exact"/>
                              </w:trPr>
                              <w:tc>
                                <w:tcPr>
                                  <w:gridSpan w:val="2"/>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本期增加金额</w:t>
                                  </w:r>
                                </w:p>
                              </w:tc>
                              <w:tc>
                                <w:tcPr>
                                  <w:gridSpan w:val="2"/>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本期减少金额</w:t>
                                  </w:r>
                                </w:p>
                              </w:tc>
                            </w:tr>
                            <w:tr>
                              <w:trPr>
                                <w:trHeight w:val="408"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内部开发支出</w:t>
                                  </w:r>
                                </w:p>
                              </w:tc>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w:t>
                                  </w:r>
                                </w:p>
                              </w:tc>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确认为无形资产</w:t>
                                  </w:r>
                                </w:p>
                              </w:tc>
                              <w:tc>
                                <w:tcPr>
                                  <w:tcBorders>
                                    <w:top w:val="single" w:sz="4"/>
                                    <w:left w:val="single" w:sz="4"/>
                                    <w:bottom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转入当期损益</w:t>
                                  </w:r>
                                </w:p>
                              </w:tc>
                            </w:tr>
                          </w:tbl>
                          <w:p>
                            <w:pPr>
                              <w:widowControl w:val="0"/>
                              <w:spacing w:line="1" w:lineRule="exact"/>
                            </w:pPr>
                          </w:p>
                        </w:txbxContent>
                      </wps:txbx>
                      <wps:bodyPr lIns="0" tIns="0" rIns="0" bIns="0">
                        <a:noAutoFit/>
                      </wps:bodyPr>
                    </wps:wsp>
                  </a:graphicData>
                </a:graphic>
              </wp:anchor>
            </w:drawing>
          </mc:Choice>
          <mc:Fallback>
            <w:pict>
              <v:shape id="_x0000_s2025" type="#_x0000_t202" style="position:absolute;margin-left:232.80000000000001pt;margin-top:0;width:248.90000000000001pt;height:40.800000000000004pt;z-index:-125829235;mso-wrap-distance-left:0;mso-wrap-distance-right:48.pt;mso-position-horizontal-relative:page" filled="f" stroked="f">
                <v:textbox inset="0,0,0,0">
                  <w:txbxContent>
                    <w:tbl>
                      <w:tblPr>
                        <w:tblOverlap w:val="never"/>
                        <w:jc w:val="left"/>
                        <w:tblLayout w:type="fixed"/>
                      </w:tblPr>
                      <w:tblGrid>
                        <w:gridCol w:w="1426"/>
                        <w:gridCol w:w="850"/>
                        <w:gridCol w:w="1416"/>
                        <w:gridCol w:w="1286"/>
                      </w:tblGrid>
                      <w:tr>
                        <w:trPr>
                          <w:tblHeader/>
                          <w:trHeight w:val="408" w:hRule="exact"/>
                        </w:trPr>
                        <w:tc>
                          <w:tcPr>
                            <w:gridSpan w:val="2"/>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本期增加金额</w:t>
                            </w:r>
                          </w:p>
                        </w:tc>
                        <w:tc>
                          <w:tcPr>
                            <w:gridSpan w:val="2"/>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本期减少金额</w:t>
                            </w:r>
                          </w:p>
                        </w:tc>
                      </w:tr>
                      <w:tr>
                        <w:trPr>
                          <w:trHeight w:val="408"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内部开发支出</w:t>
                            </w:r>
                          </w:p>
                        </w:tc>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w:t>
                            </w:r>
                          </w:p>
                        </w:tc>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确认为无形资产</w:t>
                            </w:r>
                          </w:p>
                        </w:tc>
                        <w:tc>
                          <w:tcPr>
                            <w:tcBorders>
                              <w:top w:val="single" w:sz="4"/>
                              <w:left w:val="single" w:sz="4"/>
                              <w:bottom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转入当期损益</w:t>
                            </w:r>
                          </w:p>
                        </w:tc>
                      </w:tr>
                    </w:tbl>
                    <w:p>
                      <w:pPr>
                        <w:widowControl w:val="0"/>
                        <w:spacing w:line="1" w:lineRule="exact"/>
                      </w:pPr>
                    </w:p>
                  </w:txbxContent>
                </v:textbox>
                <w10:wrap type="topAndBottom" anchorx="page"/>
              </v:shape>
            </w:pict>
          </mc:Fallback>
        </mc:AlternateContent>
      </w:r>
      <w:r>
        <mc:AlternateContent>
          <mc:Choice Requires="wps">
            <w:drawing>
              <wp:anchor distT="0" distB="0" distL="0" distR="0" simplePos="0" relativeHeight="503316562" behindDoc="0" locked="0" layoutInCell="1" allowOverlap="1">
                <wp:simplePos x="0" y="0"/>
                <wp:positionH relativeFrom="page">
                  <wp:posOffset>6242050</wp:posOffset>
                </wp:positionH>
                <wp:positionV relativeFrom="paragraph">
                  <wp:posOffset>191770</wp:posOffset>
                </wp:positionV>
                <wp:extent cx="484505" cy="149225"/>
                <wp:wrapNone/>
                <wp:docPr id="1001" name="Shape 1001"/>
                <a:graphic xmlns:a="http://schemas.openxmlformats.org/drawingml/2006/main">
                  <a:graphicData uri="http://schemas.microsoft.com/office/word/2010/wordprocessingShape">
                    <wps:wsp>
                      <wps:cNvSpPr txBox="1"/>
                      <wps:spPr>
                        <a:xfrm>
                          <a:ext cx="484505" cy="149225"/>
                        </a:xfrm>
                        <a:prstGeom prst="rect"/>
                        <a:noFill/>
                      </wps:spPr>
                      <wps:txbx>
                        <w:txbxContent>
                          <w:p>
                            <w:pPr>
                              <w:pStyle w:val="Style20"/>
                              <w:keepNext w:val="0"/>
                              <w:keepLines w:val="0"/>
                              <w:widowControl w:val="0"/>
                              <w:pBdr>
                                <w:top w:val="single" w:sz="0" w:space="0" w:color="D3D3D3"/>
                                <w:left w:val="single" w:sz="0" w:space="10" w:color="D3D3D3"/>
                                <w:bottom w:val="single" w:sz="0" w:space="0" w:color="D3D3D3"/>
                                <w:right w:val="single" w:sz="0" w:space="10" w:color="D3D3D3"/>
                              </w:pBdr>
                              <w:shd w:val="clear" w:color="auto" w:fill="D3D3D3"/>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期末余额</w:t>
                            </w:r>
                          </w:p>
                        </w:txbxContent>
                      </wps:txbx>
                      <wps:bodyPr lIns="0" tIns="0" rIns="0" bIns="0">
                        <a:noAutoFit/>
                      </wps:bodyPr>
                    </wps:wsp>
                  </a:graphicData>
                </a:graphic>
              </wp:anchor>
            </w:drawing>
          </mc:Choice>
          <mc:Fallback>
            <w:pict>
              <v:shape id="_x0000_s2027" type="#_x0000_t202" style="position:absolute;margin-left:491.5pt;margin-top:15.1pt;width:38.149999999999999pt;height:11.75pt;z-index:251657809;mso-wrap-distance-left:0;mso-wrap-distance-right:0;mso-position-horizontal-relative:page" filled="f" stroked="f">
                <v:textbox inset="0,0,0,0">
                  <w:txbxContent>
                    <w:p>
                      <w:pPr>
                        <w:pStyle w:val="Style20"/>
                        <w:keepNext w:val="0"/>
                        <w:keepLines w:val="0"/>
                        <w:widowControl w:val="0"/>
                        <w:pBdr>
                          <w:top w:val="single" w:sz="0" w:space="0" w:color="D3D3D3"/>
                          <w:left w:val="single" w:sz="0" w:space="10" w:color="D3D3D3"/>
                          <w:bottom w:val="single" w:sz="0" w:space="0" w:color="D3D3D3"/>
                          <w:right w:val="single" w:sz="0" w:space="10" w:color="D3D3D3"/>
                        </w:pBdr>
                        <w:shd w:val="clear" w:color="auto" w:fill="D3D3D3"/>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期末余额</w:t>
                      </w:r>
                    </w:p>
                  </w:txbxContent>
                </v:textbox>
                <w10:wrap anchorx="page"/>
              </v:shape>
            </w:pict>
          </mc:Fallback>
        </mc:AlternateContent>
      </w:r>
      <w:r>
        <w:br w:type="page"/>
      </w:r>
    </w:p>
    <w:tbl>
      <w:tblPr>
        <w:tblOverlap w:val="never"/>
        <w:jc w:val="center"/>
        <w:tblLayout w:type="fixed"/>
      </w:tblPr>
      <w:tblGrid>
        <w:gridCol w:w="2021"/>
        <w:gridCol w:w="1555"/>
        <w:gridCol w:w="1421"/>
        <w:gridCol w:w="850"/>
        <w:gridCol w:w="1416"/>
        <w:gridCol w:w="1277"/>
        <w:gridCol w:w="1171"/>
      </w:tblGrid>
      <w:tr>
        <w:trPr>
          <w:trHeight w:val="480" w:hRule="exact"/>
        </w:trPr>
        <w:tc>
          <w:tcPr>
            <w:tcBorders>
              <w:top w:val="single" w:sz="4"/>
              <w:left w:val="single" w:sz="4"/>
            </w:tcBorders>
            <w:shd w:val="clear" w:color="auto" w:fill="D7D7D7"/>
            <w:vAlign w:val="bottom"/>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 xml:space="preserve">Odyssey </w:t>
            </w:r>
            <w:r>
              <w:rPr>
                <w:color w:val="000000"/>
                <w:spacing w:val="0"/>
                <w:w w:val="100"/>
                <w:position w:val="0"/>
              </w:rPr>
              <w:t>（太空项目）</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480"/>
              <w:jc w:val="both"/>
              <w:rPr>
                <w:sz w:val="18"/>
                <w:szCs w:val="18"/>
              </w:rPr>
            </w:pPr>
            <w:r>
              <w:rPr>
                <w:rFonts w:ascii="Times New Roman" w:eastAsia="Times New Roman" w:hAnsi="Times New Roman" w:cs="Times New Roman"/>
                <w:color w:val="000000"/>
                <w:spacing w:val="0"/>
                <w:w w:val="100"/>
                <w:position w:val="0"/>
                <w:sz w:val="18"/>
                <w:szCs w:val="18"/>
              </w:rPr>
              <w:t>20,230,194.34</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40"/>
              <w:jc w:val="both"/>
              <w:rPr>
                <w:sz w:val="18"/>
                <w:szCs w:val="18"/>
              </w:rPr>
            </w:pPr>
            <w:r>
              <w:rPr>
                <w:rFonts w:ascii="Times New Roman" w:eastAsia="Times New Roman" w:hAnsi="Times New Roman" w:cs="Times New Roman"/>
                <w:color w:val="000000"/>
                <w:spacing w:val="0"/>
                <w:w w:val="100"/>
                <w:position w:val="0"/>
                <w:sz w:val="18"/>
                <w:szCs w:val="18"/>
              </w:rPr>
              <w:t>10,640,278.43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360"/>
              <w:jc w:val="both"/>
              <w:rPr>
                <w:sz w:val="18"/>
                <w:szCs w:val="18"/>
              </w:rPr>
            </w:pPr>
            <w:r>
              <w:rPr>
                <w:rFonts w:ascii="Times New Roman" w:eastAsia="Times New Roman" w:hAnsi="Times New Roman" w:cs="Times New Roman"/>
                <w:color w:val="000000"/>
                <w:spacing w:val="0"/>
                <w:w w:val="100"/>
                <w:position w:val="0"/>
                <w:sz w:val="18"/>
                <w:szCs w:val="18"/>
              </w:rPr>
              <w:t>30,870,472.77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北京市教育教学工作专</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家评审复核平台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308,169.84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17,561.59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325,731.43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长距离物联网数据中台 系统项目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both"/>
              <w:rPr>
                <w:sz w:val="18"/>
                <w:szCs w:val="18"/>
              </w:rPr>
            </w:pPr>
            <w:r>
              <w:rPr>
                <w:rFonts w:ascii="Times New Roman" w:eastAsia="Times New Roman" w:hAnsi="Times New Roman" w:cs="Times New Roman"/>
                <w:color w:val="000000"/>
                <w:spacing w:val="0"/>
                <w:w w:val="100"/>
                <w:position w:val="0"/>
                <w:sz w:val="18"/>
                <w:szCs w:val="18"/>
              </w:rPr>
              <w:t>15,470,500.00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7,881,198.11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23,351,698.11</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服务能力交互平台</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4,106,151.57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4,106,151.57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混合云原生管理平台</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1,632,685.85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1,632,685.85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家客端到端平台</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2,529,181.07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2,529,181.07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可汗研发运维一体化平</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台</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2,617,020.08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2,617,020.08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内容网络一体化平台</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5,195,412.50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5,195,412.50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运营商级信息触点融合 通信平台</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7,857,070.71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7,857,070.71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智能便携终端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5,451,050.69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531,283.13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5,982,333.82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综合通信基站</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2,158,471.75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2,158,471.75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22" w:lineRule="exact"/>
              <w:ind w:left="0" w:right="0" w:firstLine="0"/>
              <w:jc w:val="left"/>
            </w:pPr>
            <w:r>
              <w:rPr>
                <w:color w:val="000000"/>
                <w:spacing w:val="0"/>
                <w:w w:val="100"/>
                <w:position w:val="0"/>
              </w:rPr>
              <w:t>核电站专用耐辐照基站 系统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2,703,038.03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2,703,038.03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泛在电力物联网传感器 系统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4,700,352.12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4,700,352.12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长距离周界系统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4,071,389.49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4,071,389.49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分布式通信系统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3,209,609.91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3,209,609.91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商业气象云服务平台</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2,368,154.02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2,368,154.02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22" w:lineRule="exact"/>
              <w:ind w:left="0" w:right="0" w:firstLine="0"/>
              <w:jc w:val="left"/>
            </w:pPr>
            <w:r>
              <w:rPr>
                <w:color w:val="000000"/>
                <w:spacing w:val="0"/>
                <w:w w:val="100"/>
                <w:position w:val="0"/>
              </w:rPr>
              <w:t>德丰</w:t>
            </w:r>
            <w:r>
              <w:rPr>
                <w:rFonts w:ascii="Times New Roman" w:eastAsia="Times New Roman" w:hAnsi="Times New Roman" w:cs="Times New Roman"/>
                <w:color w:val="000000"/>
                <w:spacing w:val="0"/>
                <w:w w:val="100"/>
                <w:position w:val="0"/>
                <w:sz w:val="18"/>
                <w:szCs w:val="18"/>
              </w:rPr>
              <w:t>5G</w:t>
            </w:r>
            <w:r>
              <w:rPr>
                <w:color w:val="000000"/>
                <w:spacing w:val="0"/>
                <w:w w:val="100"/>
                <w:position w:val="0"/>
              </w:rPr>
              <w:t>消息气象服务云 平台</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2,706,541.44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2,706,541.44</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法律搜索平台</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2,720,842.40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2,720,842.40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实体分析平台</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2,943,465.81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2,943,465.81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业务定义平台</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3,519,985.18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3,519,985.18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基于</w:t>
            </w:r>
            <w:r>
              <w:rPr>
                <w:rFonts w:ascii="Times New Roman" w:eastAsia="Times New Roman" w:hAnsi="Times New Roman" w:cs="Times New Roman"/>
                <w:color w:val="000000"/>
                <w:spacing w:val="0"/>
                <w:w w:val="100"/>
                <w:position w:val="0"/>
                <w:sz w:val="18"/>
                <w:szCs w:val="18"/>
              </w:rPr>
              <w:t>3D</w:t>
            </w:r>
            <w:r>
              <w:rPr>
                <w:color w:val="000000"/>
                <w:spacing w:val="0"/>
                <w:w w:val="100"/>
                <w:position w:val="0"/>
              </w:rPr>
              <w:t>可视化的机房管 理系统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2,061,535.54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2,061,535.54</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both"/>
              <w:rPr>
                <w:sz w:val="18"/>
                <w:szCs w:val="18"/>
              </w:rPr>
            </w:pPr>
            <w:r>
              <w:rPr>
                <w:rFonts w:ascii="Times New Roman" w:eastAsia="Times New Roman" w:hAnsi="Times New Roman" w:cs="Times New Roman"/>
                <w:color w:val="000000"/>
                <w:spacing w:val="0"/>
                <w:w w:val="100"/>
                <w:position w:val="0"/>
                <w:sz w:val="18"/>
                <w:szCs w:val="18"/>
              </w:rPr>
              <w:t>41,459,914.87</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both"/>
              <w:rPr>
                <w:sz w:val="18"/>
                <w:szCs w:val="18"/>
              </w:rPr>
            </w:pPr>
            <w:r>
              <w:rPr>
                <w:rFonts w:ascii="Times New Roman" w:eastAsia="Times New Roman" w:hAnsi="Times New Roman" w:cs="Times New Roman"/>
                <w:color w:val="000000"/>
                <w:spacing w:val="0"/>
                <w:w w:val="100"/>
                <w:position w:val="0"/>
                <w:sz w:val="18"/>
                <w:szCs w:val="18"/>
              </w:rPr>
              <w:t>76,171,228.73</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89,511,368.51</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28,119,775.09</w:t>
            </w:r>
          </w:p>
        </w:tc>
      </w:tr>
    </w:tbl>
    <w:p>
      <w:pPr>
        <w:widowControl w:val="0"/>
        <w:spacing w:after="79" w:line="1" w:lineRule="exact"/>
      </w:pPr>
    </w:p>
    <w:p>
      <w:pPr>
        <w:widowControl w:val="0"/>
        <w:spacing w:line="1" w:lineRule="exact"/>
      </w:pPr>
    </w:p>
    <w:p>
      <w:pPr>
        <w:pStyle w:val="Style20"/>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其他说明</w:t>
      </w:r>
    </w:p>
    <w:tbl>
      <w:tblPr>
        <w:tblOverlap w:val="never"/>
        <w:jc w:val="center"/>
        <w:tblLayout w:type="fixed"/>
      </w:tblPr>
      <w:tblGrid>
        <w:gridCol w:w="4022"/>
        <w:gridCol w:w="1882"/>
        <w:gridCol w:w="1882"/>
        <w:gridCol w:w="1891"/>
      </w:tblGrid>
      <w:tr>
        <w:trPr>
          <w:trHeight w:val="706"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资本化开始时点</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资本化具体依据</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400"/>
              <w:jc w:val="left"/>
            </w:pPr>
            <w:r>
              <w:rPr>
                <w:color w:val="000000"/>
                <w:spacing w:val="0"/>
                <w:w w:val="100"/>
                <w:position w:val="0"/>
              </w:rPr>
              <w:t>期末研发进度</w:t>
            </w:r>
          </w:p>
        </w:tc>
      </w:tr>
      <w:tr>
        <w:trPr>
          <w:trHeight w:val="3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 xml:space="preserve">Odyssey </w:t>
            </w:r>
            <w:r>
              <w:rPr>
                <w:color w:val="000000"/>
                <w:spacing w:val="0"/>
                <w:w w:val="100"/>
                <w:position w:val="0"/>
              </w:rPr>
              <w:t>（太空项目）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2018</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7</w:t>
            </w:r>
            <w:r>
              <w:rPr>
                <w:color w:val="000000"/>
                <w:spacing w:val="0"/>
                <w:w w:val="100"/>
                <w:position w:val="0"/>
              </w:rPr>
              <w:t>月</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立项及审批文件</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已经结项</w:t>
            </w:r>
          </w:p>
        </w:tc>
      </w:tr>
      <w:tr>
        <w:trPr>
          <w:trHeight w:val="3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北京市教育教学工作专家评审复核平台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2019</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8</w:t>
            </w:r>
            <w:r>
              <w:rPr>
                <w:color w:val="000000"/>
                <w:spacing w:val="0"/>
                <w:w w:val="100"/>
                <w:position w:val="0"/>
              </w:rPr>
              <w:t>月</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立项及审批文件</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已经结项</w:t>
            </w:r>
          </w:p>
        </w:tc>
      </w:tr>
      <w:tr>
        <w:trPr>
          <w:trHeight w:val="35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长距离物联网数据中台系统项目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2019</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立项及审批文件</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正在研发中</w:t>
            </w:r>
          </w:p>
        </w:tc>
      </w:tr>
      <w:tr>
        <w:trPr>
          <w:trHeight w:val="355"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服务能力交互平台</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月</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立项及审批文件</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已经结项</w:t>
            </w:r>
          </w:p>
        </w:tc>
      </w:tr>
    </w:tbl>
    <w:p>
      <w:pPr>
        <w:widowControl w:val="0"/>
        <w:spacing w:line="1" w:lineRule="exact"/>
      </w:pPr>
      <w:r>
        <w:br w:type="page"/>
      </w:r>
    </w:p>
    <w:tbl>
      <w:tblPr>
        <w:tblOverlap w:val="never"/>
        <w:jc w:val="center"/>
        <w:tblLayout w:type="fixed"/>
      </w:tblPr>
      <w:tblGrid>
        <w:gridCol w:w="4022"/>
        <w:gridCol w:w="1882"/>
        <w:gridCol w:w="1882"/>
        <w:gridCol w:w="1891"/>
      </w:tblGrid>
      <w:tr>
        <w:trPr>
          <w:trHeight w:val="42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混合云原生管理平台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月</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立项及审批文件</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已经结项</w:t>
            </w:r>
          </w:p>
        </w:tc>
      </w:tr>
      <w:tr>
        <w:trPr>
          <w:trHeight w:val="35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家客端到端平台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月</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立项及审批文件</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已经结项</w:t>
            </w:r>
          </w:p>
        </w:tc>
      </w:tr>
      <w:tr>
        <w:trPr>
          <w:trHeight w:val="3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可汗研发运维一体化平台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月</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立项及审批文件</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已经结项</w:t>
            </w:r>
          </w:p>
        </w:tc>
      </w:tr>
      <w:tr>
        <w:trPr>
          <w:trHeight w:val="3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内容网络一体化平台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4</w:t>
            </w:r>
            <w:r>
              <w:rPr>
                <w:color w:val="000000"/>
                <w:spacing w:val="0"/>
                <w:w w:val="100"/>
                <w:position w:val="0"/>
              </w:rPr>
              <w:t>月</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立项及审批文件</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已经结项</w:t>
            </w:r>
          </w:p>
        </w:tc>
      </w:tr>
      <w:tr>
        <w:trPr>
          <w:trHeight w:val="3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运营商级信息触点融合通信平台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月</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立项及审批文件</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已经结项</w:t>
            </w:r>
          </w:p>
        </w:tc>
      </w:tr>
      <w:tr>
        <w:trPr>
          <w:trHeight w:val="35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智能便携终端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2019</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月</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立项及审批文件</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已经结项</w:t>
            </w:r>
          </w:p>
        </w:tc>
      </w:tr>
      <w:tr>
        <w:trPr>
          <w:trHeight w:val="3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综合通信基站</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月</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立项及审批文件</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已经结项</w:t>
            </w:r>
          </w:p>
        </w:tc>
      </w:tr>
      <w:tr>
        <w:trPr>
          <w:trHeight w:val="3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核电站专用耐辐照基站系统</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月</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立项及审批文件</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已经结项</w:t>
            </w:r>
          </w:p>
        </w:tc>
      </w:tr>
      <w:tr>
        <w:trPr>
          <w:trHeight w:val="35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泛在电力物联网传感器系统</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月</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立项及审批文件</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已经结项</w:t>
            </w:r>
          </w:p>
        </w:tc>
      </w:tr>
      <w:tr>
        <w:trPr>
          <w:trHeight w:val="3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长距离周界系统</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月</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立项及审批文件</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已经结项</w:t>
            </w:r>
          </w:p>
        </w:tc>
      </w:tr>
      <w:tr>
        <w:trPr>
          <w:trHeight w:val="3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分布式通信系统</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月</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立项及审批文件</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已经结项</w:t>
            </w:r>
          </w:p>
        </w:tc>
      </w:tr>
      <w:tr>
        <w:trPr>
          <w:trHeight w:val="35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商业气象云服务平台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月</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立项及审批文件</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已经结项</w:t>
            </w:r>
          </w:p>
        </w:tc>
      </w:tr>
      <w:tr>
        <w:trPr>
          <w:trHeight w:val="3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德丰</w:t>
            </w:r>
            <w:r>
              <w:rPr>
                <w:rFonts w:ascii="Times New Roman" w:eastAsia="Times New Roman" w:hAnsi="Times New Roman" w:cs="Times New Roman"/>
                <w:color w:val="000000"/>
                <w:spacing w:val="0"/>
                <w:w w:val="100"/>
                <w:position w:val="0"/>
                <w:sz w:val="18"/>
                <w:szCs w:val="18"/>
              </w:rPr>
              <w:t>5G</w:t>
            </w:r>
            <w:r>
              <w:rPr>
                <w:color w:val="000000"/>
                <w:spacing w:val="0"/>
                <w:w w:val="100"/>
                <w:position w:val="0"/>
              </w:rPr>
              <w:t>消息气象服务云平台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7</w:t>
            </w:r>
            <w:r>
              <w:rPr>
                <w:color w:val="000000"/>
                <w:spacing w:val="0"/>
                <w:w w:val="100"/>
                <w:position w:val="0"/>
              </w:rPr>
              <w:t>月</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立项及审批文件</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正在研发中</w:t>
            </w:r>
          </w:p>
        </w:tc>
      </w:tr>
      <w:tr>
        <w:trPr>
          <w:trHeight w:val="3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法律搜索平台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月</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立项及审批文件</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已经结项</w:t>
            </w:r>
          </w:p>
        </w:tc>
      </w:tr>
      <w:tr>
        <w:trPr>
          <w:trHeight w:val="3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实体分析平台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月</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立项及审批文件</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已经结项</w:t>
            </w:r>
          </w:p>
        </w:tc>
      </w:tr>
      <w:tr>
        <w:trPr>
          <w:trHeight w:val="35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业务定义平台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月</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立项及审批文件</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已经结项</w:t>
            </w:r>
          </w:p>
        </w:tc>
      </w:tr>
      <w:tr>
        <w:trPr>
          <w:trHeight w:val="355"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基于</w:t>
            </w:r>
            <w:r>
              <w:rPr>
                <w:rFonts w:ascii="Times New Roman" w:eastAsia="Times New Roman" w:hAnsi="Times New Roman" w:cs="Times New Roman"/>
                <w:color w:val="000000"/>
                <w:spacing w:val="0"/>
                <w:w w:val="100"/>
                <w:position w:val="0"/>
                <w:sz w:val="18"/>
                <w:szCs w:val="18"/>
              </w:rPr>
              <w:t>3D</w:t>
            </w:r>
            <w:r>
              <w:rPr>
                <w:color w:val="000000"/>
                <w:spacing w:val="0"/>
                <w:w w:val="100"/>
                <w:position w:val="0"/>
              </w:rPr>
              <w:t>可视化的机房管理系统</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11</w:t>
            </w:r>
            <w:r>
              <w:rPr>
                <w:color w:val="000000"/>
                <w:spacing w:val="0"/>
                <w:w w:val="100"/>
                <w:position w:val="0"/>
              </w:rPr>
              <w:t>月</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立项及审批文件</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正在研发中</w:t>
            </w:r>
          </w:p>
        </w:tc>
      </w:tr>
    </w:tbl>
    <w:p>
      <w:pPr>
        <w:widowControl w:val="0"/>
        <w:spacing w:after="639" w:line="1" w:lineRule="exact"/>
      </w:pPr>
    </w:p>
    <w:p>
      <w:pPr>
        <w:pStyle w:val="Style47"/>
        <w:keepNext/>
        <w:keepLines/>
        <w:widowControl w:val="0"/>
        <w:shd w:val="clear" w:color="auto" w:fill="auto"/>
        <w:bidi w:val="0"/>
        <w:spacing w:before="0" w:after="400" w:line="240" w:lineRule="auto"/>
        <w:ind w:left="0" w:right="0" w:firstLine="0"/>
        <w:jc w:val="left"/>
      </w:pPr>
      <w:bookmarkStart w:id="1483" w:name="bookmark1483"/>
      <w:bookmarkStart w:id="1484" w:name="bookmark1484"/>
      <w:bookmarkStart w:id="1485" w:name="bookmark1485"/>
      <w:bookmarkStart w:id="1486" w:name="bookmark1486"/>
      <w:r>
        <w:rPr>
          <w:color w:val="000000"/>
          <w:spacing w:val="0"/>
          <w:w w:val="100"/>
          <w:position w:val="0"/>
        </w:rPr>
        <w:t>2</w:t>
      </w:r>
      <w:bookmarkEnd w:id="1485"/>
      <w:r>
        <w:rPr>
          <w:color w:val="000000"/>
          <w:spacing w:val="0"/>
          <w:w w:val="100"/>
          <w:position w:val="0"/>
        </w:rPr>
        <w:t>8、商誉</w:t>
      </w:r>
      <w:bookmarkEnd w:id="1483"/>
      <w:bookmarkEnd w:id="1484"/>
      <w:bookmarkEnd w:id="1486"/>
    </w:p>
    <w:p>
      <w:pPr>
        <w:pStyle w:val="Style58"/>
        <w:keepNext/>
        <w:keepLines/>
        <w:widowControl w:val="0"/>
        <w:numPr>
          <w:ilvl w:val="0"/>
          <w:numId w:val="33"/>
        </w:numPr>
        <w:shd w:val="clear" w:color="auto" w:fill="auto"/>
        <w:bidi w:val="0"/>
        <w:spacing w:before="0" w:after="400" w:line="240" w:lineRule="auto"/>
        <w:ind w:left="0" w:right="0" w:firstLine="140"/>
        <w:jc w:val="left"/>
        <w:rPr>
          <w:sz w:val="20"/>
          <w:szCs w:val="20"/>
        </w:rPr>
      </w:pPr>
      <w:bookmarkStart w:id="1487" w:name="bookmark1487"/>
      <w:bookmarkStart w:id="1488" w:name="bookmark1488"/>
      <w:bookmarkStart w:id="1489" w:name="bookmark1489"/>
      <w:bookmarkStart w:id="1490" w:name="bookmark1490"/>
      <w:bookmarkEnd w:id="1489"/>
      <w:r>
        <w:rPr>
          <w:b/>
          <w:bCs/>
          <w:color w:val="000000"/>
          <w:spacing w:val="0"/>
          <w:w w:val="100"/>
          <w:position w:val="0"/>
          <w:sz w:val="20"/>
          <w:szCs w:val="20"/>
        </w:rPr>
        <w:t>商誉账面原值</w:t>
      </w:r>
      <w:bookmarkEnd w:id="1487"/>
      <w:bookmarkEnd w:id="1488"/>
      <w:bookmarkEnd w:id="1490"/>
    </w:p>
    <w:p>
      <w:pPr>
        <w:pStyle w:val="Style20"/>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单位：元</w:t>
      </w:r>
    </w:p>
    <w:tbl>
      <w:tblPr>
        <w:tblOverlap w:val="never"/>
        <w:jc w:val="center"/>
        <w:tblLayout w:type="fixed"/>
      </w:tblPr>
      <w:tblGrid>
        <w:gridCol w:w="1939"/>
        <w:gridCol w:w="1944"/>
        <w:gridCol w:w="1939"/>
        <w:gridCol w:w="1939"/>
        <w:gridCol w:w="1949"/>
      </w:tblGrid>
      <w:tr>
        <w:trPr>
          <w:trHeight w:val="408" w:hRule="exact"/>
        </w:trPr>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被投资单位名称或形成 商誉的事项</w:t>
            </w:r>
          </w:p>
        </w:tc>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本期增加</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本期减少</w:t>
            </w:r>
          </w:p>
        </w:tc>
        <w:tc>
          <w:tcPr>
            <w:vMerge w:val="restart"/>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r>
      <w:tr>
        <w:trPr>
          <w:trHeight w:val="403" w:hRule="exact"/>
        </w:trPr>
        <w:tc>
          <w:tcPr>
            <w:vMerge/>
            <w:tcBorders>
              <w:left w:val="single" w:sz="4"/>
            </w:tcBorders>
            <w:shd w:val="clear" w:color="auto" w:fill="D7D7D7"/>
            <w:vAlign w:val="center"/>
          </w:tcPr>
          <w:p>
            <w:pPr/>
          </w:p>
        </w:tc>
        <w:tc>
          <w:tcPr>
            <w:vMerge/>
            <w:tcBorders>
              <w:left w:val="single" w:sz="4"/>
            </w:tcBorders>
            <w:shd w:val="clear" w:color="auto" w:fill="D7D7D7"/>
            <w:vAlign w:val="center"/>
          </w:tcPr>
          <w:p>
            <w:pP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企业合并形成的</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处置</w:t>
            </w:r>
          </w:p>
        </w:tc>
        <w:tc>
          <w:tcPr>
            <w:vMerge/>
            <w:tcBorders>
              <w:left w:val="single" w:sz="4"/>
              <w:right w:val="single" w:sz="4"/>
            </w:tcBorders>
            <w:shd w:val="clear" w:color="auto" w:fill="D7D7D7"/>
            <w:vAlign w:val="center"/>
          </w:tcPr>
          <w:p>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游戏资产组</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both"/>
              <w:rPr>
                <w:sz w:val="18"/>
                <w:szCs w:val="18"/>
              </w:rPr>
            </w:pPr>
            <w:r>
              <w:rPr>
                <w:rFonts w:ascii="Times New Roman" w:eastAsia="Times New Roman" w:hAnsi="Times New Roman" w:cs="Times New Roman"/>
                <w:color w:val="000000"/>
                <w:spacing w:val="0"/>
                <w:w w:val="100"/>
                <w:position w:val="0"/>
                <w:sz w:val="18"/>
                <w:szCs w:val="18"/>
              </w:rPr>
              <w:t>1,157,959,943.49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both"/>
              <w:rPr>
                <w:sz w:val="18"/>
                <w:szCs w:val="18"/>
              </w:rPr>
            </w:pPr>
            <w:r>
              <w:rPr>
                <w:rFonts w:ascii="Times New Roman" w:eastAsia="Times New Roman" w:hAnsi="Times New Roman" w:cs="Times New Roman"/>
                <w:color w:val="000000"/>
                <w:spacing w:val="0"/>
                <w:w w:val="100"/>
                <w:position w:val="0"/>
                <w:sz w:val="18"/>
                <w:szCs w:val="18"/>
              </w:rPr>
              <w:t>1,157,959,943.49</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AI-ICT</w:t>
            </w:r>
            <w:r>
              <w:rPr>
                <w:color w:val="000000"/>
                <w:spacing w:val="0"/>
                <w:w w:val="100"/>
                <w:position w:val="0"/>
              </w:rPr>
              <w:t>解决方案资产组</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80"/>
              <w:jc w:val="left"/>
              <w:rPr>
                <w:sz w:val="18"/>
                <w:szCs w:val="18"/>
              </w:rPr>
            </w:pPr>
            <w:r>
              <w:rPr>
                <w:rFonts w:ascii="Times New Roman" w:eastAsia="Times New Roman" w:hAnsi="Times New Roman" w:cs="Times New Roman"/>
                <w:color w:val="000000"/>
                <w:spacing w:val="0"/>
                <w:w w:val="100"/>
                <w:position w:val="0"/>
                <w:sz w:val="18"/>
                <w:szCs w:val="18"/>
              </w:rPr>
              <w:t>607,046,112.41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80"/>
              <w:jc w:val="left"/>
              <w:rPr>
                <w:sz w:val="18"/>
                <w:szCs w:val="18"/>
              </w:rPr>
            </w:pPr>
            <w:r>
              <w:rPr>
                <w:rFonts w:ascii="Times New Roman" w:eastAsia="Times New Roman" w:hAnsi="Times New Roman" w:cs="Times New Roman"/>
                <w:color w:val="000000"/>
                <w:spacing w:val="0"/>
                <w:w w:val="100"/>
                <w:position w:val="0"/>
                <w:sz w:val="18"/>
                <w:szCs w:val="18"/>
              </w:rPr>
              <w:t>607,046,112.41</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互联网运营资产组</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both"/>
              <w:rPr>
                <w:sz w:val="18"/>
                <w:szCs w:val="18"/>
              </w:rPr>
            </w:pPr>
            <w:r>
              <w:rPr>
                <w:rFonts w:ascii="Times New Roman" w:eastAsia="Times New Roman" w:hAnsi="Times New Roman" w:cs="Times New Roman"/>
                <w:color w:val="000000"/>
                <w:spacing w:val="0"/>
                <w:w w:val="100"/>
                <w:position w:val="0"/>
                <w:sz w:val="18"/>
                <w:szCs w:val="18"/>
              </w:rPr>
              <w:t>45,572,687.69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both"/>
              <w:rPr>
                <w:sz w:val="18"/>
                <w:szCs w:val="18"/>
              </w:rPr>
            </w:pPr>
            <w:r>
              <w:rPr>
                <w:rFonts w:ascii="Times New Roman" w:eastAsia="Times New Roman" w:hAnsi="Times New Roman" w:cs="Times New Roman"/>
                <w:color w:val="000000"/>
                <w:spacing w:val="0"/>
                <w:w w:val="100"/>
                <w:position w:val="0"/>
                <w:sz w:val="18"/>
                <w:szCs w:val="18"/>
              </w:rPr>
              <w:t>45,572,687.69</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物联网资产组</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both"/>
              <w:rPr>
                <w:sz w:val="18"/>
                <w:szCs w:val="18"/>
              </w:rPr>
            </w:pPr>
            <w:r>
              <w:rPr>
                <w:rFonts w:ascii="Times New Roman" w:eastAsia="Times New Roman" w:hAnsi="Times New Roman" w:cs="Times New Roman"/>
                <w:color w:val="000000"/>
                <w:spacing w:val="0"/>
                <w:w w:val="100"/>
                <w:position w:val="0"/>
                <w:sz w:val="18"/>
                <w:szCs w:val="18"/>
              </w:rPr>
              <w:t>13,156,878.95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both"/>
              <w:rPr>
                <w:sz w:val="18"/>
                <w:szCs w:val="18"/>
              </w:rPr>
            </w:pPr>
            <w:r>
              <w:rPr>
                <w:rFonts w:ascii="Times New Roman" w:eastAsia="Times New Roman" w:hAnsi="Times New Roman" w:cs="Times New Roman"/>
                <w:color w:val="000000"/>
                <w:spacing w:val="0"/>
                <w:w w:val="100"/>
                <w:position w:val="0"/>
                <w:sz w:val="18"/>
                <w:szCs w:val="18"/>
              </w:rPr>
              <w:t>13,156,878.95</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拨测业务资产组</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80"/>
              <w:jc w:val="left"/>
              <w:rPr>
                <w:sz w:val="18"/>
                <w:szCs w:val="18"/>
              </w:rPr>
            </w:pPr>
            <w:r>
              <w:rPr>
                <w:rFonts w:ascii="Times New Roman" w:eastAsia="Times New Roman" w:hAnsi="Times New Roman" w:cs="Times New Roman"/>
                <w:color w:val="000000"/>
                <w:spacing w:val="0"/>
                <w:w w:val="100"/>
                <w:position w:val="0"/>
                <w:sz w:val="18"/>
                <w:szCs w:val="18"/>
              </w:rPr>
              <w:t>206,137,154.75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80"/>
              <w:jc w:val="left"/>
              <w:rPr>
                <w:sz w:val="18"/>
                <w:szCs w:val="18"/>
              </w:rPr>
            </w:pPr>
            <w:r>
              <w:rPr>
                <w:rFonts w:ascii="Times New Roman" w:eastAsia="Times New Roman" w:hAnsi="Times New Roman" w:cs="Times New Roman"/>
                <w:color w:val="000000"/>
                <w:spacing w:val="0"/>
                <w:w w:val="100"/>
                <w:position w:val="0"/>
                <w:sz w:val="18"/>
                <w:szCs w:val="18"/>
              </w:rPr>
              <w:t>206,137,154.75</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海外业务平台资产组</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both"/>
              <w:rPr>
                <w:sz w:val="18"/>
                <w:szCs w:val="18"/>
              </w:rPr>
            </w:pPr>
            <w:r>
              <w:rPr>
                <w:rFonts w:ascii="Times New Roman" w:eastAsia="Times New Roman" w:hAnsi="Times New Roman" w:cs="Times New Roman"/>
                <w:color w:val="000000"/>
                <w:spacing w:val="0"/>
                <w:w w:val="100"/>
                <w:position w:val="0"/>
                <w:sz w:val="18"/>
                <w:szCs w:val="18"/>
              </w:rPr>
              <w:t>46,913,784.54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both"/>
              <w:rPr>
                <w:sz w:val="18"/>
                <w:szCs w:val="18"/>
              </w:rPr>
            </w:pPr>
            <w:r>
              <w:rPr>
                <w:rFonts w:ascii="Times New Roman" w:eastAsia="Times New Roman" w:hAnsi="Times New Roman" w:cs="Times New Roman"/>
                <w:color w:val="000000"/>
                <w:spacing w:val="0"/>
                <w:w w:val="100"/>
                <w:position w:val="0"/>
                <w:sz w:val="18"/>
                <w:szCs w:val="18"/>
              </w:rPr>
              <w:t>46,913,784.54</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自动化设备资产组</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2,154,884.91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2,154,884.91</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数据挖掘资产组</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both"/>
              <w:rPr>
                <w:sz w:val="18"/>
                <w:szCs w:val="18"/>
              </w:rPr>
            </w:pPr>
            <w:r>
              <w:rPr>
                <w:rFonts w:ascii="Times New Roman" w:eastAsia="Times New Roman" w:hAnsi="Times New Roman" w:cs="Times New Roman"/>
                <w:color w:val="000000"/>
                <w:spacing w:val="0"/>
                <w:w w:val="100"/>
                <w:position w:val="0"/>
                <w:sz w:val="18"/>
                <w:szCs w:val="18"/>
              </w:rPr>
              <w:t>33,027,608.12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33,027,608.12</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both"/>
              <w:rPr>
                <w:sz w:val="18"/>
                <w:szCs w:val="18"/>
              </w:rPr>
            </w:pPr>
            <w:r>
              <w:rPr>
                <w:rFonts w:ascii="Times New Roman" w:eastAsia="Times New Roman" w:hAnsi="Times New Roman" w:cs="Times New Roman"/>
                <w:color w:val="000000"/>
                <w:spacing w:val="0"/>
                <w:w w:val="100"/>
                <w:position w:val="0"/>
                <w:sz w:val="18"/>
                <w:szCs w:val="18"/>
              </w:rPr>
              <w:t>2,111,969,054.86</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33,027,608.12</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both"/>
              <w:rPr>
                <w:sz w:val="18"/>
                <w:szCs w:val="18"/>
              </w:rPr>
            </w:pPr>
            <w:r>
              <w:rPr>
                <w:rFonts w:ascii="Times New Roman" w:eastAsia="Times New Roman" w:hAnsi="Times New Roman" w:cs="Times New Roman"/>
                <w:color w:val="000000"/>
                <w:spacing w:val="0"/>
                <w:w w:val="100"/>
                <w:position w:val="0"/>
                <w:sz w:val="18"/>
                <w:szCs w:val="18"/>
              </w:rPr>
              <w:t>2,078,941,446.74</w:t>
            </w:r>
          </w:p>
        </w:tc>
      </w:tr>
    </w:tbl>
    <w:p>
      <w:pPr>
        <w:widowControl w:val="0"/>
        <w:spacing w:after="319" w:line="1" w:lineRule="exact"/>
      </w:pPr>
    </w:p>
    <w:p>
      <w:pPr>
        <w:pStyle w:val="Style58"/>
        <w:keepNext/>
        <w:keepLines/>
        <w:widowControl w:val="0"/>
        <w:numPr>
          <w:ilvl w:val="0"/>
          <w:numId w:val="33"/>
        </w:numPr>
        <w:shd w:val="clear" w:color="auto" w:fill="auto"/>
        <w:bidi w:val="0"/>
        <w:spacing w:before="0" w:after="400" w:line="240" w:lineRule="auto"/>
        <w:ind w:left="0" w:right="0" w:firstLine="140"/>
        <w:jc w:val="left"/>
        <w:rPr>
          <w:sz w:val="20"/>
          <w:szCs w:val="20"/>
        </w:rPr>
      </w:pPr>
      <w:bookmarkStart w:id="1491" w:name="bookmark1491"/>
      <w:bookmarkStart w:id="1492" w:name="bookmark1492"/>
      <w:bookmarkStart w:id="1493" w:name="bookmark1493"/>
      <w:bookmarkStart w:id="1494" w:name="bookmark1494"/>
      <w:bookmarkEnd w:id="1493"/>
      <w:r>
        <w:rPr>
          <w:b/>
          <w:bCs/>
          <w:color w:val="000000"/>
          <w:spacing w:val="0"/>
          <w:w w:val="100"/>
          <w:position w:val="0"/>
          <w:sz w:val="20"/>
          <w:szCs w:val="20"/>
        </w:rPr>
        <w:t>商誉减值准备</w:t>
      </w:r>
      <w:bookmarkEnd w:id="1491"/>
      <w:bookmarkEnd w:id="1492"/>
      <w:bookmarkEnd w:id="1494"/>
    </w:p>
    <w:p>
      <w:pPr>
        <w:pStyle w:val="Style41"/>
        <w:keepNext w:val="0"/>
        <w:keepLines w:val="0"/>
        <w:widowControl w:val="0"/>
        <w:shd w:val="clear" w:color="auto" w:fill="auto"/>
        <w:bidi w:val="0"/>
        <w:spacing w:before="0" w:after="400" w:line="240" w:lineRule="auto"/>
        <w:ind w:left="0" w:right="0" w:firstLine="0"/>
        <w:jc w:val="right"/>
        <w:sectPr>
          <w:headerReference w:type="default" r:id="rId385"/>
          <w:footerReference w:type="default" r:id="rId386"/>
          <w:headerReference w:type="even" r:id="rId387"/>
          <w:footerReference w:type="even" r:id="rId388"/>
          <w:headerReference w:type="first" r:id="rId389"/>
          <w:footerReference w:type="first" r:id="rId390"/>
          <w:footnotePr>
            <w:pos w:val="pageBottom"/>
            <w:numFmt w:val="decimal"/>
            <w:numRestart w:val="continuous"/>
          </w:footnotePr>
          <w:pgSz w:w="11904" w:h="17375"/>
          <w:pgMar w:top="1676" w:right="1030" w:bottom="1663" w:left="1006" w:header="0" w:footer="3" w:gutter="0"/>
          <w:cols w:space="720"/>
          <w:noEndnote/>
          <w:titlePg/>
          <w:rtlGutter w:val="0"/>
          <w:docGrid w:linePitch="360"/>
        </w:sectPr>
      </w:pPr>
      <w:r>
        <w:rPr>
          <w:color w:val="000000"/>
          <w:spacing w:val="0"/>
          <w:w w:val="100"/>
          <w:position w:val="0"/>
        </w:rPr>
        <w:t>单位：元</w:t>
      </w:r>
    </w:p>
    <w:tbl>
      <w:tblPr>
        <w:tblOverlap w:val="never"/>
        <w:jc w:val="center"/>
        <w:tblLayout w:type="fixed"/>
      </w:tblPr>
      <w:tblGrid>
        <w:gridCol w:w="1939"/>
        <w:gridCol w:w="1944"/>
        <w:gridCol w:w="1939"/>
        <w:gridCol w:w="1939"/>
        <w:gridCol w:w="1949"/>
      </w:tblGrid>
      <w:tr>
        <w:trPr>
          <w:trHeight w:val="480" w:hRule="exact"/>
        </w:trPr>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被投资单位名称或形成 商誉的事项</w:t>
            </w:r>
          </w:p>
        </w:tc>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本期增加</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本期减少</w:t>
            </w:r>
          </w:p>
        </w:tc>
        <w:tc>
          <w:tcPr>
            <w:vMerge w:val="restart"/>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r>
      <w:tr>
        <w:trPr>
          <w:trHeight w:val="398" w:hRule="exact"/>
        </w:trPr>
        <w:tc>
          <w:tcPr>
            <w:vMerge/>
            <w:tcBorders>
              <w:left w:val="single" w:sz="4"/>
            </w:tcBorders>
            <w:shd w:val="clear" w:color="auto" w:fill="D7D7D7"/>
            <w:vAlign w:val="center"/>
          </w:tcPr>
          <w:p>
            <w:pPr/>
          </w:p>
        </w:tc>
        <w:tc>
          <w:tcPr>
            <w:vMerge/>
            <w:tcBorders>
              <w:left w:val="single" w:sz="4"/>
            </w:tcBorders>
            <w:shd w:val="clear" w:color="auto" w:fill="D7D7D7"/>
            <w:vAlign w:val="center"/>
          </w:tcPr>
          <w:p>
            <w:pP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计提</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处置</w:t>
            </w:r>
          </w:p>
        </w:tc>
        <w:tc>
          <w:tcPr>
            <w:vMerge/>
            <w:tcBorders>
              <w:left w:val="single" w:sz="4"/>
              <w:right w:val="single" w:sz="4"/>
            </w:tcBorders>
            <w:shd w:val="clear" w:color="auto" w:fill="D7D7D7"/>
            <w:vAlign w:val="center"/>
          </w:tcPr>
          <w:p>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游戏资产组</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both"/>
              <w:rPr>
                <w:sz w:val="18"/>
                <w:szCs w:val="18"/>
              </w:rPr>
            </w:pPr>
            <w:r>
              <w:rPr>
                <w:rFonts w:ascii="Times New Roman" w:eastAsia="Times New Roman" w:hAnsi="Times New Roman" w:cs="Times New Roman"/>
                <w:color w:val="000000"/>
                <w:spacing w:val="0"/>
                <w:w w:val="100"/>
                <w:position w:val="0"/>
                <w:sz w:val="18"/>
                <w:szCs w:val="18"/>
              </w:rPr>
              <w:t>40,716,000.00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both"/>
              <w:rPr>
                <w:sz w:val="18"/>
                <w:szCs w:val="18"/>
              </w:rPr>
            </w:pPr>
            <w:r>
              <w:rPr>
                <w:rFonts w:ascii="Times New Roman" w:eastAsia="Times New Roman" w:hAnsi="Times New Roman" w:cs="Times New Roman"/>
                <w:color w:val="000000"/>
                <w:spacing w:val="0"/>
                <w:w w:val="100"/>
                <w:position w:val="0"/>
                <w:sz w:val="18"/>
                <w:szCs w:val="18"/>
              </w:rPr>
              <w:t>40,716,000.00</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AI-ICT</w:t>
            </w:r>
            <w:r>
              <w:rPr>
                <w:color w:val="000000"/>
                <w:spacing w:val="0"/>
                <w:w w:val="100"/>
                <w:position w:val="0"/>
              </w:rPr>
              <w:t>解决方案资产组</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80"/>
              <w:jc w:val="left"/>
              <w:rPr>
                <w:sz w:val="18"/>
                <w:szCs w:val="18"/>
              </w:rPr>
            </w:pPr>
            <w:r>
              <w:rPr>
                <w:rFonts w:ascii="Times New Roman" w:eastAsia="Times New Roman" w:hAnsi="Times New Roman" w:cs="Times New Roman"/>
                <w:color w:val="000000"/>
                <w:spacing w:val="0"/>
                <w:w w:val="100"/>
                <w:position w:val="0"/>
                <w:sz w:val="18"/>
                <w:szCs w:val="18"/>
              </w:rPr>
              <w:t>211,720,000.00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80"/>
              <w:jc w:val="left"/>
              <w:rPr>
                <w:sz w:val="18"/>
                <w:szCs w:val="18"/>
              </w:rPr>
            </w:pPr>
            <w:r>
              <w:rPr>
                <w:rFonts w:ascii="Times New Roman" w:eastAsia="Times New Roman" w:hAnsi="Times New Roman" w:cs="Times New Roman"/>
                <w:color w:val="000000"/>
                <w:spacing w:val="0"/>
                <w:w w:val="100"/>
                <w:position w:val="0"/>
                <w:sz w:val="18"/>
                <w:szCs w:val="18"/>
              </w:rPr>
              <w:t>211,720,000.00</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互联网运营资产组</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both"/>
              <w:rPr>
                <w:sz w:val="18"/>
                <w:szCs w:val="18"/>
              </w:rPr>
            </w:pPr>
            <w:r>
              <w:rPr>
                <w:rFonts w:ascii="Times New Roman" w:eastAsia="Times New Roman" w:hAnsi="Times New Roman" w:cs="Times New Roman"/>
                <w:color w:val="000000"/>
                <w:spacing w:val="0"/>
                <w:w w:val="100"/>
                <w:position w:val="0"/>
                <w:sz w:val="18"/>
                <w:szCs w:val="18"/>
              </w:rPr>
              <w:t>41,827,600.00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both"/>
              <w:rPr>
                <w:sz w:val="18"/>
                <w:szCs w:val="18"/>
              </w:rPr>
            </w:pPr>
            <w:r>
              <w:rPr>
                <w:rFonts w:ascii="Times New Roman" w:eastAsia="Times New Roman" w:hAnsi="Times New Roman" w:cs="Times New Roman"/>
                <w:color w:val="000000"/>
                <w:spacing w:val="0"/>
                <w:w w:val="100"/>
                <w:position w:val="0"/>
                <w:sz w:val="18"/>
                <w:szCs w:val="18"/>
              </w:rPr>
              <w:t>41,827,600.00</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拨测业务资产组</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80"/>
              <w:jc w:val="left"/>
              <w:rPr>
                <w:sz w:val="18"/>
                <w:szCs w:val="18"/>
              </w:rPr>
            </w:pPr>
            <w:r>
              <w:rPr>
                <w:rFonts w:ascii="Times New Roman" w:eastAsia="Times New Roman" w:hAnsi="Times New Roman" w:cs="Times New Roman"/>
                <w:color w:val="000000"/>
                <w:spacing w:val="0"/>
                <w:w w:val="100"/>
                <w:position w:val="0"/>
                <w:sz w:val="18"/>
                <w:szCs w:val="18"/>
              </w:rPr>
              <w:t>198,370,000.00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80"/>
              <w:jc w:val="left"/>
              <w:rPr>
                <w:sz w:val="18"/>
                <w:szCs w:val="18"/>
              </w:rPr>
            </w:pPr>
            <w:r>
              <w:rPr>
                <w:rFonts w:ascii="Times New Roman" w:eastAsia="Times New Roman" w:hAnsi="Times New Roman" w:cs="Times New Roman"/>
                <w:color w:val="000000"/>
                <w:spacing w:val="0"/>
                <w:w w:val="100"/>
                <w:position w:val="0"/>
                <w:sz w:val="18"/>
                <w:szCs w:val="18"/>
              </w:rPr>
              <w:t>198,370,000.00</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自动化设备资产组</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2,154,884.91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2,154,884.91</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海外业务平台资产组</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both"/>
              <w:rPr>
                <w:sz w:val="18"/>
                <w:szCs w:val="18"/>
              </w:rPr>
            </w:pPr>
            <w:r>
              <w:rPr>
                <w:rFonts w:ascii="Times New Roman" w:eastAsia="Times New Roman" w:hAnsi="Times New Roman" w:cs="Times New Roman"/>
                <w:color w:val="000000"/>
                <w:spacing w:val="0"/>
                <w:w w:val="100"/>
                <w:position w:val="0"/>
                <w:sz w:val="18"/>
                <w:szCs w:val="18"/>
              </w:rPr>
              <w:t>46,913,784.54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both"/>
              <w:rPr>
                <w:sz w:val="18"/>
                <w:szCs w:val="18"/>
              </w:rPr>
            </w:pPr>
            <w:r>
              <w:rPr>
                <w:rFonts w:ascii="Times New Roman" w:eastAsia="Times New Roman" w:hAnsi="Times New Roman" w:cs="Times New Roman"/>
                <w:color w:val="000000"/>
                <w:spacing w:val="0"/>
                <w:w w:val="100"/>
                <w:position w:val="0"/>
                <w:sz w:val="18"/>
                <w:szCs w:val="18"/>
              </w:rPr>
              <w:t>46,913,784.54</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80"/>
              <w:jc w:val="left"/>
              <w:rPr>
                <w:sz w:val="18"/>
                <w:szCs w:val="18"/>
              </w:rPr>
            </w:pPr>
            <w:r>
              <w:rPr>
                <w:rFonts w:ascii="Times New Roman" w:eastAsia="Times New Roman" w:hAnsi="Times New Roman" w:cs="Times New Roman"/>
                <w:color w:val="000000"/>
                <w:spacing w:val="0"/>
                <w:w w:val="100"/>
                <w:position w:val="0"/>
                <w:sz w:val="18"/>
                <w:szCs w:val="18"/>
              </w:rPr>
              <w:t>541,702,269.45</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80"/>
              <w:jc w:val="left"/>
              <w:rPr>
                <w:sz w:val="18"/>
                <w:szCs w:val="18"/>
              </w:rPr>
            </w:pPr>
            <w:r>
              <w:rPr>
                <w:rFonts w:ascii="Times New Roman" w:eastAsia="Times New Roman" w:hAnsi="Times New Roman" w:cs="Times New Roman"/>
                <w:color w:val="000000"/>
                <w:spacing w:val="0"/>
                <w:w w:val="100"/>
                <w:position w:val="0"/>
                <w:sz w:val="18"/>
                <w:szCs w:val="18"/>
              </w:rPr>
              <w:t>541,702,269.45</w:t>
            </w:r>
          </w:p>
        </w:tc>
      </w:tr>
    </w:tbl>
    <w:p>
      <w:pPr>
        <w:widowControl w:val="0"/>
        <w:spacing w:after="159" w:line="1" w:lineRule="exact"/>
      </w:pPr>
    </w:p>
    <w:p>
      <w:pPr>
        <w:pStyle w:val="Style41"/>
        <w:keepNext w:val="0"/>
        <w:keepLines w:val="0"/>
        <w:widowControl w:val="0"/>
        <w:shd w:val="clear" w:color="auto" w:fill="auto"/>
        <w:bidi w:val="0"/>
        <w:spacing w:before="0" w:after="0" w:line="469" w:lineRule="exact"/>
        <w:ind w:left="0" w:right="0"/>
        <w:jc w:val="both"/>
      </w:pPr>
      <w:r>
        <w:rPr>
          <w:color w:val="000000"/>
          <w:spacing w:val="0"/>
          <w:w w:val="100"/>
          <w:position w:val="0"/>
        </w:rPr>
        <w:t>公司对资源进行统一配置，考虑管理层对生产经营活动的管理或监控方式，以及对资产的持续使用或处置的决策方式， 将各部分具有协同融合效应的业务组成一个资产组，该等资产组确认方式与以前年度一致。</w:t>
      </w:r>
    </w:p>
    <w:p>
      <w:pPr>
        <w:pStyle w:val="Style41"/>
        <w:keepNext w:val="0"/>
        <w:keepLines w:val="0"/>
        <w:widowControl w:val="0"/>
        <w:shd w:val="clear" w:color="auto" w:fill="auto"/>
        <w:bidi w:val="0"/>
        <w:spacing w:before="0" w:after="0" w:line="469" w:lineRule="exact"/>
        <w:ind w:left="0" w:right="0"/>
        <w:jc w:val="both"/>
      </w:pPr>
      <w:r>
        <w:rPr>
          <w:color w:val="000000"/>
          <w:spacing w:val="0"/>
          <w:w w:val="100"/>
          <w:position w:val="0"/>
        </w:rPr>
        <w:t>公司期末对商誉相关的各资产组进行了减值测试，首先将该商誉及归属于少数股东权益的商誉包括在内，调整各资产组 的账面价值，然后将调整后的各资产组账面价值与其可收回金额进行比较，以确定各资产组（包括商誉）是否发生了减值。</w:t>
      </w:r>
    </w:p>
    <w:p>
      <w:pPr>
        <w:pStyle w:val="Style41"/>
        <w:keepNext w:val="0"/>
        <w:keepLines w:val="0"/>
        <w:widowControl w:val="0"/>
        <w:shd w:val="clear" w:color="auto" w:fill="auto"/>
        <w:tabs>
          <w:tab w:pos="765" w:val="left"/>
        </w:tabs>
        <w:bidi w:val="0"/>
        <w:spacing w:before="0" w:after="0" w:line="469" w:lineRule="exact"/>
        <w:ind w:left="0" w:right="0"/>
        <w:jc w:val="both"/>
      </w:pPr>
      <w:bookmarkStart w:id="1495" w:name="bookmark1495"/>
      <w:r>
        <w:rPr>
          <w:color w:val="000000"/>
          <w:spacing w:val="0"/>
          <w:w w:val="100"/>
          <w:position w:val="0"/>
        </w:rPr>
        <w:t>（</w:t>
      </w:r>
      <w:bookmarkEnd w:id="1495"/>
      <w:r>
        <w:rPr>
          <w:rFonts w:ascii="Times New Roman" w:eastAsia="Times New Roman" w:hAnsi="Times New Roman" w:cs="Times New Roman"/>
          <w:color w:val="000000"/>
          <w:spacing w:val="0"/>
          <w:w w:val="100"/>
          <w:position w:val="0"/>
          <w:sz w:val="18"/>
          <w:szCs w:val="18"/>
        </w:rPr>
        <w:t>1</w:t>
      </w:r>
      <w:r>
        <w:rPr>
          <w:color w:val="000000"/>
          <w:spacing w:val="0"/>
          <w:w w:val="100"/>
          <w:position w:val="0"/>
        </w:rPr>
        <w:t>）</w:t>
        <w:tab/>
        <w:t>游戏资产组商誉</w:t>
      </w:r>
    </w:p>
    <w:p>
      <w:pPr>
        <w:pStyle w:val="Style41"/>
        <w:keepNext w:val="0"/>
        <w:keepLines w:val="0"/>
        <w:widowControl w:val="0"/>
        <w:shd w:val="clear" w:color="auto" w:fill="auto"/>
        <w:bidi w:val="0"/>
        <w:spacing w:before="0" w:after="0" w:line="469" w:lineRule="exact"/>
        <w:ind w:left="0" w:right="0"/>
        <w:jc w:val="both"/>
      </w:pPr>
      <w:r>
        <w:rPr>
          <w:color w:val="000000"/>
          <w:spacing w:val="0"/>
          <w:w w:val="100"/>
          <w:position w:val="0"/>
        </w:rPr>
        <w:t>天津壳木软件有限责任公司（以下简称</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天津壳木</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）成立于</w:t>
      </w:r>
      <w:r>
        <w:rPr>
          <w:rFonts w:ascii="Times New Roman" w:eastAsia="Times New Roman" w:hAnsi="Times New Roman" w:cs="Times New Roman"/>
          <w:color w:val="000000"/>
          <w:spacing w:val="0"/>
          <w:w w:val="100"/>
          <w:position w:val="0"/>
          <w:sz w:val="18"/>
          <w:szCs w:val="18"/>
        </w:rPr>
        <w:t>2012</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月，是一家为移动端用户提供网络游戏服务的研运 一体的公司。北京神州泰岳软件股份有限公司于</w:t>
      </w:r>
      <w:r>
        <w:rPr>
          <w:rFonts w:ascii="Times New Roman" w:eastAsia="Times New Roman" w:hAnsi="Times New Roman" w:cs="Times New Roman"/>
          <w:color w:val="000000"/>
          <w:spacing w:val="0"/>
          <w:w w:val="100"/>
          <w:position w:val="0"/>
          <w:sz w:val="18"/>
          <w:szCs w:val="18"/>
        </w:rPr>
        <w:t>2014</w:t>
      </w:r>
      <w:r>
        <w:rPr>
          <w:color w:val="000000"/>
          <w:spacing w:val="0"/>
          <w:w w:val="100"/>
          <w:position w:val="0"/>
        </w:rPr>
        <w:t>年收购了天津壳木</w:t>
      </w:r>
      <w:r>
        <w:rPr>
          <w:rFonts w:ascii="Times New Roman" w:eastAsia="Times New Roman" w:hAnsi="Times New Roman" w:cs="Times New Roman"/>
          <w:color w:val="000000"/>
          <w:spacing w:val="0"/>
          <w:w w:val="100"/>
          <w:position w:val="0"/>
          <w:sz w:val="18"/>
          <w:szCs w:val="18"/>
        </w:rPr>
        <w:t>100%</w:t>
      </w:r>
      <w:r>
        <w:rPr>
          <w:color w:val="000000"/>
          <w:spacing w:val="0"/>
          <w:w w:val="100"/>
          <w:position w:val="0"/>
        </w:rPr>
        <w:t>股权。天津壳木于</w:t>
      </w:r>
      <w:r>
        <w:rPr>
          <w:rFonts w:ascii="Times New Roman" w:eastAsia="Times New Roman" w:hAnsi="Times New Roman" w:cs="Times New Roman"/>
          <w:color w:val="000000"/>
          <w:spacing w:val="0"/>
          <w:w w:val="100"/>
          <w:position w:val="0"/>
          <w:sz w:val="18"/>
          <w:szCs w:val="18"/>
        </w:rPr>
        <w:t>2015</w:t>
      </w:r>
      <w:r>
        <w:rPr>
          <w:color w:val="000000"/>
          <w:spacing w:val="0"/>
          <w:w w:val="100"/>
          <w:position w:val="0"/>
        </w:rPr>
        <w:t>年收购天津安纳西科技 有限公司（以下简称</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天津安纳西</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），该公司主营业务为移动游戏的研发、运营与发行。天津壳木对天津安纳西的人员、技 术、运营能力进行了整合及统一管理，打破以公司实体为单元的管理模式，实现了研发、运营、市场、后台职能团队的统筹 协作，构建了统一的公司文化和质量管理体系，共享技术成果、运营经验、发行渠道，共同研发新游戏，打造统一的品牌。 公司定期针对上述公司的经营活动做整体评价，并据此统一资源配置，因此将上述公司游戏业务整体作为一个资产组。</w:t>
      </w:r>
    </w:p>
    <w:p>
      <w:pPr>
        <w:pStyle w:val="Style41"/>
        <w:keepNext w:val="0"/>
        <w:keepLines w:val="0"/>
        <w:widowControl w:val="0"/>
        <w:shd w:val="clear" w:color="auto" w:fill="auto"/>
        <w:bidi w:val="0"/>
        <w:spacing w:before="0" w:after="0" w:line="469" w:lineRule="exact"/>
        <w:ind w:left="0" w:right="0"/>
        <w:jc w:val="both"/>
      </w:pPr>
      <w:r>
        <w:rPr>
          <w:color w:val="000000"/>
          <w:spacing w:val="0"/>
          <w:w w:val="100"/>
          <w:position w:val="0"/>
        </w:rPr>
        <w:t>游戏资产组与商誉相关长期资产包括固定资产、无形资产等，</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年末游戏资产组商誉的账面价值为人民币</w:t>
      </w:r>
      <w:r>
        <w:rPr>
          <w:rFonts w:ascii="Times New Roman" w:eastAsia="Times New Roman" w:hAnsi="Times New Roman" w:cs="Times New Roman"/>
          <w:color w:val="000000"/>
          <w:spacing w:val="0"/>
          <w:w w:val="100"/>
          <w:position w:val="0"/>
          <w:sz w:val="18"/>
          <w:szCs w:val="18"/>
        </w:rPr>
        <w:t xml:space="preserve">111,724.39 </w:t>
      </w:r>
      <w:r>
        <w:rPr>
          <w:color w:val="000000"/>
          <w:spacing w:val="0"/>
          <w:w w:val="100"/>
          <w:position w:val="0"/>
        </w:rPr>
        <w:t>万元，资产组账面金额为人民币</w:t>
      </w:r>
      <w:r>
        <w:rPr>
          <w:rFonts w:ascii="Times New Roman" w:eastAsia="Times New Roman" w:hAnsi="Times New Roman" w:cs="Times New Roman"/>
          <w:color w:val="000000"/>
          <w:spacing w:val="0"/>
          <w:w w:val="100"/>
          <w:position w:val="0"/>
          <w:sz w:val="18"/>
          <w:szCs w:val="18"/>
        </w:rPr>
        <w:t>118,387.59</w:t>
      </w:r>
      <w:r>
        <w:rPr>
          <w:color w:val="000000"/>
          <w:spacing w:val="0"/>
          <w:w w:val="100"/>
          <w:position w:val="0"/>
        </w:rPr>
        <w:t>万元（含商誉金额）。可收回金额采用资产组的预计未来现金流量的现值，根据</w:t>
      </w:r>
      <w:r>
        <w:rPr>
          <w:rFonts w:ascii="Times New Roman" w:eastAsia="Times New Roman" w:hAnsi="Times New Roman" w:cs="Times New Roman"/>
          <w:color w:val="000000"/>
          <w:spacing w:val="0"/>
          <w:w w:val="100"/>
          <w:position w:val="0"/>
          <w:sz w:val="18"/>
          <w:szCs w:val="18"/>
        </w:rPr>
        <w:t xml:space="preserve">5 </w:t>
      </w:r>
      <w:r>
        <w:rPr>
          <w:color w:val="000000"/>
          <w:spacing w:val="0"/>
          <w:w w:val="100"/>
          <w:position w:val="0"/>
        </w:rPr>
        <w:t>年期的财务预算基础上的现金流量预测来确定。游戏资产组营业收入主要来源于游戏充值收入，本公司综合考虑游戏资产组 的业务内容、市场等因素影响，预测该期间内营业收入增长率为</w:t>
      </w:r>
      <w:r>
        <w:rPr>
          <w:rFonts w:ascii="Times New Roman" w:eastAsia="Times New Roman" w:hAnsi="Times New Roman" w:cs="Times New Roman"/>
          <w:color w:val="000000"/>
          <w:spacing w:val="0"/>
          <w:w w:val="100"/>
          <w:position w:val="0"/>
          <w:sz w:val="18"/>
          <w:szCs w:val="18"/>
        </w:rPr>
        <w:t>-12.63%—17.48%</w:t>
      </w:r>
      <w:r>
        <w:rPr>
          <w:color w:val="000000"/>
          <w:spacing w:val="0"/>
          <w:w w:val="100"/>
          <w:position w:val="0"/>
        </w:rPr>
        <w:t>。游戏资产组现金流量预测所用的折现率 是</w:t>
      </w:r>
      <w:r>
        <w:rPr>
          <w:rFonts w:ascii="Times New Roman" w:eastAsia="Times New Roman" w:hAnsi="Times New Roman" w:cs="Times New Roman"/>
          <w:color w:val="000000"/>
          <w:spacing w:val="0"/>
          <w:w w:val="100"/>
          <w:position w:val="0"/>
          <w:sz w:val="18"/>
          <w:szCs w:val="18"/>
        </w:rPr>
        <w:t>15.11%</w:t>
      </w:r>
      <w:r>
        <w:rPr>
          <w:color w:val="000000"/>
          <w:spacing w:val="0"/>
          <w:w w:val="100"/>
          <w:position w:val="0"/>
        </w:rPr>
        <w:t>,用于推断</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年以后的游戏资产组的现金流量的增长率是</w:t>
      </w:r>
      <w:r>
        <w:rPr>
          <w:rFonts w:ascii="Times New Roman" w:eastAsia="Times New Roman" w:hAnsi="Times New Roman" w:cs="Times New Roman"/>
          <w:color w:val="000000"/>
          <w:spacing w:val="0"/>
          <w:w w:val="100"/>
          <w:position w:val="0"/>
          <w:sz w:val="18"/>
          <w:szCs w:val="18"/>
        </w:rPr>
        <w:t>0%</w:t>
      </w:r>
      <w:r>
        <w:rPr>
          <w:color w:val="000000"/>
          <w:spacing w:val="0"/>
          <w:w w:val="100"/>
          <w:position w:val="0"/>
        </w:rPr>
        <w:t>。经测算预计未来现金流量的现值高于游戏资产组账面 价值，公司认为本年游戏资产组的商誉不存在减值。</w:t>
      </w:r>
    </w:p>
    <w:p>
      <w:pPr>
        <w:pStyle w:val="Style41"/>
        <w:keepNext w:val="0"/>
        <w:keepLines w:val="0"/>
        <w:widowControl w:val="0"/>
        <w:shd w:val="clear" w:color="auto" w:fill="auto"/>
        <w:tabs>
          <w:tab w:pos="765" w:val="left"/>
        </w:tabs>
        <w:bidi w:val="0"/>
        <w:spacing w:before="0" w:after="0" w:line="469" w:lineRule="exact"/>
        <w:ind w:left="0" w:right="0"/>
        <w:jc w:val="both"/>
      </w:pPr>
      <w:bookmarkStart w:id="1496" w:name="bookmark1496"/>
      <w:r>
        <w:rPr>
          <w:color w:val="000000"/>
          <w:spacing w:val="0"/>
          <w:w w:val="100"/>
          <w:position w:val="0"/>
        </w:rPr>
        <w:t>（</w:t>
      </w:r>
      <w:bookmarkEnd w:id="1496"/>
      <w:r>
        <w:rPr>
          <w:rFonts w:ascii="Times New Roman" w:eastAsia="Times New Roman" w:hAnsi="Times New Roman" w:cs="Times New Roman"/>
          <w:color w:val="000000"/>
          <w:spacing w:val="0"/>
          <w:w w:val="100"/>
          <w:position w:val="0"/>
          <w:sz w:val="18"/>
          <w:szCs w:val="18"/>
        </w:rPr>
        <w:t>2</w:t>
      </w:r>
      <w:r>
        <w:rPr>
          <w:color w:val="000000"/>
          <w:spacing w:val="0"/>
          <w:w w:val="100"/>
          <w:position w:val="0"/>
        </w:rPr>
        <w:t>）</w:t>
        <w:tab/>
      </w:r>
      <w:r>
        <w:rPr>
          <w:rFonts w:ascii="Times New Roman" w:eastAsia="Times New Roman" w:hAnsi="Times New Roman" w:cs="Times New Roman"/>
          <w:color w:val="000000"/>
          <w:spacing w:val="0"/>
          <w:w w:val="100"/>
          <w:position w:val="0"/>
          <w:sz w:val="18"/>
          <w:szCs w:val="18"/>
        </w:rPr>
        <w:t>AI-ICT</w:t>
      </w:r>
      <w:r>
        <w:rPr>
          <w:color w:val="000000"/>
          <w:spacing w:val="0"/>
          <w:w w:val="100"/>
          <w:position w:val="0"/>
        </w:rPr>
        <w:t>解决方案资产组商誉</w:t>
      </w:r>
    </w:p>
    <w:p>
      <w:pPr>
        <w:pStyle w:val="Style41"/>
        <w:keepNext w:val="0"/>
        <w:keepLines w:val="0"/>
        <w:widowControl w:val="0"/>
        <w:shd w:val="clear" w:color="auto" w:fill="auto"/>
        <w:bidi w:val="0"/>
        <w:spacing w:before="0" w:after="80" w:line="469" w:lineRule="exact"/>
        <w:ind w:left="0" w:right="0"/>
        <w:jc w:val="both"/>
        <w:sectPr>
          <w:headerReference w:type="default" r:id="rId391"/>
          <w:footerReference w:type="default" r:id="rId392"/>
          <w:headerReference w:type="even" r:id="rId393"/>
          <w:footerReference w:type="even" r:id="rId394"/>
          <w:footnotePr>
            <w:pos w:val="pageBottom"/>
            <w:numFmt w:val="decimal"/>
            <w:numRestart w:val="continuous"/>
          </w:footnotePr>
          <w:type w:val="continuous"/>
          <w:pgSz w:w="11904" w:h="17375"/>
          <w:pgMar w:top="1676" w:right="1030" w:bottom="1663" w:left="1006" w:header="0" w:footer="3" w:gutter="0"/>
          <w:cols w:space="720"/>
          <w:noEndnote/>
          <w:rtlGutter w:val="0"/>
          <w:docGrid w:linePitch="360"/>
        </w:sectPr>
      </w:pPr>
      <w:r>
        <w:rPr>
          <w:color w:val="000000"/>
          <w:spacing w:val="0"/>
          <w:w w:val="100"/>
          <w:position w:val="0"/>
        </w:rPr>
        <w:t>北京神州泰岳系统集成有限公司（以下简称</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泰岳系统集成</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，原名北京友联创新系统集成有限公司）成立于</w:t>
      </w:r>
      <w:r>
        <w:rPr>
          <w:rFonts w:ascii="Times New Roman" w:eastAsia="Times New Roman" w:hAnsi="Times New Roman" w:cs="Times New Roman"/>
          <w:color w:val="000000"/>
          <w:spacing w:val="0"/>
          <w:w w:val="100"/>
          <w:position w:val="0"/>
          <w:sz w:val="18"/>
          <w:szCs w:val="18"/>
        </w:rPr>
        <w:t>2003</w:t>
      </w:r>
      <w:r>
        <w:rPr>
          <w:color w:val="000000"/>
          <w:spacing w:val="0"/>
          <w:w w:val="100"/>
          <w:position w:val="0"/>
        </w:rPr>
        <w:t>年，北 京神州泰岳软件股份有限公司于</w:t>
      </w:r>
      <w:r>
        <w:rPr>
          <w:rFonts w:ascii="Times New Roman" w:eastAsia="Times New Roman" w:hAnsi="Times New Roman" w:cs="Times New Roman"/>
          <w:color w:val="000000"/>
          <w:spacing w:val="0"/>
          <w:w w:val="100"/>
          <w:position w:val="0"/>
          <w:sz w:val="18"/>
          <w:szCs w:val="18"/>
        </w:rPr>
        <w:t>2010</w:t>
      </w:r>
      <w:r>
        <w:rPr>
          <w:color w:val="000000"/>
          <w:spacing w:val="0"/>
          <w:w w:val="100"/>
          <w:position w:val="0"/>
        </w:rPr>
        <w:t>年收购其</w:t>
      </w:r>
      <w:r>
        <w:rPr>
          <w:rFonts w:ascii="Times New Roman" w:eastAsia="Times New Roman" w:hAnsi="Times New Roman" w:cs="Times New Roman"/>
          <w:color w:val="000000"/>
          <w:spacing w:val="0"/>
          <w:w w:val="100"/>
          <w:position w:val="0"/>
          <w:sz w:val="18"/>
          <w:szCs w:val="18"/>
        </w:rPr>
        <w:t>100%</w:t>
      </w:r>
      <w:r>
        <w:rPr>
          <w:color w:val="000000"/>
          <w:spacing w:val="0"/>
          <w:w w:val="100"/>
          <w:position w:val="0"/>
        </w:rPr>
        <w:t>股权。收购完成后，该公司人员、业务整体转入神州泰岳，并与神州泰 岳、北京神州泰岳信息安全技术有限公司（以下简称</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信息安全</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）一起共同为运营商、大型机构等提供</w:t>
      </w:r>
      <w:r>
        <w:rPr>
          <w:rFonts w:ascii="Times New Roman" w:eastAsia="Times New Roman" w:hAnsi="Times New Roman" w:cs="Times New Roman"/>
          <w:color w:val="000000"/>
          <w:spacing w:val="0"/>
          <w:w w:val="100"/>
          <w:position w:val="0"/>
          <w:sz w:val="18"/>
          <w:szCs w:val="18"/>
        </w:rPr>
        <w:t>ICT</w:t>
      </w:r>
      <w:r>
        <w:rPr>
          <w:color w:val="000000"/>
          <w:spacing w:val="0"/>
          <w:w w:val="100"/>
          <w:position w:val="0"/>
        </w:rPr>
        <w:t>运营管理服务，</w:t>
      </w:r>
    </w:p>
    <w:p>
      <w:pPr>
        <w:pStyle w:val="Style212"/>
        <w:keepNext w:val="0"/>
        <w:keepLines w:val="0"/>
        <w:widowControl w:val="0"/>
        <w:shd w:val="clear" w:color="auto" w:fill="auto"/>
        <w:bidi w:val="0"/>
        <w:spacing w:before="0" w:after="0" w:line="240" w:lineRule="auto"/>
        <w:ind w:left="0" w:right="0" w:firstLine="0"/>
        <w:jc w:val="left"/>
      </w:pPr>
      <w:r>
        <w:rPr>
          <w:spacing w:val="0"/>
          <w:w w:val="100"/>
          <w:position w:val="0"/>
        </w:rPr>
        <w:t>Ultrapoiuer</w:t>
      </w:r>
    </w:p>
    <w:p>
      <w:pPr>
        <w:pStyle w:val="Style41"/>
        <w:keepNext w:val="0"/>
        <w:keepLines w:val="0"/>
        <w:widowControl w:val="0"/>
        <w:pBdr>
          <w:top w:val="single" w:sz="4" w:space="0" w:color="auto"/>
        </w:pBdr>
        <w:shd w:val="clear" w:color="auto" w:fill="auto"/>
        <w:bidi w:val="0"/>
        <w:spacing w:before="0" w:after="0" w:line="469" w:lineRule="exact"/>
        <w:ind w:left="0" w:right="0" w:firstLine="820"/>
        <w:jc w:val="both"/>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 市场、技术、产品、服务、人才优势互补，历经多年发展，已经密不可分。原公司主体进行更名，并主要从事系统集成业务。</w:t>
      </w:r>
    </w:p>
    <w:p>
      <w:pPr>
        <w:pStyle w:val="Style41"/>
        <w:keepNext w:val="0"/>
        <w:keepLines w:val="0"/>
        <w:widowControl w:val="0"/>
        <w:shd w:val="clear" w:color="auto" w:fill="auto"/>
        <w:bidi w:val="0"/>
        <w:spacing w:before="0" w:after="0" w:line="469" w:lineRule="exact"/>
        <w:ind w:left="0" w:right="0"/>
        <w:jc w:val="both"/>
      </w:pPr>
      <w:r>
        <w:rPr>
          <w:color w:val="000000"/>
          <w:spacing w:val="0"/>
          <w:w w:val="100"/>
          <w:position w:val="0"/>
        </w:rPr>
        <w:t>北京神州泰岳软件股份有限公司于</w:t>
      </w:r>
      <w:r>
        <w:rPr>
          <w:rFonts w:ascii="Times New Roman" w:eastAsia="Times New Roman" w:hAnsi="Times New Roman" w:cs="Times New Roman"/>
          <w:color w:val="000000"/>
          <w:spacing w:val="0"/>
          <w:w w:val="100"/>
          <w:position w:val="0"/>
          <w:sz w:val="18"/>
          <w:szCs w:val="18"/>
        </w:rPr>
        <w:t>2016</w:t>
      </w:r>
      <w:r>
        <w:rPr>
          <w:color w:val="000000"/>
          <w:spacing w:val="0"/>
          <w:w w:val="100"/>
          <w:position w:val="0"/>
        </w:rPr>
        <w:t>年收购鼎富智能科技有限公司（以下简称</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鼎富科技</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，原名中科鼎富（北京）科 技发展有限公司）</w:t>
      </w:r>
      <w:r>
        <w:rPr>
          <w:rFonts w:ascii="Times New Roman" w:eastAsia="Times New Roman" w:hAnsi="Times New Roman" w:cs="Times New Roman"/>
          <w:color w:val="000000"/>
          <w:spacing w:val="0"/>
          <w:w w:val="100"/>
          <w:position w:val="0"/>
          <w:sz w:val="18"/>
          <w:szCs w:val="18"/>
        </w:rPr>
        <w:t>100%</w:t>
      </w:r>
      <w:r>
        <w:rPr>
          <w:color w:val="000000"/>
          <w:spacing w:val="0"/>
          <w:w w:val="100"/>
          <w:position w:val="0"/>
        </w:rPr>
        <w:t>的股权，收购完成后，鼎富科技与前述业务进行整合，研发、销售等各项资源进行统一调配，利用 鼎富科技在</w:t>
      </w:r>
      <w:r>
        <w:rPr>
          <w:rFonts w:ascii="Times New Roman" w:eastAsia="Times New Roman" w:hAnsi="Times New Roman" w:cs="Times New Roman"/>
          <w:color w:val="000000"/>
          <w:spacing w:val="0"/>
          <w:w w:val="100"/>
          <w:position w:val="0"/>
          <w:sz w:val="18"/>
          <w:szCs w:val="18"/>
        </w:rPr>
        <w:t>AI</w:t>
      </w:r>
      <w:r>
        <w:rPr>
          <w:color w:val="000000"/>
          <w:spacing w:val="0"/>
          <w:w w:val="100"/>
          <w:position w:val="0"/>
        </w:rPr>
        <w:t>领域的技术推动</w:t>
      </w:r>
      <w:r>
        <w:rPr>
          <w:rFonts w:ascii="Times New Roman" w:eastAsia="Times New Roman" w:hAnsi="Times New Roman" w:cs="Times New Roman"/>
          <w:color w:val="000000"/>
          <w:spacing w:val="0"/>
          <w:w w:val="100"/>
          <w:position w:val="0"/>
          <w:sz w:val="18"/>
          <w:szCs w:val="18"/>
        </w:rPr>
        <w:t>ICT</w:t>
      </w:r>
      <w:r>
        <w:rPr>
          <w:color w:val="000000"/>
          <w:spacing w:val="0"/>
          <w:w w:val="100"/>
          <w:position w:val="0"/>
        </w:rPr>
        <w:t>运营管理的技术和产品的升级变革，并将双方技术融合推动新的场景应用（公安领域）的 落地。</w:t>
      </w:r>
    </w:p>
    <w:p>
      <w:pPr>
        <w:pStyle w:val="Style41"/>
        <w:keepNext w:val="0"/>
        <w:keepLines w:val="0"/>
        <w:widowControl w:val="0"/>
        <w:shd w:val="clear" w:color="auto" w:fill="auto"/>
        <w:bidi w:val="0"/>
        <w:spacing w:before="0" w:after="0" w:line="469" w:lineRule="exact"/>
        <w:ind w:left="0" w:right="0"/>
        <w:jc w:val="left"/>
      </w:pPr>
      <w:r>
        <w:rPr>
          <w:color w:val="000000"/>
          <w:spacing w:val="0"/>
          <w:w w:val="100"/>
          <w:position w:val="0"/>
        </w:rPr>
        <w:t>上述业务相互融合，协调发展，密不可分，形成</w:t>
      </w:r>
      <w:r>
        <w:rPr>
          <w:rFonts w:ascii="Times New Roman" w:eastAsia="Times New Roman" w:hAnsi="Times New Roman" w:cs="Times New Roman"/>
          <w:color w:val="000000"/>
          <w:spacing w:val="0"/>
          <w:w w:val="100"/>
          <w:position w:val="0"/>
          <w:sz w:val="18"/>
          <w:szCs w:val="18"/>
        </w:rPr>
        <w:t>AI</w:t>
      </w:r>
      <w:r>
        <w:rPr>
          <w:color w:val="000000"/>
          <w:spacing w:val="0"/>
          <w:w w:val="100"/>
          <w:position w:val="0"/>
        </w:rPr>
        <w:t>与</w:t>
      </w:r>
      <w:r>
        <w:rPr>
          <w:rFonts w:ascii="Times New Roman" w:eastAsia="Times New Roman" w:hAnsi="Times New Roman" w:cs="Times New Roman"/>
          <w:color w:val="000000"/>
          <w:spacing w:val="0"/>
          <w:w w:val="100"/>
          <w:position w:val="0"/>
          <w:sz w:val="18"/>
          <w:szCs w:val="18"/>
        </w:rPr>
        <w:t>ICT</w:t>
      </w:r>
      <w:r>
        <w:rPr>
          <w:color w:val="000000"/>
          <w:spacing w:val="0"/>
          <w:w w:val="100"/>
          <w:position w:val="0"/>
        </w:rPr>
        <w:t>相结合的发展模式，因此将之整体作为一个资产组。</w:t>
      </w:r>
    </w:p>
    <w:p>
      <w:pPr>
        <w:pStyle w:val="Style41"/>
        <w:keepNext w:val="0"/>
        <w:keepLines w:val="0"/>
        <w:widowControl w:val="0"/>
        <w:shd w:val="clear" w:color="auto" w:fill="auto"/>
        <w:bidi w:val="0"/>
        <w:spacing w:before="0" w:after="0" w:line="469" w:lineRule="exact"/>
        <w:ind w:left="0" w:right="0"/>
        <w:jc w:val="both"/>
      </w:pPr>
      <w:r>
        <w:rPr>
          <w:rFonts w:ascii="Times New Roman" w:eastAsia="Times New Roman" w:hAnsi="Times New Roman" w:cs="Times New Roman"/>
          <w:color w:val="000000"/>
          <w:spacing w:val="0"/>
          <w:w w:val="100"/>
          <w:position w:val="0"/>
          <w:sz w:val="18"/>
          <w:szCs w:val="18"/>
        </w:rPr>
        <w:t>AI-ICT</w:t>
      </w:r>
      <w:r>
        <w:rPr>
          <w:color w:val="000000"/>
          <w:spacing w:val="0"/>
          <w:w w:val="100"/>
          <w:position w:val="0"/>
        </w:rPr>
        <w:t>解决方案资产组与商誉相关长期资产包括固定资产、无形资产等，</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年末</w:t>
      </w:r>
      <w:r>
        <w:rPr>
          <w:rFonts w:ascii="Times New Roman" w:eastAsia="Times New Roman" w:hAnsi="Times New Roman" w:cs="Times New Roman"/>
          <w:color w:val="000000"/>
          <w:spacing w:val="0"/>
          <w:w w:val="100"/>
          <w:position w:val="0"/>
          <w:sz w:val="18"/>
          <w:szCs w:val="18"/>
        </w:rPr>
        <w:t>AI-ICT</w:t>
      </w:r>
      <w:r>
        <w:rPr>
          <w:color w:val="000000"/>
          <w:spacing w:val="0"/>
          <w:w w:val="100"/>
          <w:position w:val="0"/>
        </w:rPr>
        <w:t>解决方案资产组商誉的账面价 值为人民币</w:t>
      </w:r>
      <w:r>
        <w:rPr>
          <w:rFonts w:ascii="Times New Roman" w:eastAsia="Times New Roman" w:hAnsi="Times New Roman" w:cs="Times New Roman"/>
          <w:color w:val="000000"/>
          <w:spacing w:val="0"/>
          <w:w w:val="100"/>
          <w:position w:val="0"/>
          <w:sz w:val="18"/>
          <w:szCs w:val="18"/>
        </w:rPr>
        <w:t>39,532.61</w:t>
      </w:r>
      <w:r>
        <w:rPr>
          <w:color w:val="000000"/>
          <w:spacing w:val="0"/>
          <w:w w:val="100"/>
          <w:position w:val="0"/>
        </w:rPr>
        <w:t>万元，资产组账面金额为人民币</w:t>
      </w:r>
      <w:r>
        <w:rPr>
          <w:rFonts w:ascii="Times New Roman" w:eastAsia="Times New Roman" w:hAnsi="Times New Roman" w:cs="Times New Roman"/>
          <w:color w:val="000000"/>
          <w:spacing w:val="0"/>
          <w:w w:val="100"/>
          <w:position w:val="0"/>
          <w:sz w:val="18"/>
          <w:szCs w:val="18"/>
        </w:rPr>
        <w:t>71,127.08</w:t>
      </w:r>
      <w:r>
        <w:rPr>
          <w:color w:val="000000"/>
          <w:spacing w:val="0"/>
          <w:w w:val="100"/>
          <w:position w:val="0"/>
        </w:rPr>
        <w:t>万元（含商誉金额）。可收回金额采用资产组的预计未来现金 流量的现值，根据</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年期的财务预算基础上的现金流量预测来确定。</w:t>
      </w:r>
      <w:r>
        <w:rPr>
          <w:rFonts w:ascii="Times New Roman" w:eastAsia="Times New Roman" w:hAnsi="Times New Roman" w:cs="Times New Roman"/>
          <w:color w:val="000000"/>
          <w:spacing w:val="0"/>
          <w:w w:val="100"/>
          <w:position w:val="0"/>
          <w:sz w:val="18"/>
          <w:szCs w:val="18"/>
        </w:rPr>
        <w:t>AI-ICT</w:t>
      </w:r>
      <w:r>
        <w:rPr>
          <w:color w:val="000000"/>
          <w:spacing w:val="0"/>
          <w:w w:val="100"/>
          <w:position w:val="0"/>
        </w:rPr>
        <w:t>解决方案资产组收入主要来源于相关软件开发及 技术服务收入，公司综合考虑</w:t>
      </w:r>
      <w:r>
        <w:rPr>
          <w:rFonts w:ascii="Times New Roman" w:eastAsia="Times New Roman" w:hAnsi="Times New Roman" w:cs="Times New Roman"/>
          <w:color w:val="000000"/>
          <w:spacing w:val="0"/>
          <w:w w:val="100"/>
          <w:position w:val="0"/>
          <w:sz w:val="18"/>
          <w:szCs w:val="18"/>
        </w:rPr>
        <w:t>AI-ICT</w:t>
      </w:r>
      <w:r>
        <w:rPr>
          <w:color w:val="000000"/>
          <w:spacing w:val="0"/>
          <w:w w:val="100"/>
          <w:position w:val="0"/>
        </w:rPr>
        <w:t>解决方案资产组的业务内容、合同签订情况、未来发展等因素影响，预测该期间内营业 收入增长率为</w:t>
      </w:r>
      <w:r>
        <w:rPr>
          <w:rFonts w:ascii="Times New Roman" w:eastAsia="Times New Roman" w:hAnsi="Times New Roman" w:cs="Times New Roman"/>
          <w:color w:val="000000"/>
          <w:spacing w:val="0"/>
          <w:w w:val="100"/>
          <w:position w:val="0"/>
          <w:sz w:val="18"/>
          <w:szCs w:val="18"/>
        </w:rPr>
        <w:t>-5.60%—13.00%</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AI-ICT</w:t>
      </w:r>
      <w:r>
        <w:rPr>
          <w:color w:val="000000"/>
          <w:spacing w:val="0"/>
          <w:w w:val="100"/>
          <w:position w:val="0"/>
        </w:rPr>
        <w:t>解决方案资产组现金流量预测所用的折现率是</w:t>
      </w:r>
      <w:r>
        <w:rPr>
          <w:rFonts w:ascii="Times New Roman" w:eastAsia="Times New Roman" w:hAnsi="Times New Roman" w:cs="Times New Roman"/>
          <w:color w:val="000000"/>
          <w:spacing w:val="0"/>
          <w:w w:val="100"/>
          <w:position w:val="0"/>
          <w:sz w:val="18"/>
          <w:szCs w:val="18"/>
        </w:rPr>
        <w:t>14.02%</w:t>
      </w:r>
      <w:r>
        <w:rPr>
          <w:color w:val="000000"/>
          <w:spacing w:val="0"/>
          <w:w w:val="100"/>
          <w:position w:val="0"/>
        </w:rPr>
        <w:t>,用于推断</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年以后的</w:t>
      </w:r>
      <w:r>
        <w:rPr>
          <w:rFonts w:ascii="Times New Roman" w:eastAsia="Times New Roman" w:hAnsi="Times New Roman" w:cs="Times New Roman"/>
          <w:color w:val="000000"/>
          <w:spacing w:val="0"/>
          <w:w w:val="100"/>
          <w:position w:val="0"/>
          <w:sz w:val="18"/>
          <w:szCs w:val="18"/>
        </w:rPr>
        <w:t>AI-ICT</w:t>
      </w:r>
      <w:r>
        <w:rPr>
          <w:color w:val="000000"/>
          <w:spacing w:val="0"/>
          <w:w w:val="100"/>
          <w:position w:val="0"/>
        </w:rPr>
        <w:t>解 决方案资产组的现金流量的增长率是</w:t>
      </w:r>
      <w:r>
        <w:rPr>
          <w:rFonts w:ascii="Times New Roman" w:eastAsia="Times New Roman" w:hAnsi="Times New Roman" w:cs="Times New Roman"/>
          <w:color w:val="000000"/>
          <w:spacing w:val="0"/>
          <w:w w:val="100"/>
          <w:position w:val="0"/>
          <w:sz w:val="18"/>
          <w:szCs w:val="18"/>
        </w:rPr>
        <w:t>0%</w:t>
      </w:r>
      <w:r>
        <w:rPr>
          <w:color w:val="000000"/>
          <w:spacing w:val="0"/>
          <w:w w:val="100"/>
          <w:position w:val="0"/>
        </w:rPr>
        <w:t>。经测算预计未来现金流量的现值高于</w:t>
      </w:r>
      <w:r>
        <w:rPr>
          <w:rFonts w:ascii="Times New Roman" w:eastAsia="Times New Roman" w:hAnsi="Times New Roman" w:cs="Times New Roman"/>
          <w:color w:val="000000"/>
          <w:spacing w:val="0"/>
          <w:w w:val="100"/>
          <w:position w:val="0"/>
          <w:sz w:val="18"/>
          <w:szCs w:val="18"/>
        </w:rPr>
        <w:t>AI-ICT</w:t>
      </w:r>
      <w:r>
        <w:rPr>
          <w:color w:val="000000"/>
          <w:spacing w:val="0"/>
          <w:w w:val="100"/>
          <w:position w:val="0"/>
        </w:rPr>
        <w:t>解决方案资产组账面价值，公司认为 本年</w:t>
      </w:r>
      <w:r>
        <w:rPr>
          <w:rFonts w:ascii="Times New Roman" w:eastAsia="Times New Roman" w:hAnsi="Times New Roman" w:cs="Times New Roman"/>
          <w:color w:val="000000"/>
          <w:spacing w:val="0"/>
          <w:w w:val="100"/>
          <w:position w:val="0"/>
          <w:sz w:val="18"/>
          <w:szCs w:val="18"/>
        </w:rPr>
        <w:t>AI-ICT</w:t>
      </w:r>
      <w:r>
        <w:rPr>
          <w:color w:val="000000"/>
          <w:spacing w:val="0"/>
          <w:w w:val="100"/>
          <w:position w:val="0"/>
        </w:rPr>
        <w:t>解决方案资产组的商誉不存在减值。</w:t>
      </w:r>
    </w:p>
    <w:p>
      <w:pPr>
        <w:pStyle w:val="Style41"/>
        <w:keepNext w:val="0"/>
        <w:keepLines w:val="0"/>
        <w:widowControl w:val="0"/>
        <w:shd w:val="clear" w:color="auto" w:fill="auto"/>
        <w:tabs>
          <w:tab w:pos="765" w:val="left"/>
        </w:tabs>
        <w:bidi w:val="0"/>
        <w:spacing w:before="0" w:after="0" w:line="469" w:lineRule="exact"/>
        <w:ind w:left="0" w:right="0"/>
        <w:jc w:val="both"/>
      </w:pPr>
      <w:bookmarkStart w:id="1497" w:name="bookmark1497"/>
      <w:r>
        <w:rPr>
          <w:color w:val="000000"/>
          <w:spacing w:val="0"/>
          <w:w w:val="100"/>
          <w:position w:val="0"/>
        </w:rPr>
        <w:t>（</w:t>
      </w:r>
      <w:bookmarkEnd w:id="1497"/>
      <w:r>
        <w:rPr>
          <w:rFonts w:ascii="Times New Roman" w:eastAsia="Times New Roman" w:hAnsi="Times New Roman" w:cs="Times New Roman"/>
          <w:color w:val="000000"/>
          <w:spacing w:val="0"/>
          <w:w w:val="100"/>
          <w:position w:val="0"/>
          <w:sz w:val="18"/>
          <w:szCs w:val="18"/>
        </w:rPr>
        <w:t>3</w:t>
      </w:r>
      <w:r>
        <w:rPr>
          <w:color w:val="000000"/>
          <w:spacing w:val="0"/>
          <w:w w:val="100"/>
          <w:position w:val="0"/>
        </w:rPr>
        <w:t>）</w:t>
        <w:tab/>
        <w:t>互联网运营资产组商誉</w:t>
      </w:r>
    </w:p>
    <w:p>
      <w:pPr>
        <w:pStyle w:val="Style41"/>
        <w:keepNext w:val="0"/>
        <w:keepLines w:val="0"/>
        <w:widowControl w:val="0"/>
        <w:shd w:val="clear" w:color="auto" w:fill="auto"/>
        <w:bidi w:val="0"/>
        <w:spacing w:before="0" w:after="0" w:line="469" w:lineRule="exact"/>
        <w:ind w:left="0" w:right="0"/>
        <w:jc w:val="both"/>
      </w:pPr>
      <w:r>
        <w:rPr>
          <w:color w:val="000000"/>
          <w:spacing w:val="0"/>
          <w:w w:val="100"/>
          <w:position w:val="0"/>
        </w:rPr>
        <w:t>北京广通神州网络技术有限公司（简称</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广通神州</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）成立于</w:t>
      </w:r>
      <w:r>
        <w:rPr>
          <w:rFonts w:ascii="Times New Roman" w:eastAsia="Times New Roman" w:hAnsi="Times New Roman" w:cs="Times New Roman"/>
          <w:color w:val="000000"/>
          <w:spacing w:val="0"/>
          <w:w w:val="100"/>
          <w:position w:val="0"/>
          <w:sz w:val="18"/>
          <w:szCs w:val="18"/>
        </w:rPr>
        <w:t>2005</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年公司收购广通神州全部股权。广通神州主要 面向电信运营商提供平台研发、客户端应用研发、运营服务、精准营销等综合性解决方案。北京新媒传信科技有限公司（简 称</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新媒传信</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）成立于</w:t>
      </w:r>
      <w:r>
        <w:rPr>
          <w:rFonts w:ascii="Times New Roman" w:eastAsia="Times New Roman" w:hAnsi="Times New Roman" w:cs="Times New Roman"/>
          <w:color w:val="000000"/>
          <w:spacing w:val="0"/>
          <w:w w:val="100"/>
          <w:position w:val="0"/>
          <w:sz w:val="18"/>
          <w:szCs w:val="18"/>
        </w:rPr>
        <w:t>2007</w:t>
      </w:r>
      <w:r>
        <w:rPr>
          <w:color w:val="000000"/>
          <w:spacing w:val="0"/>
          <w:w w:val="100"/>
          <w:position w:val="0"/>
        </w:rPr>
        <w:t>年，为公司的全资子公司。广通神州与新媒传信主要客户相同，定位与业务相似，两者同属互联 网开发、运营类业务；双方人员、业务合并运营，融合发展、优势互补、资源复用，可以提升公司整体在互联网运营支撑领 域的行业竞争力。公司定期针对上述经营活动做整体评价，并据此统一资源配置，因此将互联网运营业务作为一个资产组。</w:t>
      </w:r>
    </w:p>
    <w:p>
      <w:pPr>
        <w:pStyle w:val="Style41"/>
        <w:keepNext w:val="0"/>
        <w:keepLines w:val="0"/>
        <w:widowControl w:val="0"/>
        <w:shd w:val="clear" w:color="auto" w:fill="auto"/>
        <w:bidi w:val="0"/>
        <w:spacing w:before="0" w:after="0" w:line="469" w:lineRule="exact"/>
        <w:ind w:left="0" w:right="0"/>
        <w:jc w:val="both"/>
      </w:pPr>
      <w:r>
        <w:rPr>
          <w:color w:val="000000"/>
          <w:spacing w:val="0"/>
          <w:w w:val="100"/>
          <w:position w:val="0"/>
        </w:rPr>
        <w:t>互联网运营资产组与商誉相关长期资产包括固定资产、无形资产等，</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年末互联网运营资产组商誉的账面价值为人民 币</w:t>
      </w:r>
      <w:r>
        <w:rPr>
          <w:rFonts w:ascii="Times New Roman" w:eastAsia="Times New Roman" w:hAnsi="Times New Roman" w:cs="Times New Roman"/>
          <w:color w:val="000000"/>
          <w:spacing w:val="0"/>
          <w:w w:val="100"/>
          <w:position w:val="0"/>
          <w:sz w:val="18"/>
          <w:szCs w:val="18"/>
        </w:rPr>
        <w:t>374.51</w:t>
      </w:r>
      <w:r>
        <w:rPr>
          <w:color w:val="000000"/>
          <w:spacing w:val="0"/>
          <w:w w:val="100"/>
          <w:position w:val="0"/>
        </w:rPr>
        <w:t>万元，资产组账面金额为人民币</w:t>
      </w:r>
      <w:r>
        <w:rPr>
          <w:rFonts w:ascii="Times New Roman" w:eastAsia="Times New Roman" w:hAnsi="Times New Roman" w:cs="Times New Roman"/>
          <w:color w:val="000000"/>
          <w:spacing w:val="0"/>
          <w:w w:val="100"/>
          <w:position w:val="0"/>
          <w:sz w:val="18"/>
          <w:szCs w:val="18"/>
        </w:rPr>
        <w:t>5,292.54</w:t>
      </w:r>
      <w:r>
        <w:rPr>
          <w:color w:val="000000"/>
          <w:spacing w:val="0"/>
          <w:w w:val="100"/>
          <w:position w:val="0"/>
        </w:rPr>
        <w:t>万元（含商誉金额）。可收回金额采用资产组的预计未来现金流量的现值, 根据</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年期的财务预算基础上的现金流量预测来确定。互联网运营资产组收入主要来源于中国移动互联网业务，本公司综合 考虑互联网运营资产组的业务内容、合同签订情况、发展前景等因素影响，预测该期间内营业收入增长率为</w:t>
      </w:r>
      <w:r>
        <w:rPr>
          <w:rFonts w:ascii="Times New Roman" w:eastAsia="Times New Roman" w:hAnsi="Times New Roman" w:cs="Times New Roman"/>
          <w:color w:val="000000"/>
          <w:spacing w:val="0"/>
          <w:w w:val="100"/>
          <w:position w:val="0"/>
          <w:sz w:val="18"/>
          <w:szCs w:val="18"/>
        </w:rPr>
        <w:t>6.00%—15.21%</w:t>
      </w:r>
      <w:r>
        <w:rPr>
          <w:color w:val="000000"/>
          <w:spacing w:val="0"/>
          <w:w w:val="100"/>
          <w:position w:val="0"/>
        </w:rPr>
        <w:t>。 互联网运营资产组现金流量预测所用的折现率是</w:t>
      </w:r>
      <w:r>
        <w:rPr>
          <w:rFonts w:ascii="Times New Roman" w:eastAsia="Times New Roman" w:hAnsi="Times New Roman" w:cs="Times New Roman"/>
          <w:color w:val="000000"/>
          <w:spacing w:val="0"/>
          <w:w w:val="100"/>
          <w:position w:val="0"/>
          <w:sz w:val="18"/>
          <w:szCs w:val="18"/>
        </w:rPr>
        <w:t>15.00%</w:t>
      </w:r>
      <w:r>
        <w:rPr>
          <w:color w:val="000000"/>
          <w:spacing w:val="0"/>
          <w:w w:val="100"/>
          <w:position w:val="0"/>
        </w:rPr>
        <w:t>，用于推断</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年以后的互联网运营资产组的现金流量的增长率是</w:t>
      </w:r>
      <w:r>
        <w:rPr>
          <w:rFonts w:ascii="Times New Roman" w:eastAsia="Times New Roman" w:hAnsi="Times New Roman" w:cs="Times New Roman"/>
          <w:color w:val="000000"/>
          <w:spacing w:val="0"/>
          <w:w w:val="100"/>
          <w:position w:val="0"/>
          <w:sz w:val="18"/>
          <w:szCs w:val="18"/>
        </w:rPr>
        <w:t>0%</w:t>
      </w:r>
      <w:r>
        <w:rPr>
          <w:color w:val="000000"/>
          <w:spacing w:val="0"/>
          <w:w w:val="100"/>
          <w:position w:val="0"/>
        </w:rPr>
        <w:t>。 经测算预计未来现金流量的现值高于互联网运营资产组账面价值，公司认为本年互联网运营资产组的商誉不存在减值。</w:t>
      </w:r>
    </w:p>
    <w:p>
      <w:pPr>
        <w:pStyle w:val="Style41"/>
        <w:keepNext w:val="0"/>
        <w:keepLines w:val="0"/>
        <w:widowControl w:val="0"/>
        <w:shd w:val="clear" w:color="auto" w:fill="auto"/>
        <w:tabs>
          <w:tab w:pos="765" w:val="left"/>
        </w:tabs>
        <w:bidi w:val="0"/>
        <w:spacing w:before="0" w:after="0" w:line="469" w:lineRule="exact"/>
        <w:ind w:left="0" w:right="0"/>
        <w:jc w:val="both"/>
      </w:pPr>
      <w:bookmarkStart w:id="1498" w:name="bookmark1498"/>
      <w:r>
        <w:rPr>
          <w:color w:val="000000"/>
          <w:spacing w:val="0"/>
          <w:w w:val="100"/>
          <w:position w:val="0"/>
        </w:rPr>
        <w:t>（</w:t>
      </w:r>
      <w:bookmarkEnd w:id="1498"/>
      <w:r>
        <w:rPr>
          <w:rFonts w:ascii="Times New Roman" w:eastAsia="Times New Roman" w:hAnsi="Times New Roman" w:cs="Times New Roman"/>
          <w:color w:val="000000"/>
          <w:spacing w:val="0"/>
          <w:w w:val="100"/>
          <w:position w:val="0"/>
          <w:sz w:val="18"/>
          <w:szCs w:val="18"/>
        </w:rPr>
        <w:t>4</w:t>
      </w:r>
      <w:r>
        <w:rPr>
          <w:color w:val="000000"/>
          <w:spacing w:val="0"/>
          <w:w w:val="100"/>
          <w:position w:val="0"/>
        </w:rPr>
        <w:t>）</w:t>
        <w:tab/>
        <w:t>物联网资产组商誉</w:t>
      </w:r>
    </w:p>
    <w:p>
      <w:pPr>
        <w:pStyle w:val="Style41"/>
        <w:keepNext w:val="0"/>
        <w:keepLines w:val="0"/>
        <w:widowControl w:val="0"/>
        <w:shd w:val="clear" w:color="auto" w:fill="auto"/>
        <w:bidi w:val="0"/>
        <w:spacing w:before="0" w:after="0" w:line="469" w:lineRule="exact"/>
        <w:ind w:left="0" w:right="0"/>
        <w:jc w:val="both"/>
      </w:pPr>
      <w:r>
        <w:rPr>
          <w:color w:val="000000"/>
          <w:spacing w:val="0"/>
          <w:w w:val="100"/>
          <w:position w:val="0"/>
        </w:rPr>
        <w:t>奇点新源国际技术开发（北京）有限公司（简称</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奇点新源</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）成立于</w:t>
      </w:r>
      <w:r>
        <w:rPr>
          <w:rFonts w:ascii="Times New Roman" w:eastAsia="Times New Roman" w:hAnsi="Times New Roman" w:cs="Times New Roman"/>
          <w:color w:val="000000"/>
          <w:spacing w:val="0"/>
          <w:w w:val="100"/>
          <w:position w:val="0"/>
          <w:sz w:val="18"/>
          <w:szCs w:val="18"/>
        </w:rPr>
        <w:t>2010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月，公司于</w:t>
      </w:r>
      <w:r>
        <w:rPr>
          <w:rFonts w:ascii="Times New Roman" w:eastAsia="Times New Roman" w:hAnsi="Times New Roman" w:cs="Times New Roman"/>
          <w:color w:val="000000"/>
          <w:spacing w:val="0"/>
          <w:w w:val="100"/>
          <w:position w:val="0"/>
          <w:sz w:val="18"/>
          <w:szCs w:val="18"/>
        </w:rPr>
        <w:t>2011</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8</w:t>
      </w:r>
      <w:r>
        <w:rPr>
          <w:color w:val="000000"/>
          <w:spacing w:val="0"/>
          <w:w w:val="100"/>
          <w:position w:val="0"/>
        </w:rPr>
        <w:t>月收购奇点新源股权， 成为其控股股东，</w:t>
      </w:r>
      <w:r>
        <w:rPr>
          <w:rFonts w:ascii="Times New Roman" w:eastAsia="Times New Roman" w:hAnsi="Times New Roman" w:cs="Times New Roman"/>
          <w:color w:val="000000"/>
          <w:spacing w:val="0"/>
          <w:w w:val="100"/>
          <w:position w:val="0"/>
          <w:sz w:val="18"/>
          <w:szCs w:val="18"/>
        </w:rPr>
        <w:t>2019</w:t>
      </w:r>
      <w:r>
        <w:rPr>
          <w:color w:val="000000"/>
          <w:spacing w:val="0"/>
          <w:w w:val="100"/>
          <w:position w:val="0"/>
        </w:rPr>
        <w:t>年回购少数股东部分股权后，持股比例上升至</w:t>
      </w:r>
      <w:r>
        <w:rPr>
          <w:rFonts w:ascii="Times New Roman" w:eastAsia="Times New Roman" w:hAnsi="Times New Roman" w:cs="Times New Roman"/>
          <w:color w:val="000000"/>
          <w:spacing w:val="0"/>
          <w:w w:val="100"/>
          <w:position w:val="0"/>
          <w:sz w:val="18"/>
          <w:szCs w:val="18"/>
        </w:rPr>
        <w:t>76.88%</w:t>
      </w:r>
      <w:r>
        <w:rPr>
          <w:color w:val="000000"/>
          <w:spacing w:val="0"/>
          <w:w w:val="100"/>
          <w:position w:val="0"/>
        </w:rPr>
        <w:t>。奇点新源是物联网资产组的研发和生产主体， 公司自</w:t>
      </w:r>
      <w:r>
        <w:rPr>
          <w:rFonts w:ascii="Times New Roman" w:eastAsia="Times New Roman" w:hAnsi="Times New Roman" w:cs="Times New Roman"/>
          <w:color w:val="000000"/>
          <w:spacing w:val="0"/>
          <w:w w:val="100"/>
          <w:position w:val="0"/>
          <w:sz w:val="18"/>
          <w:szCs w:val="18"/>
        </w:rPr>
        <w:t>2017</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4</w:t>
      </w:r>
      <w:r>
        <w:rPr>
          <w:color w:val="000000"/>
          <w:spacing w:val="0"/>
          <w:w w:val="100"/>
          <w:position w:val="0"/>
        </w:rPr>
        <w:t>月陆续成立了北京慧联神州科技有限公司、北京泰岳睿安科技有限公司、神州智核信息技术有限公司、北京 神州泰核物联网技术有限公司、北京泰岳宏光科技发展有限公司、新疆神州泰岳智能科技有限公司，分别定位于推动公司物</w:t>
      </w:r>
    </w:p>
    <w:p>
      <w:pPr>
        <w:pStyle w:val="Style212"/>
        <w:keepNext w:val="0"/>
        <w:keepLines w:val="0"/>
        <w:widowControl w:val="0"/>
        <w:shd w:val="clear" w:color="auto" w:fill="auto"/>
        <w:bidi w:val="0"/>
        <w:spacing w:before="0" w:after="0" w:line="240" w:lineRule="auto"/>
        <w:ind w:left="0" w:right="0" w:firstLine="0"/>
        <w:jc w:val="left"/>
      </w:pPr>
      <w:r>
        <w:rPr>
          <w:spacing w:val="0"/>
          <w:w w:val="100"/>
          <w:position w:val="0"/>
        </w:rPr>
        <w:t>Ultrapoiuer</w:t>
      </w:r>
    </w:p>
    <w:p>
      <w:pPr>
        <w:pStyle w:val="Style41"/>
        <w:keepNext w:val="0"/>
        <w:keepLines w:val="0"/>
        <w:widowControl w:val="0"/>
        <w:pBdr>
          <w:top w:val="single" w:sz="4" w:space="0" w:color="auto"/>
        </w:pBdr>
        <w:shd w:val="clear" w:color="auto" w:fill="auto"/>
        <w:bidi w:val="0"/>
        <w:spacing w:before="0" w:after="0" w:line="467" w:lineRule="exact"/>
        <w:ind w:left="0" w:right="0" w:firstLine="820"/>
        <w:jc w:val="both"/>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 联网</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通讯领域的应用产品在机场、监狱、高铁、核电等方向的项目落地。各方实质上属于同一业务项下的不同角色分工， 相互依托，共同推进业务发展，应当认定为商誉相关的资产组进行商誉减值测试。本公司定期针对上述经营活动做整体评价， 并据此进行统一资源配置，因此将物联网资产整体作为一个资产组。</w:t>
      </w:r>
    </w:p>
    <w:p>
      <w:pPr>
        <w:pStyle w:val="Style41"/>
        <w:keepNext w:val="0"/>
        <w:keepLines w:val="0"/>
        <w:widowControl w:val="0"/>
        <w:shd w:val="clear" w:color="auto" w:fill="auto"/>
        <w:bidi w:val="0"/>
        <w:spacing w:before="0" w:after="0" w:line="467" w:lineRule="exact"/>
        <w:ind w:left="0" w:right="0"/>
        <w:jc w:val="both"/>
      </w:pPr>
      <w:r>
        <w:rPr>
          <w:color w:val="000000"/>
          <w:spacing w:val="0"/>
          <w:w w:val="100"/>
          <w:position w:val="0"/>
        </w:rPr>
        <w:t>物联网资产组与商誉相关长期资产包括固定资产、无形资产等,</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年末物联网资产组商誉的账面价值为人民币</w:t>
      </w:r>
      <w:r>
        <w:rPr>
          <w:rFonts w:ascii="Times New Roman" w:eastAsia="Times New Roman" w:hAnsi="Times New Roman" w:cs="Times New Roman"/>
          <w:color w:val="000000"/>
          <w:spacing w:val="0"/>
          <w:w w:val="100"/>
          <w:position w:val="0"/>
          <w:sz w:val="18"/>
          <w:szCs w:val="18"/>
        </w:rPr>
        <w:t xml:space="preserve">1,315.69 </w:t>
      </w:r>
      <w:r>
        <w:rPr>
          <w:color w:val="000000"/>
          <w:spacing w:val="0"/>
          <w:w w:val="100"/>
          <w:position w:val="0"/>
        </w:rPr>
        <w:t>万元，资产组账面金额为人民币</w:t>
      </w:r>
      <w:r>
        <w:rPr>
          <w:rFonts w:ascii="Times New Roman" w:eastAsia="Times New Roman" w:hAnsi="Times New Roman" w:cs="Times New Roman"/>
          <w:color w:val="000000"/>
          <w:spacing w:val="0"/>
          <w:w w:val="100"/>
          <w:position w:val="0"/>
          <w:sz w:val="18"/>
          <w:szCs w:val="18"/>
        </w:rPr>
        <w:t>11,463.11</w:t>
      </w:r>
      <w:r>
        <w:rPr>
          <w:color w:val="000000"/>
          <w:spacing w:val="0"/>
          <w:w w:val="100"/>
          <w:position w:val="0"/>
        </w:rPr>
        <w:t>万元（含商誉金额以及未确认的归属于少数股东的商誉金额）。可收回金额采用资 产组的预计未来现金流量的现值，根据</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年期的财务预算基础上的现金流量预测来确定。物联网资产组收入主要来源于智慧 线产品销售业务，本公司综合考虑物联网资产组的业务内容、合同签订情况、发展前景等因素影响，预测该期间内营业收入 增长率为</w:t>
      </w:r>
      <w:r>
        <w:rPr>
          <w:rFonts w:ascii="Times New Roman" w:eastAsia="Times New Roman" w:hAnsi="Times New Roman" w:cs="Times New Roman"/>
          <w:color w:val="000000"/>
          <w:spacing w:val="0"/>
          <w:w w:val="100"/>
          <w:position w:val="0"/>
          <w:sz w:val="18"/>
          <w:szCs w:val="18"/>
        </w:rPr>
        <w:t>14.13%—437.55%</w:t>
      </w:r>
      <w:r>
        <w:rPr>
          <w:color w:val="000000"/>
          <w:spacing w:val="0"/>
          <w:w w:val="100"/>
          <w:position w:val="0"/>
        </w:rPr>
        <w:t>。物联网资产组现金流量预测所用的折现率是</w:t>
      </w:r>
      <w:r>
        <w:rPr>
          <w:rFonts w:ascii="Times New Roman" w:eastAsia="Times New Roman" w:hAnsi="Times New Roman" w:cs="Times New Roman"/>
          <w:color w:val="000000"/>
          <w:spacing w:val="0"/>
          <w:w w:val="100"/>
          <w:position w:val="0"/>
          <w:sz w:val="18"/>
          <w:szCs w:val="18"/>
        </w:rPr>
        <w:t>15.27%</w:t>
      </w:r>
      <w:r>
        <w:rPr>
          <w:color w:val="000000"/>
          <w:spacing w:val="0"/>
          <w:w w:val="100"/>
          <w:position w:val="0"/>
        </w:rPr>
        <w:t>,用于推断</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年以后的物联网资产组的现金 流量的增长率是</w:t>
      </w:r>
      <w:r>
        <w:rPr>
          <w:rFonts w:ascii="Times New Roman" w:eastAsia="Times New Roman" w:hAnsi="Times New Roman" w:cs="Times New Roman"/>
          <w:color w:val="000000"/>
          <w:spacing w:val="0"/>
          <w:w w:val="100"/>
          <w:position w:val="0"/>
          <w:sz w:val="18"/>
          <w:szCs w:val="18"/>
        </w:rPr>
        <w:t>0%</w:t>
      </w:r>
      <w:r>
        <w:rPr>
          <w:color w:val="000000"/>
          <w:spacing w:val="0"/>
          <w:w w:val="100"/>
          <w:position w:val="0"/>
        </w:rPr>
        <w:t>。经测算预计未来现金流量的现值高于物联网资产组账面价值，公司认为本年物联网资产组的商誉不存 在减值。</w:t>
      </w:r>
    </w:p>
    <w:p>
      <w:pPr>
        <w:pStyle w:val="Style41"/>
        <w:keepNext w:val="0"/>
        <w:keepLines w:val="0"/>
        <w:widowControl w:val="0"/>
        <w:shd w:val="clear" w:color="auto" w:fill="auto"/>
        <w:tabs>
          <w:tab w:pos="765" w:val="left"/>
        </w:tabs>
        <w:bidi w:val="0"/>
        <w:spacing w:before="0" w:after="0" w:line="467" w:lineRule="exact"/>
        <w:ind w:left="0" w:right="0"/>
        <w:jc w:val="both"/>
      </w:pPr>
      <w:bookmarkStart w:id="1499" w:name="bookmark1499"/>
      <w:r>
        <w:rPr>
          <w:color w:val="000000"/>
          <w:spacing w:val="0"/>
          <w:w w:val="100"/>
          <w:position w:val="0"/>
        </w:rPr>
        <w:t>（</w:t>
      </w:r>
      <w:bookmarkEnd w:id="1499"/>
      <w:r>
        <w:rPr>
          <w:rFonts w:ascii="Times New Roman" w:eastAsia="Times New Roman" w:hAnsi="Times New Roman" w:cs="Times New Roman"/>
          <w:color w:val="000000"/>
          <w:spacing w:val="0"/>
          <w:w w:val="100"/>
          <w:position w:val="0"/>
          <w:sz w:val="18"/>
          <w:szCs w:val="18"/>
        </w:rPr>
        <w:t>5</w:t>
      </w:r>
      <w:r>
        <w:rPr>
          <w:color w:val="000000"/>
          <w:spacing w:val="0"/>
          <w:w w:val="100"/>
          <w:position w:val="0"/>
        </w:rPr>
        <w:t>）</w:t>
        <w:tab/>
        <w:t>拨测业务资产组商誉</w:t>
      </w:r>
    </w:p>
    <w:p>
      <w:pPr>
        <w:pStyle w:val="Style41"/>
        <w:keepNext w:val="0"/>
        <w:keepLines w:val="0"/>
        <w:widowControl w:val="0"/>
        <w:shd w:val="clear" w:color="auto" w:fill="auto"/>
        <w:bidi w:val="0"/>
        <w:spacing w:before="0" w:after="0" w:line="467" w:lineRule="exact"/>
        <w:ind w:left="0" w:right="0"/>
        <w:jc w:val="both"/>
      </w:pPr>
      <w:r>
        <w:rPr>
          <w:rFonts w:ascii="Times New Roman" w:eastAsia="Times New Roman" w:hAnsi="Times New Roman" w:cs="Times New Roman"/>
          <w:color w:val="000000"/>
          <w:spacing w:val="0"/>
          <w:w w:val="100"/>
          <w:position w:val="0"/>
          <w:sz w:val="18"/>
          <w:szCs w:val="18"/>
        </w:rPr>
        <w:t>2001</w:t>
      </w:r>
      <w:r>
        <w:rPr>
          <w:color w:val="000000"/>
          <w:spacing w:val="0"/>
          <w:w w:val="100"/>
          <w:position w:val="0"/>
        </w:rPr>
        <w:t>年宁波普天通信技术有限公司（简称</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宁波普天</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）成立，</w:t>
      </w:r>
      <w:r>
        <w:rPr>
          <w:rFonts w:ascii="Times New Roman" w:eastAsia="Times New Roman" w:hAnsi="Times New Roman" w:cs="Times New Roman"/>
          <w:color w:val="000000"/>
          <w:spacing w:val="0"/>
          <w:w w:val="100"/>
          <w:position w:val="0"/>
          <w:sz w:val="18"/>
          <w:szCs w:val="18"/>
        </w:rPr>
        <w:t>2011</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7</w:t>
      </w:r>
      <w:r>
        <w:rPr>
          <w:color w:val="000000"/>
          <w:spacing w:val="0"/>
          <w:w w:val="100"/>
          <w:position w:val="0"/>
        </w:rPr>
        <w:t>月公司收购宁波普天全部股权。该公司主要为中 国移动等客户提供移动网络测评优化服务。公司定期针对上述经营活动做整体评价，并据此资源配置，因此将拨测业务资产 整体作为一个资产组。</w:t>
      </w:r>
    </w:p>
    <w:p>
      <w:pPr>
        <w:pStyle w:val="Style41"/>
        <w:keepNext w:val="0"/>
        <w:keepLines w:val="0"/>
        <w:widowControl w:val="0"/>
        <w:shd w:val="clear" w:color="auto" w:fill="auto"/>
        <w:bidi w:val="0"/>
        <w:spacing w:before="0" w:after="0" w:line="467" w:lineRule="exact"/>
        <w:ind w:left="0" w:right="0"/>
        <w:jc w:val="both"/>
      </w:pPr>
      <w:r>
        <w:rPr>
          <w:color w:val="000000"/>
          <w:spacing w:val="0"/>
          <w:w w:val="100"/>
          <w:position w:val="0"/>
        </w:rPr>
        <w:t>拨测业务资产组与商誉相关长期资产包括固定资产、无形资产等，</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 xml:space="preserve">年末拨测业务资产组商誉的账面价值为人民币 </w:t>
      </w:r>
      <w:r>
        <w:rPr>
          <w:rFonts w:ascii="Times New Roman" w:eastAsia="Times New Roman" w:hAnsi="Times New Roman" w:cs="Times New Roman"/>
          <w:color w:val="000000"/>
          <w:spacing w:val="0"/>
          <w:w w:val="100"/>
          <w:position w:val="0"/>
          <w:sz w:val="18"/>
          <w:szCs w:val="18"/>
        </w:rPr>
        <w:t>776.72</w:t>
      </w:r>
      <w:r>
        <w:rPr>
          <w:color w:val="000000"/>
          <w:spacing w:val="0"/>
          <w:w w:val="100"/>
          <w:position w:val="0"/>
        </w:rPr>
        <w:t>万元，资产组账面金额为人民币</w:t>
      </w:r>
      <w:r>
        <w:rPr>
          <w:rFonts w:ascii="Times New Roman" w:eastAsia="Times New Roman" w:hAnsi="Times New Roman" w:cs="Times New Roman"/>
          <w:color w:val="000000"/>
          <w:spacing w:val="0"/>
          <w:w w:val="100"/>
          <w:position w:val="0"/>
          <w:sz w:val="18"/>
          <w:szCs w:val="18"/>
        </w:rPr>
        <w:t>4,853.52</w:t>
      </w:r>
      <w:r>
        <w:rPr>
          <w:color w:val="000000"/>
          <w:spacing w:val="0"/>
          <w:w w:val="100"/>
          <w:position w:val="0"/>
        </w:rPr>
        <w:t>万元（含商誉金额）。可收回金额采用资产组的预计未来现金流量的现值， 根据</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 xml:space="preserve">年期的财务预算基础上的现金流量预测来确定。拨测业务资产组收入主要来源于与拨测业务相关的技术服务及软硬件 部署，公司综合考虑拨测业务资产组的业务内容、合同签订情况、发展前景等因素影响，预测该期间内营业收入增长率为 </w:t>
      </w:r>
      <w:r>
        <w:rPr>
          <w:rFonts w:ascii="Times New Roman" w:eastAsia="Times New Roman" w:hAnsi="Times New Roman" w:cs="Times New Roman"/>
          <w:color w:val="000000"/>
          <w:spacing w:val="0"/>
          <w:w w:val="100"/>
          <w:position w:val="0"/>
          <w:sz w:val="18"/>
          <w:szCs w:val="18"/>
        </w:rPr>
        <w:t>-28.82%—39.79%</w:t>
      </w:r>
      <w:r>
        <w:rPr>
          <w:color w:val="000000"/>
          <w:spacing w:val="0"/>
          <w:w w:val="100"/>
          <w:position w:val="0"/>
        </w:rPr>
        <w:t>。拨测业务资产组现金流量预测所用的折现率是</w:t>
      </w:r>
      <w:r>
        <w:rPr>
          <w:rFonts w:ascii="Times New Roman" w:eastAsia="Times New Roman" w:hAnsi="Times New Roman" w:cs="Times New Roman"/>
          <w:color w:val="000000"/>
          <w:spacing w:val="0"/>
          <w:w w:val="100"/>
          <w:position w:val="0"/>
          <w:sz w:val="18"/>
          <w:szCs w:val="18"/>
        </w:rPr>
        <w:t>14.36%</w:t>
      </w:r>
      <w:r>
        <w:rPr>
          <w:color w:val="000000"/>
          <w:spacing w:val="0"/>
          <w:w w:val="100"/>
          <w:position w:val="0"/>
        </w:rPr>
        <w:t>，用于推断</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年以后的拨测业务资产组的现金流量 的增长率是</w:t>
      </w:r>
      <w:r>
        <w:rPr>
          <w:rFonts w:ascii="Times New Roman" w:eastAsia="Times New Roman" w:hAnsi="Times New Roman" w:cs="Times New Roman"/>
          <w:color w:val="000000"/>
          <w:spacing w:val="0"/>
          <w:w w:val="100"/>
          <w:position w:val="0"/>
          <w:sz w:val="18"/>
          <w:szCs w:val="18"/>
        </w:rPr>
        <w:t>0%</w:t>
      </w:r>
      <w:r>
        <w:rPr>
          <w:color w:val="000000"/>
          <w:spacing w:val="0"/>
          <w:w w:val="100"/>
          <w:position w:val="0"/>
        </w:rPr>
        <w:t>。经测算预计未来现金流量的现值高于拨测业务资产组账面价值，公司认为本年拨测业务资产组的商誉不存 在减值。</w:t>
      </w:r>
    </w:p>
    <w:p>
      <w:pPr>
        <w:pStyle w:val="Style41"/>
        <w:keepNext w:val="0"/>
        <w:keepLines w:val="0"/>
        <w:widowControl w:val="0"/>
        <w:shd w:val="clear" w:color="auto" w:fill="auto"/>
        <w:tabs>
          <w:tab w:pos="765" w:val="left"/>
        </w:tabs>
        <w:bidi w:val="0"/>
        <w:spacing w:before="0" w:after="0" w:line="467" w:lineRule="exact"/>
        <w:ind w:left="0" w:right="0"/>
        <w:jc w:val="both"/>
      </w:pPr>
      <w:bookmarkStart w:id="1500" w:name="bookmark1500"/>
      <w:r>
        <w:rPr>
          <w:color w:val="000000"/>
          <w:spacing w:val="0"/>
          <w:w w:val="100"/>
          <w:position w:val="0"/>
        </w:rPr>
        <w:t>（</w:t>
      </w:r>
      <w:bookmarkEnd w:id="1500"/>
      <w:r>
        <w:rPr>
          <w:rFonts w:ascii="Times New Roman" w:eastAsia="Times New Roman" w:hAnsi="Times New Roman" w:cs="Times New Roman"/>
          <w:color w:val="000000"/>
          <w:spacing w:val="0"/>
          <w:w w:val="100"/>
          <w:position w:val="0"/>
          <w:sz w:val="18"/>
          <w:szCs w:val="18"/>
        </w:rPr>
        <w:t>6</w:t>
      </w:r>
      <w:r>
        <w:rPr>
          <w:color w:val="000000"/>
          <w:spacing w:val="0"/>
          <w:w w:val="100"/>
          <w:position w:val="0"/>
        </w:rPr>
        <w:t>）</w:t>
        <w:tab/>
        <w:t>自动化设备资产组商誉</w:t>
      </w:r>
    </w:p>
    <w:p>
      <w:pPr>
        <w:pStyle w:val="Style41"/>
        <w:keepNext w:val="0"/>
        <w:keepLines w:val="0"/>
        <w:widowControl w:val="0"/>
        <w:shd w:val="clear" w:color="auto" w:fill="auto"/>
        <w:bidi w:val="0"/>
        <w:spacing w:before="0" w:after="0" w:line="467" w:lineRule="exact"/>
        <w:ind w:left="0" w:right="0"/>
        <w:jc w:val="both"/>
      </w:pPr>
      <w:r>
        <w:rPr>
          <w:color w:val="000000"/>
          <w:spacing w:val="0"/>
          <w:w w:val="100"/>
          <w:position w:val="0"/>
        </w:rPr>
        <w:t>宁波捷远科技有限公司（以下简称</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宁波捷远</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）成立于</w:t>
      </w:r>
      <w:r>
        <w:rPr>
          <w:rFonts w:ascii="Times New Roman" w:eastAsia="Times New Roman" w:hAnsi="Times New Roman" w:cs="Times New Roman"/>
          <w:color w:val="000000"/>
          <w:spacing w:val="0"/>
          <w:w w:val="100"/>
          <w:position w:val="0"/>
          <w:sz w:val="18"/>
          <w:szCs w:val="18"/>
        </w:rPr>
        <w:t>2010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月，公司通过持股</w:t>
      </w:r>
      <w:r>
        <w:rPr>
          <w:rFonts w:ascii="Times New Roman" w:eastAsia="Times New Roman" w:hAnsi="Times New Roman" w:cs="Times New Roman"/>
          <w:color w:val="000000"/>
          <w:spacing w:val="0"/>
          <w:w w:val="100"/>
          <w:position w:val="0"/>
          <w:sz w:val="18"/>
          <w:szCs w:val="18"/>
        </w:rPr>
        <w:t>65%</w:t>
      </w:r>
      <w:r>
        <w:rPr>
          <w:color w:val="000000"/>
          <w:spacing w:val="0"/>
          <w:w w:val="100"/>
          <w:position w:val="0"/>
        </w:rPr>
        <w:t>的宁波神州泰岳锐智信息科技有 限公司于</w:t>
      </w:r>
      <w:r>
        <w:rPr>
          <w:rFonts w:ascii="Times New Roman" w:eastAsia="Times New Roman" w:hAnsi="Times New Roman" w:cs="Times New Roman"/>
          <w:color w:val="000000"/>
          <w:spacing w:val="0"/>
          <w:w w:val="100"/>
          <w:position w:val="0"/>
          <w:sz w:val="18"/>
          <w:szCs w:val="18"/>
        </w:rPr>
        <w:t>2015</w:t>
      </w:r>
      <w:r>
        <w:rPr>
          <w:color w:val="000000"/>
          <w:spacing w:val="0"/>
          <w:w w:val="100"/>
          <w:position w:val="0"/>
        </w:rPr>
        <w:t>年收购其全部股权，成为其控股股东。本公司定期针对上述经营活动做整体评价，并据此进行资源配置，因此 将自动化设备资产整体作为一个资产组。</w:t>
      </w:r>
    </w:p>
    <w:p>
      <w:pPr>
        <w:pStyle w:val="Style41"/>
        <w:keepNext w:val="0"/>
        <w:keepLines w:val="0"/>
        <w:widowControl w:val="0"/>
        <w:shd w:val="clear" w:color="auto" w:fill="auto"/>
        <w:bidi w:val="0"/>
        <w:spacing w:before="0" w:after="0" w:line="467" w:lineRule="exact"/>
        <w:ind w:left="0" w:right="0"/>
        <w:jc w:val="left"/>
      </w:pPr>
      <w:r>
        <w:rPr>
          <w:color w:val="000000"/>
          <w:spacing w:val="0"/>
          <w:w w:val="100"/>
          <w:position w:val="0"/>
        </w:rPr>
        <w:t>该资产组已于</w:t>
      </w:r>
      <w:r>
        <w:rPr>
          <w:rFonts w:ascii="Times New Roman" w:eastAsia="Times New Roman" w:hAnsi="Times New Roman" w:cs="Times New Roman"/>
          <w:color w:val="000000"/>
          <w:spacing w:val="0"/>
          <w:w w:val="100"/>
          <w:position w:val="0"/>
          <w:sz w:val="18"/>
          <w:szCs w:val="18"/>
        </w:rPr>
        <w:t>2018</w:t>
      </w:r>
      <w:r>
        <w:rPr>
          <w:color w:val="000000"/>
          <w:spacing w:val="0"/>
          <w:w w:val="100"/>
          <w:position w:val="0"/>
        </w:rPr>
        <w:t>年全额计提了归属于母公司股东的商誉减值准备（金额为</w:t>
      </w:r>
      <w:r>
        <w:rPr>
          <w:rFonts w:ascii="Times New Roman" w:eastAsia="Times New Roman" w:hAnsi="Times New Roman" w:cs="Times New Roman"/>
          <w:color w:val="000000"/>
          <w:spacing w:val="0"/>
          <w:w w:val="100"/>
          <w:position w:val="0"/>
          <w:sz w:val="18"/>
          <w:szCs w:val="18"/>
        </w:rPr>
        <w:t>215.49</w:t>
      </w:r>
      <w:r>
        <w:rPr>
          <w:color w:val="000000"/>
          <w:spacing w:val="0"/>
          <w:w w:val="100"/>
          <w:position w:val="0"/>
        </w:rPr>
        <w:t>万元），商誉账面价值为零。</w:t>
      </w:r>
    </w:p>
    <w:p>
      <w:pPr>
        <w:pStyle w:val="Style41"/>
        <w:keepNext w:val="0"/>
        <w:keepLines w:val="0"/>
        <w:widowControl w:val="0"/>
        <w:shd w:val="clear" w:color="auto" w:fill="auto"/>
        <w:tabs>
          <w:tab w:pos="765" w:val="left"/>
        </w:tabs>
        <w:bidi w:val="0"/>
        <w:spacing w:before="0" w:after="0" w:line="467" w:lineRule="exact"/>
        <w:ind w:left="0" w:right="0"/>
        <w:jc w:val="both"/>
      </w:pPr>
      <w:bookmarkStart w:id="1501" w:name="bookmark1501"/>
      <w:r>
        <w:rPr>
          <w:color w:val="000000"/>
          <w:spacing w:val="0"/>
          <w:w w:val="100"/>
          <w:position w:val="0"/>
        </w:rPr>
        <w:t>（</w:t>
      </w:r>
      <w:bookmarkEnd w:id="1501"/>
      <w:r>
        <w:rPr>
          <w:rFonts w:ascii="Times New Roman" w:eastAsia="Times New Roman" w:hAnsi="Times New Roman" w:cs="Times New Roman"/>
          <w:color w:val="000000"/>
          <w:spacing w:val="0"/>
          <w:w w:val="100"/>
          <w:position w:val="0"/>
          <w:sz w:val="18"/>
          <w:szCs w:val="18"/>
        </w:rPr>
        <w:t>7</w:t>
      </w:r>
      <w:r>
        <w:rPr>
          <w:color w:val="000000"/>
          <w:spacing w:val="0"/>
          <w:w w:val="100"/>
          <w:position w:val="0"/>
        </w:rPr>
        <w:t>）</w:t>
        <w:tab/>
        <w:t>海外业务平台资产组商誉</w:t>
      </w:r>
    </w:p>
    <w:p>
      <w:pPr>
        <w:pStyle w:val="Style41"/>
        <w:keepNext w:val="0"/>
        <w:keepLines w:val="0"/>
        <w:widowControl w:val="0"/>
        <w:shd w:val="clear" w:color="auto" w:fill="auto"/>
        <w:bidi w:val="0"/>
        <w:spacing w:before="0" w:after="0" w:line="467" w:lineRule="exact"/>
        <w:ind w:left="0" w:right="0"/>
        <w:jc w:val="both"/>
        <w:sectPr>
          <w:headerReference w:type="default" r:id="rId395"/>
          <w:footerReference w:type="default" r:id="rId396"/>
          <w:headerReference w:type="even" r:id="rId397"/>
          <w:footerReference w:type="even" r:id="rId398"/>
          <w:footnotePr>
            <w:pos w:val="pageBottom"/>
            <w:numFmt w:val="decimal"/>
            <w:numRestart w:val="continuous"/>
          </w:footnotePr>
          <w:pgSz w:w="11904" w:h="17375"/>
          <w:pgMar w:top="1070" w:right="1016" w:bottom="1533" w:left="1102" w:header="642" w:footer="3" w:gutter="0"/>
          <w:cols w:space="720"/>
          <w:noEndnote/>
          <w:rtlGutter w:val="0"/>
          <w:docGrid w:linePitch="360"/>
        </w:sectPr>
      </w:pPr>
      <w:r>
        <w:rPr>
          <w:color w:val="000000"/>
          <w:spacing w:val="0"/>
          <w:w w:val="100"/>
          <w:position w:val="0"/>
        </w:rPr>
        <w:t>公司于</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年收购</w:t>
      </w:r>
      <w:r>
        <w:rPr>
          <w:rFonts w:ascii="Times New Roman" w:eastAsia="Times New Roman" w:hAnsi="Times New Roman" w:cs="Times New Roman"/>
          <w:color w:val="000000"/>
          <w:spacing w:val="0"/>
          <w:w w:val="100"/>
          <w:position w:val="0"/>
          <w:sz w:val="18"/>
          <w:szCs w:val="18"/>
        </w:rPr>
        <w:t>Bridge Minds Consulting Pte Ltd</w:t>
      </w:r>
      <w:r>
        <w:rPr>
          <w:color w:val="000000"/>
          <w:spacing w:val="0"/>
          <w:w w:val="100"/>
          <w:position w:val="0"/>
        </w:rPr>
        <w:t>（</w:t>
      </w:r>
      <w:r>
        <w:rPr>
          <w:color w:val="000000"/>
          <w:spacing w:val="0"/>
          <w:w w:val="100"/>
          <w:position w:val="0"/>
        </w:rPr>
        <w:t>简称</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智桥资讯</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）后，将其作为公司海外业务发展的重要平台。智 桥资讯利用自身优势，立足新加坡、辐射东南亚、拓展欧美等全球市场，将促进公司业务海外的推广与落地。公司定期针对 上述经营活动做整体评价，并据此资源配置，因此将海外业务平台资产作为一个资产组。</w:t>
      </w:r>
    </w:p>
    <w:p>
      <w:pPr>
        <w:pStyle w:val="Style41"/>
        <w:keepNext w:val="0"/>
        <w:keepLines w:val="0"/>
        <w:widowControl w:val="0"/>
        <w:shd w:val="clear" w:color="auto" w:fill="auto"/>
        <w:bidi w:val="0"/>
        <w:spacing w:before="0" w:after="420" w:line="461" w:lineRule="exact"/>
        <w:ind w:left="0" w:right="0"/>
        <w:jc w:val="both"/>
      </w:pPr>
      <w:r>
        <w:rPr>
          <w:color w:val="000000"/>
          <w:spacing w:val="0"/>
          <w:w w:val="100"/>
          <w:position w:val="0"/>
        </w:rPr>
        <w:t>该资产组已于</w:t>
      </w:r>
      <w:r>
        <w:rPr>
          <w:rFonts w:ascii="Times New Roman" w:eastAsia="Times New Roman" w:hAnsi="Times New Roman" w:cs="Times New Roman"/>
          <w:color w:val="000000"/>
          <w:spacing w:val="0"/>
          <w:w w:val="100"/>
          <w:position w:val="0"/>
          <w:sz w:val="18"/>
          <w:szCs w:val="18"/>
        </w:rPr>
        <w:t>2019</w:t>
      </w:r>
      <w:r>
        <w:rPr>
          <w:color w:val="000000"/>
          <w:spacing w:val="0"/>
          <w:w w:val="100"/>
          <w:position w:val="0"/>
        </w:rPr>
        <w:t xml:space="preserve">年对海外业务平台资产组的商誉（含未确认的归属于少数股东的商誉金额）全额计提减值金额为 </w:t>
      </w:r>
      <w:r>
        <w:rPr>
          <w:rFonts w:ascii="Times New Roman" w:eastAsia="Times New Roman" w:hAnsi="Times New Roman" w:cs="Times New Roman"/>
          <w:color w:val="000000"/>
          <w:spacing w:val="0"/>
          <w:w w:val="100"/>
          <w:position w:val="0"/>
          <w:sz w:val="18"/>
          <w:szCs w:val="18"/>
        </w:rPr>
        <w:t>4,414.22</w:t>
      </w:r>
      <w:r>
        <w:rPr>
          <w:color w:val="000000"/>
          <w:spacing w:val="0"/>
          <w:w w:val="100"/>
          <w:position w:val="0"/>
        </w:rPr>
        <w:t>万元，据此计提归属于母公司股东的商誉减值准备金额为</w:t>
      </w:r>
      <w:r>
        <w:rPr>
          <w:rFonts w:ascii="Times New Roman" w:eastAsia="Times New Roman" w:hAnsi="Times New Roman" w:cs="Times New Roman"/>
          <w:color w:val="000000"/>
          <w:spacing w:val="0"/>
          <w:w w:val="100"/>
          <w:position w:val="0"/>
          <w:sz w:val="18"/>
          <w:szCs w:val="18"/>
        </w:rPr>
        <w:t>3,531.38</w:t>
      </w:r>
      <w:r>
        <w:rPr>
          <w:color w:val="000000"/>
          <w:spacing w:val="0"/>
          <w:w w:val="100"/>
          <w:position w:val="0"/>
        </w:rPr>
        <w:t>万元，商誉账面价值为零。</w:t>
      </w:r>
    </w:p>
    <w:p>
      <w:pPr>
        <w:pStyle w:val="Style41"/>
        <w:keepNext w:val="0"/>
        <w:keepLines w:val="0"/>
        <w:widowControl w:val="0"/>
        <w:shd w:val="clear" w:color="auto" w:fill="auto"/>
        <w:bidi w:val="0"/>
        <w:spacing w:before="0" w:after="0" w:line="317" w:lineRule="exact"/>
        <w:ind w:left="0" w:right="0" w:firstLine="0"/>
        <w:jc w:val="both"/>
      </w:pPr>
      <w:r>
        <w:rPr>
          <w:color w:val="000000"/>
          <w:spacing w:val="0"/>
          <w:w w:val="100"/>
          <w:position w:val="0"/>
        </w:rPr>
        <w:t>说明商誉减值测试过程、关键参数（如预计未来现金流量现值时的预测期增长率、稳定期增长率、利润率、折现率、预测期 等）及商誉减值损失的确认方法：</w:t>
      </w:r>
    </w:p>
    <w:p>
      <w:pPr>
        <w:pStyle w:val="Style41"/>
        <w:keepNext w:val="0"/>
        <w:keepLines w:val="0"/>
        <w:widowControl w:val="0"/>
        <w:shd w:val="clear" w:color="auto" w:fill="auto"/>
        <w:bidi w:val="0"/>
        <w:spacing w:before="0" w:after="0" w:line="467" w:lineRule="exact"/>
        <w:ind w:left="0" w:right="0"/>
        <w:jc w:val="both"/>
      </w:pPr>
      <w:r>
        <w:rPr>
          <w:color w:val="000000"/>
          <w:spacing w:val="0"/>
          <w:w w:val="100"/>
          <w:position w:val="0"/>
        </w:rPr>
        <w:t>公司对资产组（</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 xml:space="preserve">） </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）的预计未来现金流量现值（可收回金额）测算（资产组（</w:t>
      </w:r>
      <w:r>
        <w:rPr>
          <w:rFonts w:ascii="Times New Roman" w:eastAsia="Times New Roman" w:hAnsi="Times New Roman" w:cs="Times New Roman"/>
          <w:color w:val="000000"/>
          <w:spacing w:val="0"/>
          <w:w w:val="100"/>
          <w:position w:val="0"/>
          <w:sz w:val="18"/>
          <w:szCs w:val="18"/>
        </w:rPr>
        <w:t>6</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7</w:t>
      </w:r>
      <w:r>
        <w:rPr>
          <w:color w:val="000000"/>
          <w:spacing w:val="0"/>
          <w:w w:val="100"/>
          <w:position w:val="0"/>
        </w:rPr>
        <w:t>）年初已全额计提了商誉 减值准备），其中资产组（</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 xml:space="preserve">） </w:t>
      </w:r>
      <w:r>
        <w:rPr>
          <w:rFonts w:ascii="Times New Roman" w:eastAsia="Times New Roman" w:hAnsi="Times New Roman" w:cs="Times New Roman"/>
          <w:color w:val="000000"/>
          <w:spacing w:val="0"/>
          <w:w w:val="100"/>
          <w:position w:val="0"/>
          <w:sz w:val="18"/>
          <w:szCs w:val="18"/>
        </w:rPr>
        <w:t xml:space="preserve">— </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4</w:t>
      </w:r>
      <w:r>
        <w:rPr>
          <w:color w:val="000000"/>
          <w:spacing w:val="0"/>
          <w:w w:val="100"/>
          <w:position w:val="0"/>
        </w:rPr>
        <w:t>）参考了北京国融兴华资产评估有限责任公司于</w:t>
      </w:r>
      <w:r>
        <w:rPr>
          <w:rFonts w:ascii="Times New Roman" w:eastAsia="Times New Roman" w:hAnsi="Times New Roman" w:cs="Times New Roman"/>
          <w:color w:val="000000"/>
          <w:spacing w:val="0"/>
          <w:w w:val="100"/>
          <w:position w:val="0"/>
          <w:sz w:val="18"/>
          <w:szCs w:val="18"/>
        </w:rPr>
        <w:t>2021</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4</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日、</w:t>
      </w:r>
      <w:r>
        <w:rPr>
          <w:rFonts w:ascii="Times New Roman" w:eastAsia="Times New Roman" w:hAnsi="Times New Roman" w:cs="Times New Roman"/>
          <w:color w:val="000000"/>
          <w:spacing w:val="0"/>
          <w:w w:val="100"/>
          <w:position w:val="0"/>
          <w:sz w:val="18"/>
          <w:szCs w:val="18"/>
        </w:rPr>
        <w:t>13</w:t>
      </w:r>
      <w:r>
        <w:rPr>
          <w:color w:val="000000"/>
          <w:spacing w:val="0"/>
          <w:w w:val="100"/>
          <w:position w:val="0"/>
        </w:rPr>
        <w:t>日出具的以财务报 告为目的涉及商誉减值测试的资产组可收回金额评估报告（文号分别为国融兴华评报字【</w:t>
      </w:r>
      <w:r>
        <w:rPr>
          <w:rFonts w:ascii="Times New Roman" w:eastAsia="Times New Roman" w:hAnsi="Times New Roman" w:cs="Times New Roman"/>
          <w:color w:val="000000"/>
          <w:spacing w:val="0"/>
          <w:w w:val="100"/>
          <w:position w:val="0"/>
          <w:sz w:val="18"/>
          <w:szCs w:val="18"/>
        </w:rPr>
        <w:t>2021</w:t>
      </w:r>
      <w:r>
        <w:rPr>
          <w:color w:val="000000"/>
          <w:spacing w:val="0"/>
          <w:w w:val="100"/>
          <w:position w:val="0"/>
        </w:rPr>
        <w:t>】第</w:t>
      </w:r>
      <w:r>
        <w:rPr>
          <w:rFonts w:ascii="Times New Roman" w:eastAsia="Times New Roman" w:hAnsi="Times New Roman" w:cs="Times New Roman"/>
          <w:color w:val="000000"/>
          <w:spacing w:val="0"/>
          <w:w w:val="100"/>
          <w:position w:val="0"/>
          <w:sz w:val="18"/>
          <w:szCs w:val="18"/>
        </w:rPr>
        <w:t>010128</w:t>
      </w:r>
      <w:r>
        <w:rPr>
          <w:color w:val="000000"/>
          <w:spacing w:val="0"/>
          <w:w w:val="100"/>
          <w:position w:val="0"/>
        </w:rPr>
        <w:t>号</w:t>
      </w:r>
      <w:r>
        <w:rPr>
          <w:color w:val="000000"/>
          <w:spacing w:val="0"/>
          <w:w w:val="100"/>
          <w:position w:val="0"/>
          <w:sz w:val="18"/>
          <w:szCs w:val="18"/>
        </w:rPr>
        <w:t>一</w:t>
      </w:r>
      <w:r>
        <w:rPr>
          <w:color w:val="000000"/>
          <w:spacing w:val="0"/>
          <w:w w:val="100"/>
          <w:position w:val="0"/>
        </w:rPr>
        <w:t>国融兴华评报 字【</w:t>
      </w:r>
      <w:r>
        <w:rPr>
          <w:rFonts w:ascii="Times New Roman" w:eastAsia="Times New Roman" w:hAnsi="Times New Roman" w:cs="Times New Roman"/>
          <w:color w:val="000000"/>
          <w:spacing w:val="0"/>
          <w:w w:val="100"/>
          <w:position w:val="0"/>
          <w:sz w:val="18"/>
          <w:szCs w:val="18"/>
        </w:rPr>
        <w:t>2021</w:t>
      </w:r>
      <w:r>
        <w:rPr>
          <w:color w:val="000000"/>
          <w:spacing w:val="0"/>
          <w:w w:val="100"/>
          <w:position w:val="0"/>
        </w:rPr>
        <w:t>】第</w:t>
      </w:r>
      <w:r>
        <w:rPr>
          <w:rFonts w:ascii="Times New Roman" w:eastAsia="Times New Roman" w:hAnsi="Times New Roman" w:cs="Times New Roman"/>
          <w:color w:val="000000"/>
          <w:spacing w:val="0"/>
          <w:w w:val="100"/>
          <w:position w:val="0"/>
          <w:sz w:val="18"/>
          <w:szCs w:val="18"/>
        </w:rPr>
        <w:t>010131</w:t>
      </w:r>
      <w:r>
        <w:rPr>
          <w:color w:val="000000"/>
          <w:spacing w:val="0"/>
          <w:w w:val="100"/>
          <w:position w:val="0"/>
        </w:rPr>
        <w:t>号，共计</w:t>
      </w:r>
      <w:r>
        <w:rPr>
          <w:rFonts w:ascii="Times New Roman" w:eastAsia="Times New Roman" w:hAnsi="Times New Roman" w:cs="Times New Roman"/>
          <w:color w:val="000000"/>
          <w:spacing w:val="0"/>
          <w:w w:val="100"/>
          <w:position w:val="0"/>
          <w:sz w:val="18"/>
          <w:szCs w:val="18"/>
        </w:rPr>
        <w:t>4</w:t>
      </w:r>
      <w:r>
        <w:rPr>
          <w:color w:val="000000"/>
          <w:spacing w:val="0"/>
          <w:w w:val="100"/>
          <w:position w:val="0"/>
        </w:rPr>
        <w:t>个）的评估结果。</w:t>
      </w:r>
    </w:p>
    <w:p>
      <w:pPr>
        <w:pStyle w:val="Style41"/>
        <w:keepNext w:val="0"/>
        <w:keepLines w:val="0"/>
        <w:widowControl w:val="0"/>
        <w:shd w:val="clear" w:color="auto" w:fill="auto"/>
        <w:bidi w:val="0"/>
        <w:spacing w:before="0" w:after="0" w:line="467" w:lineRule="exact"/>
        <w:ind w:left="0" w:right="0"/>
        <w:jc w:val="both"/>
      </w:pPr>
      <w:r>
        <w:rPr>
          <w:color w:val="000000"/>
          <w:spacing w:val="0"/>
          <w:w w:val="100"/>
          <w:position w:val="0"/>
        </w:rPr>
        <w:t>计算资产组于</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日的预计未来现金流量现值采用了关键假设。以下详述了管理层为进行商誉的减值测试，在 确定现金流量预测时作出的关键假设：</w:t>
      </w:r>
    </w:p>
    <w:p>
      <w:pPr>
        <w:pStyle w:val="Style41"/>
        <w:keepNext w:val="0"/>
        <w:keepLines w:val="0"/>
        <w:widowControl w:val="0"/>
        <w:shd w:val="clear" w:color="auto" w:fill="auto"/>
        <w:tabs>
          <w:tab w:pos="901" w:val="left"/>
        </w:tabs>
        <w:bidi w:val="0"/>
        <w:spacing w:before="0" w:after="0" w:line="467" w:lineRule="exact"/>
        <w:ind w:left="0" w:right="0"/>
        <w:jc w:val="both"/>
      </w:pPr>
      <w:bookmarkStart w:id="1502" w:name="bookmark1502"/>
      <w:r>
        <w:rPr>
          <w:color w:val="000000"/>
          <w:spacing w:val="0"/>
          <w:w w:val="100"/>
          <w:position w:val="0"/>
        </w:rPr>
        <w:t>（</w:t>
      </w:r>
      <w:bookmarkEnd w:id="1502"/>
      <w:r>
        <w:rPr>
          <w:rFonts w:ascii="Times New Roman" w:eastAsia="Times New Roman" w:hAnsi="Times New Roman" w:cs="Times New Roman"/>
          <w:color w:val="000000"/>
          <w:spacing w:val="0"/>
          <w:w w:val="100"/>
          <w:position w:val="0"/>
          <w:sz w:val="18"/>
          <w:szCs w:val="18"/>
        </w:rPr>
        <w:t>1</w:t>
      </w:r>
      <w:r>
        <w:rPr>
          <w:color w:val="000000"/>
          <w:spacing w:val="0"/>
          <w:w w:val="100"/>
          <w:position w:val="0"/>
        </w:rPr>
        <w:t>）</w:t>
        <w:tab/>
        <w:t>假设被评估单位持续经营，并在经营范围、销售模式和渠道、管理层等影响到生产和经营的关键方面与目前情况 无重大变化；</w:t>
      </w:r>
    </w:p>
    <w:p>
      <w:pPr>
        <w:pStyle w:val="Style41"/>
        <w:keepNext w:val="0"/>
        <w:keepLines w:val="0"/>
        <w:widowControl w:val="0"/>
        <w:shd w:val="clear" w:color="auto" w:fill="auto"/>
        <w:tabs>
          <w:tab w:pos="901" w:val="left"/>
        </w:tabs>
        <w:bidi w:val="0"/>
        <w:spacing w:before="0" w:after="0" w:line="467" w:lineRule="exact"/>
        <w:ind w:left="0" w:right="0"/>
        <w:jc w:val="both"/>
      </w:pPr>
      <w:bookmarkStart w:id="1503" w:name="bookmark1503"/>
      <w:r>
        <w:rPr>
          <w:color w:val="000000"/>
          <w:spacing w:val="0"/>
          <w:w w:val="100"/>
          <w:position w:val="0"/>
        </w:rPr>
        <w:t>（</w:t>
      </w:r>
      <w:bookmarkEnd w:id="1503"/>
      <w:r>
        <w:rPr>
          <w:rFonts w:ascii="Times New Roman" w:eastAsia="Times New Roman" w:hAnsi="Times New Roman" w:cs="Times New Roman"/>
          <w:color w:val="000000"/>
          <w:spacing w:val="0"/>
          <w:w w:val="100"/>
          <w:position w:val="0"/>
          <w:sz w:val="18"/>
          <w:szCs w:val="18"/>
        </w:rPr>
        <w:t>2</w:t>
      </w:r>
      <w:r>
        <w:rPr>
          <w:color w:val="000000"/>
          <w:spacing w:val="0"/>
          <w:w w:val="100"/>
          <w:position w:val="0"/>
        </w:rPr>
        <w:t>）</w:t>
        <w:tab/>
        <w:t>假设被评估单位所处的社会经济环境不产生较大的变化，国家及公司所在地区有关法律、法规、政策法规与现时 无重大变化；</w:t>
      </w:r>
    </w:p>
    <w:p>
      <w:pPr>
        <w:pStyle w:val="Style41"/>
        <w:keepNext w:val="0"/>
        <w:keepLines w:val="0"/>
        <w:widowControl w:val="0"/>
        <w:shd w:val="clear" w:color="auto" w:fill="auto"/>
        <w:tabs>
          <w:tab w:pos="896" w:val="left"/>
        </w:tabs>
        <w:bidi w:val="0"/>
        <w:spacing w:before="0" w:after="0" w:line="467" w:lineRule="exact"/>
        <w:ind w:left="0" w:right="0"/>
        <w:jc w:val="both"/>
      </w:pPr>
      <w:bookmarkStart w:id="1504" w:name="bookmark1504"/>
      <w:r>
        <w:rPr>
          <w:color w:val="000000"/>
          <w:spacing w:val="0"/>
          <w:w w:val="100"/>
          <w:position w:val="0"/>
        </w:rPr>
        <w:t>（</w:t>
      </w:r>
      <w:bookmarkEnd w:id="1504"/>
      <w:r>
        <w:rPr>
          <w:rFonts w:ascii="Times New Roman" w:eastAsia="Times New Roman" w:hAnsi="Times New Roman" w:cs="Times New Roman"/>
          <w:color w:val="000000"/>
          <w:spacing w:val="0"/>
          <w:w w:val="100"/>
          <w:position w:val="0"/>
          <w:sz w:val="18"/>
          <w:szCs w:val="18"/>
        </w:rPr>
        <w:t>3</w:t>
      </w:r>
      <w:r>
        <w:rPr>
          <w:color w:val="000000"/>
          <w:spacing w:val="0"/>
          <w:w w:val="100"/>
          <w:position w:val="0"/>
        </w:rPr>
        <w:t>）</w:t>
        <w:tab/>
        <w:t>假设被评估单位经营范围、经营方式、管理模式等在保持一贯性的基础上不断改进、不断完善，能随着经济的发 展进行适时的调整与创新；</w:t>
      </w:r>
    </w:p>
    <w:p>
      <w:pPr>
        <w:pStyle w:val="Style41"/>
        <w:keepNext w:val="0"/>
        <w:keepLines w:val="0"/>
        <w:widowControl w:val="0"/>
        <w:shd w:val="clear" w:color="auto" w:fill="auto"/>
        <w:tabs>
          <w:tab w:pos="825" w:val="left"/>
        </w:tabs>
        <w:bidi w:val="0"/>
        <w:spacing w:before="0" w:after="0" w:line="467" w:lineRule="exact"/>
        <w:ind w:left="0" w:right="0"/>
        <w:jc w:val="both"/>
      </w:pPr>
      <w:bookmarkStart w:id="1505" w:name="bookmark1505"/>
      <w:r>
        <w:rPr>
          <w:color w:val="000000"/>
          <w:spacing w:val="0"/>
          <w:w w:val="100"/>
          <w:position w:val="0"/>
        </w:rPr>
        <w:t>（</w:t>
      </w:r>
      <w:bookmarkEnd w:id="1505"/>
      <w:r>
        <w:rPr>
          <w:rFonts w:ascii="Times New Roman" w:eastAsia="Times New Roman" w:hAnsi="Times New Roman" w:cs="Times New Roman"/>
          <w:color w:val="000000"/>
          <w:spacing w:val="0"/>
          <w:w w:val="100"/>
          <w:position w:val="0"/>
          <w:sz w:val="18"/>
          <w:szCs w:val="18"/>
        </w:rPr>
        <w:t>4</w:t>
      </w:r>
      <w:r>
        <w:rPr>
          <w:color w:val="000000"/>
          <w:spacing w:val="0"/>
          <w:w w:val="100"/>
          <w:position w:val="0"/>
        </w:rPr>
        <w:t>）</w:t>
        <w:tab/>
        <w:t>假设利率、汇率、赋税基准及税率，在国家规定的正常范围内无重大变化等。</w:t>
      </w:r>
    </w:p>
    <w:p>
      <w:pPr>
        <w:pStyle w:val="Style41"/>
        <w:keepNext w:val="0"/>
        <w:keepLines w:val="0"/>
        <w:widowControl w:val="0"/>
        <w:shd w:val="clear" w:color="auto" w:fill="auto"/>
        <w:bidi w:val="0"/>
        <w:spacing w:before="0" w:after="0" w:line="467" w:lineRule="exact"/>
        <w:ind w:left="0" w:right="0"/>
        <w:jc w:val="both"/>
      </w:pPr>
      <w:r>
        <w:rPr>
          <w:color w:val="000000"/>
          <w:spacing w:val="0"/>
          <w:w w:val="100"/>
          <w:position w:val="0"/>
        </w:rPr>
        <w:t>预算毛利</w:t>
      </w:r>
      <w:r>
        <w:rPr>
          <w:color w:val="000000"/>
          <w:spacing w:val="0"/>
          <w:w w:val="100"/>
          <w:position w:val="0"/>
          <w:sz w:val="18"/>
          <w:szCs w:val="18"/>
        </w:rPr>
        <w:t>一</w:t>
      </w:r>
      <w:r>
        <w:rPr>
          <w:color w:val="000000"/>
          <w:spacing w:val="0"/>
          <w:w w:val="100"/>
          <w:position w:val="0"/>
        </w:rPr>
        <w:t>管理层根据过往业绩及对市场发展的预期确定预算毛利率。</w:t>
      </w:r>
    </w:p>
    <w:p>
      <w:pPr>
        <w:pStyle w:val="Style41"/>
        <w:keepNext w:val="0"/>
        <w:keepLines w:val="0"/>
        <w:widowControl w:val="0"/>
        <w:shd w:val="clear" w:color="auto" w:fill="auto"/>
        <w:bidi w:val="0"/>
        <w:spacing w:before="0" w:after="0" w:line="467" w:lineRule="exact"/>
        <w:ind w:left="0" w:right="0"/>
        <w:jc w:val="both"/>
      </w:pPr>
      <w:r>
        <w:rPr>
          <w:color w:val="000000"/>
          <w:spacing w:val="0"/>
          <w:w w:val="100"/>
          <w:position w:val="0"/>
        </w:rPr>
        <w:t>折现率</w:t>
      </w:r>
      <w:r>
        <w:rPr>
          <w:color w:val="000000"/>
          <w:spacing w:val="0"/>
          <w:w w:val="100"/>
          <w:position w:val="0"/>
          <w:sz w:val="18"/>
          <w:szCs w:val="18"/>
        </w:rPr>
        <w:t>一</w:t>
      </w:r>
      <w:r>
        <w:rPr>
          <w:color w:val="000000"/>
          <w:spacing w:val="0"/>
          <w:w w:val="100"/>
          <w:position w:val="0"/>
        </w:rPr>
        <w:t>采用的折现率是反映相关资产组特定风险的税前折现率。</w:t>
      </w:r>
    </w:p>
    <w:p>
      <w:pPr>
        <w:pStyle w:val="Style41"/>
        <w:keepNext w:val="0"/>
        <w:keepLines w:val="0"/>
        <w:widowControl w:val="0"/>
        <w:shd w:val="clear" w:color="auto" w:fill="auto"/>
        <w:bidi w:val="0"/>
        <w:spacing w:before="0" w:after="280" w:line="467" w:lineRule="exact"/>
        <w:ind w:left="0" w:right="0"/>
        <w:jc w:val="both"/>
      </w:pPr>
      <w:r>
        <w:rPr>
          <w:color w:val="000000"/>
          <w:spacing w:val="0"/>
          <w:w w:val="100"/>
          <w:position w:val="0"/>
        </w:rPr>
        <w:t>预测期后增长率</w:t>
      </w:r>
      <w:r>
        <w:rPr>
          <w:color w:val="000000"/>
          <w:spacing w:val="0"/>
          <w:w w:val="100"/>
          <w:position w:val="0"/>
          <w:sz w:val="18"/>
          <w:szCs w:val="18"/>
        </w:rPr>
        <w:t>一</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年后，公司管理层预计达到稳定发展状态。</w:t>
      </w:r>
    </w:p>
    <w:p>
      <w:pPr>
        <w:pStyle w:val="Style41"/>
        <w:keepNext w:val="0"/>
        <w:keepLines w:val="0"/>
        <w:widowControl w:val="0"/>
        <w:shd w:val="clear" w:color="auto" w:fill="auto"/>
        <w:bidi w:val="0"/>
        <w:spacing w:before="0" w:after="0" w:line="467" w:lineRule="exact"/>
        <w:ind w:left="0" w:right="0" w:firstLine="0"/>
        <w:jc w:val="both"/>
      </w:pPr>
      <w:r>
        <w:rPr>
          <w:color w:val="000000"/>
          <w:spacing w:val="0"/>
          <w:w w:val="100"/>
          <w:position w:val="0"/>
        </w:rPr>
        <w:t>商誉减值测试的影响</w:t>
      </w:r>
    </w:p>
    <w:p>
      <w:pPr>
        <w:pStyle w:val="Style41"/>
        <w:keepNext w:val="0"/>
        <w:keepLines w:val="0"/>
        <w:widowControl w:val="0"/>
        <w:shd w:val="clear" w:color="auto" w:fill="auto"/>
        <w:bidi w:val="0"/>
        <w:spacing w:before="0" w:after="0" w:line="470" w:lineRule="exact"/>
        <w:ind w:left="0" w:right="0"/>
        <w:jc w:val="both"/>
      </w:pPr>
      <w:r>
        <w:rPr>
          <w:color w:val="000000"/>
          <w:spacing w:val="0"/>
          <w:w w:val="100"/>
          <w:position w:val="0"/>
        </w:rPr>
        <w:t>公司于年度终了对上述商誉进行了减值测试，在进行商誉减值测试时，公司将相关资产或资产组组合</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含商誉</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的账面价 值与其可收回金额进行比较，如果可收回金额低于账面价值，相关差额计入当期损益。</w:t>
      </w:r>
    </w:p>
    <w:p>
      <w:pPr>
        <w:pStyle w:val="Style41"/>
        <w:keepNext w:val="0"/>
        <w:keepLines w:val="0"/>
        <w:widowControl w:val="0"/>
        <w:shd w:val="clear" w:color="auto" w:fill="auto"/>
        <w:bidi w:val="0"/>
        <w:spacing w:before="0" w:after="780" w:line="467" w:lineRule="exact"/>
        <w:ind w:left="0" w:right="0"/>
        <w:jc w:val="both"/>
      </w:pPr>
      <w:r>
        <w:rPr>
          <w:color w:val="000000"/>
          <w:spacing w:val="0"/>
          <w:w w:val="100"/>
          <w:position w:val="0"/>
        </w:rPr>
        <w:t>本年度，本公司评估了商誉的可收回金额，未发现需要计提商誉减值准备。</w:t>
      </w:r>
    </w:p>
    <w:p>
      <w:pPr>
        <w:pStyle w:val="Style47"/>
        <w:keepNext/>
        <w:keepLines/>
        <w:widowControl w:val="0"/>
        <w:shd w:val="clear" w:color="auto" w:fill="auto"/>
        <w:bidi w:val="0"/>
        <w:spacing w:before="0" w:after="420" w:line="240" w:lineRule="auto"/>
        <w:ind w:left="0" w:right="0" w:firstLine="0"/>
        <w:jc w:val="both"/>
      </w:pPr>
      <w:bookmarkStart w:id="1506" w:name="bookmark1506"/>
      <w:bookmarkStart w:id="1507" w:name="bookmark1507"/>
      <w:bookmarkStart w:id="1508" w:name="bookmark1508"/>
      <w:bookmarkStart w:id="1509" w:name="bookmark1509"/>
      <w:r>
        <w:rPr>
          <w:color w:val="000000"/>
          <w:spacing w:val="0"/>
          <w:w w:val="100"/>
          <w:position w:val="0"/>
        </w:rPr>
        <w:t>2</w:t>
      </w:r>
      <w:bookmarkEnd w:id="1508"/>
      <w:r>
        <w:rPr>
          <w:color w:val="000000"/>
          <w:spacing w:val="0"/>
          <w:w w:val="100"/>
          <w:position w:val="0"/>
        </w:rPr>
        <w:t>9、长期待摊费用</w:t>
      </w:r>
      <w:bookmarkEnd w:id="1506"/>
      <w:bookmarkEnd w:id="1507"/>
      <w:bookmarkEnd w:id="1509"/>
    </w:p>
    <w:p>
      <w:pPr>
        <w:pStyle w:val="Style41"/>
        <w:keepNext w:val="0"/>
        <w:keepLines w:val="0"/>
        <w:widowControl w:val="0"/>
        <w:shd w:val="clear" w:color="auto" w:fill="auto"/>
        <w:bidi w:val="0"/>
        <w:spacing w:before="0" w:after="60" w:line="240" w:lineRule="auto"/>
        <w:ind w:left="0" w:right="0" w:firstLine="0"/>
        <w:jc w:val="right"/>
      </w:pPr>
      <w:r>
        <w:rPr>
          <w:color w:val="000000"/>
          <w:spacing w:val="0"/>
          <w:w w:val="100"/>
          <w:position w:val="0"/>
        </w:rPr>
        <w:t>单位：元</w:t>
      </w:r>
    </w:p>
    <w:tbl>
      <w:tblPr>
        <w:tblOverlap w:val="never"/>
        <w:jc w:val="center"/>
        <w:tblLayout w:type="fixed"/>
      </w:tblPr>
      <w:tblGrid>
        <w:gridCol w:w="1598"/>
        <w:gridCol w:w="1598"/>
        <w:gridCol w:w="1584"/>
        <w:gridCol w:w="1603"/>
        <w:gridCol w:w="1594"/>
        <w:gridCol w:w="1603"/>
      </w:tblGrid>
      <w:tr>
        <w:trPr>
          <w:trHeight w:val="40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240"/>
              <w:jc w:val="left"/>
            </w:pPr>
            <w:r>
              <w:rPr>
                <w:color w:val="000000"/>
                <w:spacing w:val="0"/>
                <w:w w:val="100"/>
                <w:position w:val="0"/>
              </w:rPr>
              <w:t>本期增加金额</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260"/>
              <w:jc w:val="left"/>
            </w:pPr>
            <w:r>
              <w:rPr>
                <w:color w:val="000000"/>
                <w:spacing w:val="0"/>
                <w:w w:val="100"/>
                <w:position w:val="0"/>
              </w:rPr>
              <w:t>本期摊销金额</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240"/>
              <w:jc w:val="left"/>
            </w:pPr>
            <w:r>
              <w:rPr>
                <w:color w:val="000000"/>
                <w:spacing w:val="0"/>
                <w:w w:val="100"/>
                <w:position w:val="0"/>
              </w:rPr>
              <w:t>其他减少金额</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440"/>
              <w:jc w:val="left"/>
            </w:pPr>
            <w:r>
              <w:rPr>
                <w:color w:val="000000"/>
                <w:spacing w:val="0"/>
                <w:w w:val="100"/>
                <w:position w:val="0"/>
              </w:rPr>
              <w:t>期末余额</w:t>
            </w:r>
          </w:p>
        </w:tc>
      </w:tr>
      <w:tr>
        <w:trPr>
          <w:trHeight w:val="41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租入办公场所装修</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left"/>
              <w:rPr>
                <w:sz w:val="18"/>
                <w:szCs w:val="18"/>
              </w:rPr>
            </w:pPr>
            <w:r>
              <w:rPr>
                <w:rFonts w:ascii="Times New Roman" w:eastAsia="Times New Roman" w:hAnsi="Times New Roman" w:cs="Times New Roman"/>
                <w:color w:val="000000"/>
                <w:spacing w:val="0"/>
                <w:w w:val="100"/>
                <w:position w:val="0"/>
                <w:sz w:val="18"/>
                <w:szCs w:val="18"/>
              </w:rPr>
              <w:t>7,736,953.70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left"/>
              <w:rPr>
                <w:sz w:val="18"/>
                <w:szCs w:val="18"/>
              </w:rPr>
            </w:pPr>
            <w:r>
              <w:rPr>
                <w:rFonts w:ascii="Times New Roman" w:eastAsia="Times New Roman" w:hAnsi="Times New Roman" w:cs="Times New Roman"/>
                <w:color w:val="000000"/>
                <w:spacing w:val="0"/>
                <w:w w:val="100"/>
                <w:position w:val="0"/>
                <w:sz w:val="18"/>
                <w:szCs w:val="18"/>
              </w:rPr>
              <w:t>1,052,083.60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3,709,600.18</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417.82</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5,079,019.30</w:t>
            </w:r>
          </w:p>
        </w:tc>
      </w:tr>
    </w:tbl>
    <w:p>
      <w:pPr>
        <w:widowControl w:val="0"/>
        <w:spacing w:line="1" w:lineRule="exact"/>
      </w:pPr>
      <w:r>
        <w:br w:type="page"/>
      </w:r>
    </w:p>
    <w:tbl>
      <w:tblPr>
        <w:tblOverlap w:val="never"/>
        <w:jc w:val="center"/>
        <w:tblLayout w:type="fixed"/>
      </w:tblPr>
      <w:tblGrid>
        <w:gridCol w:w="1598"/>
        <w:gridCol w:w="1598"/>
        <w:gridCol w:w="1594"/>
        <w:gridCol w:w="1594"/>
        <w:gridCol w:w="1594"/>
        <w:gridCol w:w="1603"/>
      </w:tblGrid>
      <w:tr>
        <w:trPr>
          <w:trHeight w:val="418"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7,736,953.70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1,052,083.60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3,709,600.18</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417.82</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5,079,019.30</w:t>
            </w:r>
          </w:p>
        </w:tc>
      </w:tr>
    </w:tbl>
    <w:p>
      <w:pPr>
        <w:widowControl w:val="0"/>
        <w:spacing w:after="659" w:line="1" w:lineRule="exact"/>
      </w:pPr>
    </w:p>
    <w:p>
      <w:pPr>
        <w:pStyle w:val="Style47"/>
        <w:keepNext/>
        <w:keepLines/>
        <w:widowControl w:val="0"/>
        <w:shd w:val="clear" w:color="auto" w:fill="auto"/>
        <w:bidi w:val="0"/>
        <w:spacing w:before="0" w:after="400" w:line="240" w:lineRule="auto"/>
        <w:ind w:left="0" w:right="0" w:firstLine="0"/>
        <w:jc w:val="left"/>
      </w:pPr>
      <w:bookmarkStart w:id="1510" w:name="bookmark1510"/>
      <w:bookmarkStart w:id="1511" w:name="bookmark1511"/>
      <w:bookmarkStart w:id="1512" w:name="bookmark1512"/>
      <w:bookmarkStart w:id="1513" w:name="bookmark1513"/>
      <w:r>
        <w:rPr>
          <w:color w:val="000000"/>
          <w:spacing w:val="0"/>
          <w:w w:val="100"/>
          <w:position w:val="0"/>
        </w:rPr>
        <w:t>3</w:t>
      </w:r>
      <w:bookmarkEnd w:id="1512"/>
      <w:r>
        <w:rPr>
          <w:color w:val="000000"/>
          <w:spacing w:val="0"/>
          <w:w w:val="100"/>
          <w:position w:val="0"/>
        </w:rPr>
        <w:t>0、递延所得税资产/递延所得税负债</w:t>
      </w:r>
      <w:bookmarkEnd w:id="1510"/>
      <w:bookmarkEnd w:id="1511"/>
      <w:bookmarkEnd w:id="1513"/>
    </w:p>
    <w:p>
      <w:pPr>
        <w:pStyle w:val="Style58"/>
        <w:keepNext/>
        <w:keepLines/>
        <w:widowControl w:val="0"/>
        <w:numPr>
          <w:ilvl w:val="0"/>
          <w:numId w:val="35"/>
        </w:numPr>
        <w:shd w:val="clear" w:color="auto" w:fill="auto"/>
        <w:bidi w:val="0"/>
        <w:spacing w:before="0" w:after="400" w:line="240" w:lineRule="auto"/>
        <w:ind w:left="0" w:right="0" w:firstLine="0"/>
        <w:jc w:val="both"/>
        <w:rPr>
          <w:sz w:val="20"/>
          <w:szCs w:val="20"/>
        </w:rPr>
      </w:pPr>
      <w:bookmarkStart w:id="1514" w:name="bookmark1514"/>
      <w:bookmarkStart w:id="1515" w:name="bookmark1515"/>
      <w:bookmarkStart w:id="1516" w:name="bookmark1516"/>
      <w:bookmarkStart w:id="1517" w:name="bookmark1517"/>
      <w:bookmarkEnd w:id="1516"/>
      <w:r>
        <w:rPr>
          <w:b/>
          <w:bCs/>
          <w:color w:val="000000"/>
          <w:spacing w:val="0"/>
          <w:w w:val="100"/>
          <w:position w:val="0"/>
          <w:sz w:val="20"/>
          <w:szCs w:val="20"/>
        </w:rPr>
        <w:t>未经抵销的递延所得税资产</w:t>
      </w:r>
      <w:bookmarkEnd w:id="1514"/>
      <w:bookmarkEnd w:id="1515"/>
      <w:bookmarkEnd w:id="1517"/>
    </w:p>
    <w:p>
      <w:pPr>
        <w:pStyle w:val="Style41"/>
        <w:keepNext w:val="0"/>
        <w:keepLines w:val="0"/>
        <w:widowControl w:val="0"/>
        <w:shd w:val="clear" w:color="auto" w:fill="auto"/>
        <w:bidi w:val="0"/>
        <w:spacing w:before="0" w:after="80" w:line="240" w:lineRule="auto"/>
        <w:ind w:left="8920" w:right="0" w:firstLine="0"/>
        <w:jc w:val="left"/>
      </w:pPr>
      <w:r>
        <w:rPr>
          <w:color w:val="000000"/>
          <w:spacing w:val="0"/>
          <w:w w:val="100"/>
          <w:position w:val="0"/>
        </w:rPr>
        <w:t>单位：元</w:t>
      </w:r>
    </w:p>
    <w:tbl>
      <w:tblPr>
        <w:tblOverlap w:val="never"/>
        <w:jc w:val="center"/>
        <w:tblLayout w:type="fixed"/>
      </w:tblPr>
      <w:tblGrid>
        <w:gridCol w:w="1910"/>
        <w:gridCol w:w="1925"/>
        <w:gridCol w:w="1915"/>
        <w:gridCol w:w="1910"/>
        <w:gridCol w:w="1925"/>
      </w:tblGrid>
      <w:tr>
        <w:trPr>
          <w:trHeight w:val="403" w:hRule="exact"/>
        </w:trPr>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gridSpan w:val="2"/>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gridSpan w:val="2"/>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403" w:hRule="exact"/>
        </w:trPr>
        <w:tc>
          <w:tcPr>
            <w:vMerge/>
            <w:tcBorders>
              <w:left w:val="single" w:sz="4"/>
            </w:tcBorders>
            <w:shd w:val="clear" w:color="auto" w:fill="D7D7D7"/>
            <w:vAlign w:val="center"/>
          </w:tcPr>
          <w:p>
            <w:pP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240"/>
              <w:jc w:val="left"/>
            </w:pPr>
            <w:r>
              <w:rPr>
                <w:color w:val="000000"/>
                <w:spacing w:val="0"/>
                <w:w w:val="100"/>
                <w:position w:val="0"/>
              </w:rPr>
              <w:t>可抵扣暂时性差异</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递延所得税资产</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可抵扣暂时性差异</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递延所得税资产</w:t>
            </w: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信用及资产减值准备形 成的可抵扣暂时性差异</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rPr>
                <w:sz w:val="18"/>
                <w:szCs w:val="18"/>
              </w:rPr>
            </w:pPr>
            <w:r>
              <w:rPr>
                <w:rFonts w:ascii="Times New Roman" w:eastAsia="Times New Roman" w:hAnsi="Times New Roman" w:cs="Times New Roman"/>
                <w:color w:val="000000"/>
                <w:spacing w:val="0"/>
                <w:w w:val="100"/>
                <w:position w:val="0"/>
                <w:sz w:val="18"/>
                <w:szCs w:val="18"/>
              </w:rPr>
              <w:t>138,350,078.26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20,770,612.29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rPr>
                <w:sz w:val="18"/>
                <w:szCs w:val="18"/>
              </w:rPr>
            </w:pPr>
            <w:r>
              <w:rPr>
                <w:rFonts w:ascii="Times New Roman" w:eastAsia="Times New Roman" w:hAnsi="Times New Roman" w:cs="Times New Roman"/>
                <w:color w:val="000000"/>
                <w:spacing w:val="0"/>
                <w:w w:val="100"/>
                <w:position w:val="0"/>
                <w:sz w:val="18"/>
                <w:szCs w:val="18"/>
              </w:rPr>
              <w:t>147,321,389.43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22,087,564.66</w:t>
            </w: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120" w:line="240" w:lineRule="auto"/>
              <w:ind w:left="0" w:right="0" w:firstLine="0"/>
              <w:jc w:val="left"/>
            </w:pPr>
            <w:r>
              <w:rPr>
                <w:color w:val="000000"/>
                <w:spacing w:val="0"/>
                <w:w w:val="100"/>
                <w:position w:val="0"/>
              </w:rPr>
              <w:t>计提质保金形成的可抵</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扣暂时性差异</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20,529,113.51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both"/>
              <w:rPr>
                <w:sz w:val="18"/>
                <w:szCs w:val="18"/>
              </w:rPr>
            </w:pPr>
            <w:r>
              <w:rPr>
                <w:rFonts w:ascii="Times New Roman" w:eastAsia="Times New Roman" w:hAnsi="Times New Roman" w:cs="Times New Roman"/>
                <w:color w:val="000000"/>
                <w:spacing w:val="0"/>
                <w:w w:val="100"/>
                <w:position w:val="0"/>
                <w:sz w:val="18"/>
                <w:szCs w:val="18"/>
              </w:rPr>
              <w:t>3,079,367.03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19,271,066.20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2,890,659.94</w:t>
            </w:r>
          </w:p>
        </w:tc>
      </w:tr>
      <w:tr>
        <w:trPr>
          <w:trHeight w:val="1022"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其他非流动负债(递延 收益)形成的可抵扣暂 时性差异</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702,752.40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105,412.86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911,569.35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136,735.40</w:t>
            </w: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内部销售未实现毛利形 成的可抵扣暂时性差异</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both"/>
              <w:rPr>
                <w:sz w:val="18"/>
                <w:szCs w:val="18"/>
              </w:rPr>
            </w:pPr>
            <w:r>
              <w:rPr>
                <w:rFonts w:ascii="Times New Roman" w:eastAsia="Times New Roman" w:hAnsi="Times New Roman" w:cs="Times New Roman"/>
                <w:color w:val="000000"/>
                <w:spacing w:val="0"/>
                <w:w w:val="100"/>
                <w:position w:val="0"/>
                <w:sz w:val="18"/>
                <w:szCs w:val="18"/>
              </w:rPr>
              <w:t>29,328,410.72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both"/>
              <w:rPr>
                <w:sz w:val="18"/>
                <w:szCs w:val="18"/>
              </w:rPr>
            </w:pPr>
            <w:r>
              <w:rPr>
                <w:rFonts w:ascii="Times New Roman" w:eastAsia="Times New Roman" w:hAnsi="Times New Roman" w:cs="Times New Roman"/>
                <w:color w:val="000000"/>
                <w:spacing w:val="0"/>
                <w:w w:val="100"/>
                <w:position w:val="0"/>
                <w:sz w:val="18"/>
                <w:szCs w:val="18"/>
              </w:rPr>
              <w:t>4,399,261.61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20,073,448.70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3,011,017.30</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rPr>
                <w:sz w:val="18"/>
                <w:szCs w:val="18"/>
              </w:rPr>
            </w:pPr>
            <w:r>
              <w:rPr>
                <w:rFonts w:ascii="Times New Roman" w:eastAsia="Times New Roman" w:hAnsi="Times New Roman" w:cs="Times New Roman"/>
                <w:color w:val="000000"/>
                <w:spacing w:val="0"/>
                <w:w w:val="100"/>
                <w:position w:val="0"/>
                <w:sz w:val="18"/>
                <w:szCs w:val="18"/>
              </w:rPr>
              <w:t>188,910,354.89</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28,354,653.79</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rPr>
                <w:sz w:val="18"/>
                <w:szCs w:val="18"/>
              </w:rPr>
            </w:pPr>
            <w:r>
              <w:rPr>
                <w:rFonts w:ascii="Times New Roman" w:eastAsia="Times New Roman" w:hAnsi="Times New Roman" w:cs="Times New Roman"/>
                <w:color w:val="000000"/>
                <w:spacing w:val="0"/>
                <w:w w:val="100"/>
                <w:position w:val="0"/>
                <w:sz w:val="18"/>
                <w:szCs w:val="18"/>
              </w:rPr>
              <w:t>187,577,473.68</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28,125,977.30</w:t>
            </w:r>
          </w:p>
        </w:tc>
      </w:tr>
    </w:tbl>
    <w:p>
      <w:pPr>
        <w:widowControl w:val="0"/>
        <w:spacing w:after="319" w:line="1" w:lineRule="exact"/>
      </w:pPr>
    </w:p>
    <w:p>
      <w:pPr>
        <w:pStyle w:val="Style58"/>
        <w:keepNext/>
        <w:keepLines/>
        <w:widowControl w:val="0"/>
        <w:numPr>
          <w:ilvl w:val="0"/>
          <w:numId w:val="35"/>
        </w:numPr>
        <w:shd w:val="clear" w:color="auto" w:fill="auto"/>
        <w:bidi w:val="0"/>
        <w:spacing w:before="0" w:after="400" w:line="240" w:lineRule="auto"/>
        <w:ind w:left="0" w:right="0" w:firstLine="0"/>
        <w:jc w:val="both"/>
        <w:rPr>
          <w:sz w:val="20"/>
          <w:szCs w:val="20"/>
        </w:rPr>
      </w:pPr>
      <w:bookmarkStart w:id="1518" w:name="bookmark1518"/>
      <w:bookmarkStart w:id="1519" w:name="bookmark1519"/>
      <w:bookmarkStart w:id="1520" w:name="bookmark1520"/>
      <w:bookmarkStart w:id="1521" w:name="bookmark1521"/>
      <w:bookmarkEnd w:id="1520"/>
      <w:r>
        <w:rPr>
          <w:b/>
          <w:bCs/>
          <w:color w:val="000000"/>
          <w:spacing w:val="0"/>
          <w:w w:val="100"/>
          <w:position w:val="0"/>
          <w:sz w:val="20"/>
          <w:szCs w:val="20"/>
        </w:rPr>
        <w:t>未经抵销的递延所得税负债</w:t>
      </w:r>
      <w:bookmarkEnd w:id="1518"/>
      <w:bookmarkEnd w:id="1519"/>
      <w:bookmarkEnd w:id="1521"/>
    </w:p>
    <w:p>
      <w:pPr>
        <w:pStyle w:val="Style41"/>
        <w:keepNext w:val="0"/>
        <w:keepLines w:val="0"/>
        <w:widowControl w:val="0"/>
        <w:shd w:val="clear" w:color="auto" w:fill="auto"/>
        <w:bidi w:val="0"/>
        <w:spacing w:before="0" w:after="80" w:line="240" w:lineRule="auto"/>
        <w:ind w:left="8920" w:right="0" w:firstLine="0"/>
        <w:jc w:val="left"/>
      </w:pPr>
      <w:r>
        <w:rPr>
          <w:color w:val="000000"/>
          <w:spacing w:val="0"/>
          <w:w w:val="100"/>
          <w:position w:val="0"/>
        </w:rPr>
        <w:t>单位：元</w:t>
      </w:r>
    </w:p>
    <w:tbl>
      <w:tblPr>
        <w:tblOverlap w:val="never"/>
        <w:jc w:val="center"/>
        <w:tblLayout w:type="fixed"/>
      </w:tblPr>
      <w:tblGrid>
        <w:gridCol w:w="1915"/>
        <w:gridCol w:w="1920"/>
        <w:gridCol w:w="1915"/>
        <w:gridCol w:w="1910"/>
        <w:gridCol w:w="1925"/>
      </w:tblGrid>
      <w:tr>
        <w:trPr>
          <w:trHeight w:val="408" w:hRule="exact"/>
        </w:trPr>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gridSpan w:val="2"/>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gridSpan w:val="2"/>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403" w:hRule="exact"/>
        </w:trPr>
        <w:tc>
          <w:tcPr>
            <w:vMerge/>
            <w:tcBorders>
              <w:left w:val="single" w:sz="4"/>
            </w:tcBorders>
            <w:shd w:val="clear" w:color="auto" w:fill="D7D7D7"/>
            <w:vAlign w:val="center"/>
          </w:tcPr>
          <w:p>
            <w:pP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240"/>
              <w:jc w:val="left"/>
            </w:pPr>
            <w:r>
              <w:rPr>
                <w:color w:val="000000"/>
                <w:spacing w:val="0"/>
                <w:w w:val="100"/>
                <w:position w:val="0"/>
              </w:rPr>
              <w:t>应纳税暂时性差异</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递延所得税负债</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220"/>
              <w:jc w:val="left"/>
            </w:pPr>
            <w:r>
              <w:rPr>
                <w:color w:val="000000"/>
                <w:spacing w:val="0"/>
                <w:w w:val="100"/>
                <w:position w:val="0"/>
              </w:rPr>
              <w:t>应纳税暂时性差异</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递延所得税负债</w:t>
            </w: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非同一控制企业合并资 产评估增值</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2,193,187.31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328,978.10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3,449,223.29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517,383.48</w:t>
            </w:r>
          </w:p>
        </w:tc>
      </w:tr>
      <w:tr>
        <w:trPr>
          <w:trHeight w:val="1022"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拟处置部分的长期股权 投资估值与计税基础形 成的应纳税暂时性差异</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left"/>
              <w:rPr>
                <w:sz w:val="18"/>
                <w:szCs w:val="18"/>
              </w:rPr>
            </w:pPr>
            <w:r>
              <w:rPr>
                <w:rFonts w:ascii="Times New Roman" w:eastAsia="Times New Roman" w:hAnsi="Times New Roman" w:cs="Times New Roman"/>
                <w:color w:val="000000"/>
                <w:spacing w:val="0"/>
                <w:w w:val="100"/>
                <w:position w:val="0"/>
                <w:sz w:val="18"/>
                <w:szCs w:val="18"/>
              </w:rPr>
              <w:t>10,764,191.09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both"/>
              <w:rPr>
                <w:sz w:val="18"/>
                <w:szCs w:val="18"/>
              </w:rPr>
            </w:pPr>
            <w:r>
              <w:rPr>
                <w:rFonts w:ascii="Times New Roman" w:eastAsia="Times New Roman" w:hAnsi="Times New Roman" w:cs="Times New Roman"/>
                <w:color w:val="000000"/>
                <w:spacing w:val="0"/>
                <w:w w:val="100"/>
                <w:position w:val="0"/>
                <w:sz w:val="18"/>
                <w:szCs w:val="18"/>
              </w:rPr>
              <w:t>1,614,628.66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07" w:lineRule="exact"/>
              <w:ind w:left="0" w:right="0" w:firstLine="0"/>
              <w:jc w:val="left"/>
            </w:pPr>
            <w:r>
              <w:rPr>
                <w:color w:val="000000"/>
                <w:spacing w:val="0"/>
                <w:w w:val="100"/>
                <w:position w:val="0"/>
              </w:rPr>
              <w:t>计入当期损益的交易性 金融资产公允价值变动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421,125.73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63,168.86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left"/>
              <w:rPr>
                <w:sz w:val="18"/>
                <w:szCs w:val="18"/>
              </w:rPr>
            </w:pPr>
            <w:r>
              <w:rPr>
                <w:rFonts w:ascii="Times New Roman" w:eastAsia="Times New Roman" w:hAnsi="Times New Roman" w:cs="Times New Roman"/>
                <w:color w:val="000000"/>
                <w:spacing w:val="0"/>
                <w:w w:val="100"/>
                <w:position w:val="0"/>
                <w:sz w:val="18"/>
                <w:szCs w:val="18"/>
              </w:rPr>
              <w:t>13,378,504.13</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both"/>
              <w:rPr>
                <w:sz w:val="18"/>
                <w:szCs w:val="18"/>
              </w:rPr>
            </w:pPr>
            <w:r>
              <w:rPr>
                <w:rFonts w:ascii="Times New Roman" w:eastAsia="Times New Roman" w:hAnsi="Times New Roman" w:cs="Times New Roman"/>
                <w:color w:val="000000"/>
                <w:spacing w:val="0"/>
                <w:w w:val="100"/>
                <w:position w:val="0"/>
                <w:sz w:val="18"/>
                <w:szCs w:val="18"/>
              </w:rPr>
              <w:t>2,006,775.62</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3,449,223.29</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517,383.48</w:t>
            </w:r>
          </w:p>
        </w:tc>
      </w:tr>
    </w:tbl>
    <w:p>
      <w:pPr>
        <w:widowControl w:val="0"/>
        <w:spacing w:after="319" w:line="1" w:lineRule="exact"/>
      </w:pPr>
    </w:p>
    <w:p>
      <w:pPr>
        <w:pStyle w:val="Style58"/>
        <w:keepNext/>
        <w:keepLines/>
        <w:widowControl w:val="0"/>
        <w:numPr>
          <w:ilvl w:val="0"/>
          <w:numId w:val="35"/>
        </w:numPr>
        <w:shd w:val="clear" w:color="auto" w:fill="auto"/>
        <w:bidi w:val="0"/>
        <w:spacing w:before="0" w:after="400" w:line="240" w:lineRule="auto"/>
        <w:ind w:left="0" w:right="0" w:firstLine="0"/>
        <w:jc w:val="left"/>
        <w:rPr>
          <w:sz w:val="20"/>
          <w:szCs w:val="20"/>
        </w:rPr>
      </w:pPr>
      <w:bookmarkStart w:id="1522" w:name="bookmark1522"/>
      <w:bookmarkStart w:id="1523" w:name="bookmark1523"/>
      <w:bookmarkStart w:id="1524" w:name="bookmark1524"/>
      <w:bookmarkStart w:id="1525" w:name="bookmark1525"/>
      <w:bookmarkEnd w:id="1524"/>
      <w:r>
        <w:rPr>
          <w:b/>
          <w:bCs/>
          <w:color w:val="000000"/>
          <w:spacing w:val="0"/>
          <w:w w:val="100"/>
          <w:position w:val="0"/>
          <w:sz w:val="20"/>
          <w:szCs w:val="20"/>
        </w:rPr>
        <w:t>以抵销后净额列示的递延所得税资产或负债</w:t>
      </w:r>
      <w:bookmarkEnd w:id="1522"/>
      <w:bookmarkEnd w:id="1523"/>
      <w:bookmarkEnd w:id="1525"/>
    </w:p>
    <w:p>
      <w:pPr>
        <w:pStyle w:val="Style41"/>
        <w:keepNext w:val="0"/>
        <w:keepLines w:val="0"/>
        <w:widowControl w:val="0"/>
        <w:shd w:val="clear" w:color="auto" w:fill="auto"/>
        <w:bidi w:val="0"/>
        <w:spacing w:before="0" w:after="80" w:line="240" w:lineRule="auto"/>
        <w:ind w:left="8920" w:right="0" w:firstLine="0"/>
        <w:jc w:val="left"/>
      </w:pPr>
      <w:r>
        <w:rPr>
          <w:color w:val="000000"/>
          <w:spacing w:val="0"/>
          <w:w w:val="100"/>
          <w:position w:val="0"/>
        </w:rPr>
        <w:t>单位：元</w:t>
      </w:r>
    </w:p>
    <w:tbl>
      <w:tblPr>
        <w:tblOverlap w:val="never"/>
        <w:jc w:val="center"/>
        <w:tblLayout w:type="fixed"/>
      </w:tblPr>
      <w:tblGrid>
        <w:gridCol w:w="1915"/>
        <w:gridCol w:w="1920"/>
        <w:gridCol w:w="1925"/>
        <w:gridCol w:w="1901"/>
        <w:gridCol w:w="1925"/>
      </w:tblGrid>
      <w:tr>
        <w:trPr>
          <w:trHeight w:val="725"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递延所得税资产和负债 期末互抵金额</w:t>
            </w:r>
          </w:p>
        </w:tc>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抵销后递延所得税资产 或负债期末余额</w:t>
            </w:r>
          </w:p>
        </w:tc>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递延所得税资产和负债 期初互抵金额</w:t>
            </w:r>
          </w:p>
        </w:tc>
        <w:tc>
          <w:tcPr>
            <w:tcBorders>
              <w:top w:val="single" w:sz="4"/>
              <w:left w:val="single" w:sz="4"/>
              <w:bottom w:val="single" w:sz="4"/>
              <w:right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抵销后递延所得税资产 或负债期初余额</w:t>
            </w:r>
          </w:p>
        </w:tc>
      </w:tr>
    </w:tbl>
    <w:p>
      <w:pPr>
        <w:widowControl w:val="0"/>
        <w:spacing w:line="1" w:lineRule="exact"/>
      </w:pPr>
    </w:p>
    <w:tbl>
      <w:tblPr>
        <w:tblOverlap w:val="never"/>
        <w:jc w:val="center"/>
        <w:tblLayout w:type="fixed"/>
      </w:tblPr>
      <w:tblGrid>
        <w:gridCol w:w="1915"/>
        <w:gridCol w:w="1920"/>
        <w:gridCol w:w="1910"/>
        <w:gridCol w:w="1915"/>
        <w:gridCol w:w="1925"/>
      </w:tblGrid>
      <w:tr>
        <w:trPr>
          <w:trHeight w:val="480"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递延所得税资产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28,354,653.79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28,125,977.30</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递延所得税负债</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2,006,775.62</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517,383.48</w:t>
            </w:r>
          </w:p>
        </w:tc>
      </w:tr>
    </w:tbl>
    <w:p>
      <w:pPr>
        <w:widowControl w:val="0"/>
        <w:spacing w:after="319" w:line="1" w:lineRule="exact"/>
      </w:pPr>
    </w:p>
    <w:p>
      <w:pPr>
        <w:pStyle w:val="Style47"/>
        <w:keepNext/>
        <w:keepLines/>
        <w:widowControl w:val="0"/>
        <w:shd w:val="clear" w:color="auto" w:fill="auto"/>
        <w:bidi w:val="0"/>
        <w:spacing w:before="0" w:after="400" w:line="240" w:lineRule="auto"/>
        <w:ind w:left="0" w:right="0" w:firstLine="0"/>
        <w:jc w:val="left"/>
      </w:pPr>
      <w:bookmarkStart w:id="1526" w:name="bookmark1526"/>
      <w:bookmarkStart w:id="1527" w:name="bookmark1527"/>
      <w:bookmarkStart w:id="1528" w:name="bookmark1528"/>
      <w:bookmarkStart w:id="1529" w:name="bookmark1529"/>
      <w:r>
        <w:rPr>
          <w:color w:val="000000"/>
          <w:spacing w:val="0"/>
          <w:w w:val="100"/>
          <w:position w:val="0"/>
        </w:rPr>
        <w:t>3</w:t>
      </w:r>
      <w:bookmarkEnd w:id="1528"/>
      <w:r>
        <w:rPr>
          <w:color w:val="000000"/>
          <w:spacing w:val="0"/>
          <w:w w:val="100"/>
          <w:position w:val="0"/>
        </w:rPr>
        <w:t>1、其他非流动资产</w:t>
      </w:r>
      <w:bookmarkEnd w:id="1526"/>
      <w:bookmarkEnd w:id="1527"/>
      <w:bookmarkEnd w:id="1529"/>
    </w:p>
    <w:p>
      <w:pPr>
        <w:pStyle w:val="Style41"/>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2842"/>
        <w:gridCol w:w="1272"/>
        <w:gridCol w:w="854"/>
        <w:gridCol w:w="1272"/>
        <w:gridCol w:w="1277"/>
        <w:gridCol w:w="854"/>
        <w:gridCol w:w="1214"/>
      </w:tblGrid>
      <w:tr>
        <w:trPr>
          <w:trHeight w:val="408" w:hRule="exact"/>
        </w:trPr>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gridSpan w:val="3"/>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gridSpan w:val="3"/>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403" w:hRule="exact"/>
        </w:trPr>
        <w:tc>
          <w:tcPr>
            <w:vMerge/>
            <w:tcBorders>
              <w:left w:val="single" w:sz="4"/>
            </w:tcBorders>
            <w:shd w:val="clear" w:color="auto" w:fill="D7D7D7"/>
            <w:vAlign w:val="center"/>
          </w:tcPr>
          <w:p>
            <w:pP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减值准备</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账面价值</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减值准备</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账面价值</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预付土地款【注】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375,000,000.00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375,000,000.00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375,000,000.00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375,000,000.00</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5G+</w:t>
            </w:r>
            <w:r>
              <w:rPr>
                <w:color w:val="000000"/>
                <w:spacing w:val="0"/>
                <w:w w:val="100"/>
                <w:position w:val="0"/>
              </w:rPr>
              <w:t>工业互联网项目装修及设备款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19,277,194.64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19,277,194.64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18,359,763.45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18,359,763.45</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394,277,194.64</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394,277,194.64</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393,359,763.45</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393,359,763.45</w:t>
            </w:r>
          </w:p>
        </w:tc>
      </w:tr>
    </w:tbl>
    <w:p>
      <w:pPr>
        <w:pStyle w:val="Style41"/>
        <w:keepNext w:val="0"/>
        <w:keepLines w:val="0"/>
        <w:widowControl w:val="0"/>
        <w:shd w:val="clear" w:color="auto" w:fill="auto"/>
        <w:bidi w:val="0"/>
        <w:spacing w:before="0" w:after="0" w:line="469" w:lineRule="exact"/>
        <w:ind w:left="0" w:right="0"/>
        <w:jc w:val="both"/>
      </w:pPr>
      <w:r>
        <w:rPr>
          <w:color w:val="000000"/>
          <w:spacing w:val="0"/>
          <w:w w:val="100"/>
          <w:position w:val="0"/>
        </w:rPr>
        <w:t>注：根据项目开发合作协议，北京市房山新城建设工程有限责任公司（以下简称</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房山建设</w:t>
      </w:r>
      <w:r>
        <w:rPr>
          <w:color w:val="000000"/>
          <w:spacing w:val="0"/>
          <w:w w:val="100"/>
          <w:position w:val="0"/>
        </w:rPr>
        <w:t>''）</w:t>
      </w:r>
      <w:r>
        <w:rPr>
          <w:color w:val="000000"/>
          <w:spacing w:val="0"/>
          <w:w w:val="100"/>
          <w:position w:val="0"/>
        </w:rPr>
        <w:t>与本公司全资子公司北京 泰岳阳光科技有限公司（以下简称邛阳光科技</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）等共计六家公司组成联合体（以下简称</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联合体</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），由房山建设作为牵头公 司进行</w:t>
      </w:r>
      <w:r>
        <w:rPr>
          <w:rFonts w:ascii="Times New Roman" w:eastAsia="Times New Roman" w:hAnsi="Times New Roman" w:cs="Times New Roman"/>
          <w:color w:val="000000"/>
          <w:spacing w:val="0"/>
          <w:w w:val="100"/>
          <w:position w:val="0"/>
          <w:sz w:val="18"/>
          <w:szCs w:val="18"/>
        </w:rPr>
        <w:t>FS00-LX10-0092</w:t>
      </w:r>
      <w:r>
        <w:rPr>
          <w:color w:val="000000"/>
          <w:spacing w:val="0"/>
          <w:w w:val="100"/>
          <w:position w:val="0"/>
        </w:rPr>
        <w:t>等地块的土地竞买活动。</w:t>
      </w:r>
      <w:r>
        <w:rPr>
          <w:rFonts w:ascii="Times New Roman" w:eastAsia="Times New Roman" w:hAnsi="Times New Roman" w:cs="Times New Roman"/>
          <w:color w:val="000000"/>
          <w:spacing w:val="0"/>
          <w:w w:val="100"/>
          <w:position w:val="0"/>
          <w:sz w:val="18"/>
          <w:szCs w:val="18"/>
        </w:rPr>
        <w:t>2017</w:t>
      </w:r>
      <w:r>
        <w:rPr>
          <w:color w:val="000000"/>
          <w:spacing w:val="0"/>
          <w:w w:val="100"/>
          <w:position w:val="0"/>
        </w:rPr>
        <w:t>年阳光科技已根据协议向房山建设支付土地价款人民币</w:t>
      </w:r>
      <w:r>
        <w:rPr>
          <w:rFonts w:ascii="Times New Roman" w:eastAsia="Times New Roman" w:hAnsi="Times New Roman" w:cs="Times New Roman"/>
          <w:color w:val="000000"/>
          <w:spacing w:val="0"/>
          <w:w w:val="100"/>
          <w:position w:val="0"/>
          <w:sz w:val="18"/>
          <w:szCs w:val="18"/>
        </w:rPr>
        <w:t>3.75</w:t>
      </w:r>
      <w:r>
        <w:rPr>
          <w:color w:val="000000"/>
          <w:spacing w:val="0"/>
          <w:w w:val="100"/>
          <w:position w:val="0"/>
        </w:rPr>
        <w:t>亿元，用于 向北京市财政局支付土地款。</w:t>
      </w:r>
    </w:p>
    <w:p>
      <w:pPr>
        <w:pStyle w:val="Style41"/>
        <w:keepNext w:val="0"/>
        <w:keepLines w:val="0"/>
        <w:widowControl w:val="0"/>
        <w:shd w:val="clear" w:color="auto" w:fill="auto"/>
        <w:bidi w:val="0"/>
        <w:spacing w:before="0" w:after="440" w:line="469" w:lineRule="exact"/>
        <w:ind w:left="0" w:right="0"/>
        <w:jc w:val="both"/>
      </w:pPr>
      <w:r>
        <w:rPr>
          <w:color w:val="000000"/>
          <w:spacing w:val="0"/>
          <w:w w:val="100"/>
          <w:position w:val="0"/>
        </w:rPr>
        <w:t>根据</w:t>
      </w:r>
      <w:r>
        <w:rPr>
          <w:rFonts w:ascii="Times New Roman" w:eastAsia="Times New Roman" w:hAnsi="Times New Roman" w:cs="Times New Roman"/>
          <w:color w:val="000000"/>
          <w:spacing w:val="0"/>
          <w:w w:val="100"/>
          <w:position w:val="0"/>
          <w:sz w:val="18"/>
          <w:szCs w:val="18"/>
        </w:rPr>
        <w:t>2018</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8</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27</w:t>
      </w:r>
      <w:r>
        <w:rPr>
          <w:color w:val="000000"/>
          <w:spacing w:val="0"/>
          <w:w w:val="100"/>
          <w:position w:val="0"/>
        </w:rPr>
        <w:t>日北京市规划和国土资源管理委员会、联合体与北京创董创新实业有限公司签署的国有建设用地使用 权出让合同附件五之补充协议，联合体将出让合同的受让人变更为北京创董创新实业有限公司。出让合同中约定联合体承担 的一切权利、义务随之转由北京创董创新实业有限公司承接。联合体对北京创董创新实业有限公司履行出让合同的行为将承 担连带担保责任。</w:t>
      </w:r>
      <w:r>
        <w:rPr>
          <w:rFonts w:ascii="Times New Roman" w:eastAsia="Times New Roman" w:hAnsi="Times New Roman" w:cs="Times New Roman"/>
          <w:color w:val="000000"/>
          <w:spacing w:val="0"/>
          <w:w w:val="100"/>
          <w:position w:val="0"/>
          <w:sz w:val="18"/>
          <w:szCs w:val="18"/>
        </w:rPr>
        <w:t>FS00-LX10-0092</w:t>
      </w:r>
      <w:r>
        <w:rPr>
          <w:color w:val="000000"/>
          <w:spacing w:val="0"/>
          <w:w w:val="100"/>
          <w:position w:val="0"/>
        </w:rPr>
        <w:t>等地块的土地权证已于</w:t>
      </w:r>
      <w:r>
        <w:rPr>
          <w:rFonts w:ascii="Times New Roman" w:eastAsia="Times New Roman" w:hAnsi="Times New Roman" w:cs="Times New Roman"/>
          <w:color w:val="000000"/>
          <w:spacing w:val="0"/>
          <w:w w:val="100"/>
          <w:position w:val="0"/>
          <w:sz w:val="18"/>
          <w:szCs w:val="18"/>
        </w:rPr>
        <w:t>2019</w:t>
      </w:r>
      <w:r>
        <w:rPr>
          <w:color w:val="000000"/>
          <w:spacing w:val="0"/>
          <w:w w:val="100"/>
          <w:position w:val="0"/>
        </w:rPr>
        <w:t>年度办理完成。</w:t>
      </w:r>
    </w:p>
    <w:p>
      <w:pPr>
        <w:pStyle w:val="Style47"/>
        <w:keepNext/>
        <w:keepLines/>
        <w:widowControl w:val="0"/>
        <w:shd w:val="clear" w:color="auto" w:fill="auto"/>
        <w:bidi w:val="0"/>
        <w:spacing w:before="0" w:after="400" w:line="240" w:lineRule="auto"/>
        <w:ind w:left="0" w:right="0" w:firstLine="0"/>
        <w:jc w:val="both"/>
      </w:pPr>
      <w:bookmarkStart w:id="1530" w:name="bookmark1530"/>
      <w:bookmarkStart w:id="1531" w:name="bookmark1531"/>
      <w:bookmarkStart w:id="1532" w:name="bookmark1532"/>
      <w:bookmarkStart w:id="1533" w:name="bookmark1533"/>
      <w:r>
        <w:rPr>
          <w:color w:val="000000"/>
          <w:spacing w:val="0"/>
          <w:w w:val="100"/>
          <w:position w:val="0"/>
        </w:rPr>
        <w:t>3</w:t>
      </w:r>
      <w:bookmarkEnd w:id="1532"/>
      <w:r>
        <w:rPr>
          <w:color w:val="000000"/>
          <w:spacing w:val="0"/>
          <w:w w:val="100"/>
          <w:position w:val="0"/>
        </w:rPr>
        <w:t>2、短期借款</w:t>
      </w:r>
      <w:bookmarkEnd w:id="1530"/>
      <w:bookmarkEnd w:id="1531"/>
      <w:bookmarkEnd w:id="1533"/>
    </w:p>
    <w:p>
      <w:pPr>
        <w:pStyle w:val="Style58"/>
        <w:keepNext/>
        <w:keepLines/>
        <w:widowControl w:val="0"/>
        <w:shd w:val="clear" w:color="auto" w:fill="auto"/>
        <w:bidi w:val="0"/>
        <w:spacing w:before="0" w:after="400" w:line="240" w:lineRule="auto"/>
        <w:ind w:left="0" w:right="0" w:firstLine="0"/>
        <w:jc w:val="both"/>
        <w:rPr>
          <w:sz w:val="20"/>
          <w:szCs w:val="20"/>
        </w:rPr>
      </w:pPr>
      <w:bookmarkStart w:id="1534" w:name="bookmark1534"/>
      <w:bookmarkStart w:id="1535" w:name="bookmark1535"/>
      <w:bookmarkStart w:id="1536" w:name="bookmark1536"/>
      <w:bookmarkStart w:id="1537" w:name="bookmark1537"/>
      <w:r>
        <w:rPr>
          <w:b/>
          <w:bCs/>
          <w:color w:val="000000"/>
          <w:spacing w:val="0"/>
          <w:w w:val="100"/>
          <w:position w:val="0"/>
          <w:sz w:val="20"/>
          <w:szCs w:val="20"/>
        </w:rPr>
        <w:t>（</w:t>
      </w:r>
      <w:bookmarkEnd w:id="1536"/>
      <w:r>
        <w:rPr>
          <w:b/>
          <w:bCs/>
          <w:color w:val="000000"/>
          <w:spacing w:val="0"/>
          <w:w w:val="100"/>
          <w:position w:val="0"/>
          <w:sz w:val="20"/>
          <w:szCs w:val="20"/>
        </w:rPr>
        <w:t>1）短期借款分类</w:t>
      </w:r>
      <w:bookmarkEnd w:id="1534"/>
      <w:bookmarkEnd w:id="1535"/>
      <w:bookmarkEnd w:id="1537"/>
    </w:p>
    <w:p>
      <w:pPr>
        <w:pStyle w:val="Style41"/>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3192"/>
        <w:gridCol w:w="3192"/>
        <w:gridCol w:w="3202"/>
      </w:tblGrid>
      <w:tr>
        <w:trPr>
          <w:trHeight w:val="40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抵押借款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305,637,139.64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738,259,237.05</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短期借款应计利息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358,590.65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1,053,149.35</w:t>
            </w:r>
          </w:p>
        </w:tc>
      </w:tr>
      <w:tr>
        <w:trPr>
          <w:trHeight w:val="408"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305,995,730.29</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739,312,386.40</w:t>
            </w:r>
          </w:p>
        </w:tc>
      </w:tr>
    </w:tbl>
    <w:p>
      <w:pPr>
        <w:widowControl w:val="0"/>
        <w:spacing w:after="319" w:line="1" w:lineRule="exact"/>
      </w:pPr>
    </w:p>
    <w:p>
      <w:pPr>
        <w:pStyle w:val="Style58"/>
        <w:keepNext/>
        <w:keepLines/>
        <w:widowControl w:val="0"/>
        <w:shd w:val="clear" w:color="auto" w:fill="auto"/>
        <w:bidi w:val="0"/>
        <w:spacing w:before="0" w:after="480" w:line="240" w:lineRule="auto"/>
        <w:ind w:left="0" w:right="0" w:firstLine="140"/>
        <w:jc w:val="left"/>
        <w:rPr>
          <w:sz w:val="20"/>
          <w:szCs w:val="20"/>
        </w:rPr>
      </w:pPr>
      <w:bookmarkStart w:id="1538" w:name="bookmark1538"/>
      <w:bookmarkStart w:id="1539" w:name="bookmark1539"/>
      <w:bookmarkStart w:id="1540" w:name="bookmark1540"/>
      <w:bookmarkStart w:id="1541" w:name="bookmark1541"/>
      <w:r>
        <w:rPr>
          <w:b/>
          <w:bCs/>
          <w:color w:val="000000"/>
          <w:spacing w:val="0"/>
          <w:w w:val="100"/>
          <w:position w:val="0"/>
          <w:sz w:val="20"/>
          <w:szCs w:val="20"/>
        </w:rPr>
        <w:t>（</w:t>
      </w:r>
      <w:bookmarkEnd w:id="1540"/>
      <w:r>
        <w:rPr>
          <w:b/>
          <w:bCs/>
          <w:color w:val="000000"/>
          <w:spacing w:val="0"/>
          <w:w w:val="100"/>
          <w:position w:val="0"/>
          <w:sz w:val="20"/>
          <w:szCs w:val="20"/>
        </w:rPr>
        <w:t>2）已逾期未偿还的短期借款情况</w:t>
      </w:r>
      <w:bookmarkEnd w:id="1538"/>
      <w:bookmarkEnd w:id="1539"/>
      <w:bookmarkEnd w:id="1541"/>
    </w:p>
    <w:p>
      <w:pPr>
        <w:pStyle w:val="Style41"/>
        <w:keepNext w:val="0"/>
        <w:keepLines w:val="0"/>
        <w:widowControl w:val="0"/>
        <w:shd w:val="clear" w:color="auto" w:fill="auto"/>
        <w:bidi w:val="0"/>
        <w:spacing w:before="0" w:after="400" w:line="240" w:lineRule="auto"/>
        <w:ind w:left="0" w:right="0"/>
        <w:jc w:val="left"/>
        <w:sectPr>
          <w:headerReference w:type="default" r:id="rId399"/>
          <w:footerReference w:type="default" r:id="rId400"/>
          <w:headerReference w:type="even" r:id="rId401"/>
          <w:footerReference w:type="even" r:id="rId402"/>
          <w:headerReference w:type="first" r:id="rId403"/>
          <w:footerReference w:type="first" r:id="rId404"/>
          <w:footnotePr>
            <w:pos w:val="pageBottom"/>
            <w:numFmt w:val="decimal"/>
            <w:numRestart w:val="continuous"/>
          </w:footnotePr>
          <w:pgSz w:w="11904" w:h="17375"/>
          <w:pgMar w:top="1676" w:right="1022" w:bottom="1674" w:left="1004" w:header="0" w:footer="3" w:gutter="0"/>
          <w:cols w:space="720"/>
          <w:noEndnote/>
          <w:titlePg/>
          <w:rtlGutter w:val="0"/>
          <w:docGrid w:linePitch="360"/>
        </w:sectPr>
      </w:pPr>
      <w:r>
        <w:rPr>
          <w:color w:val="000000"/>
          <w:spacing w:val="0"/>
          <w:w w:val="100"/>
          <w:position w:val="0"/>
        </w:rPr>
        <w:t>无。</w:t>
      </w:r>
    </w:p>
    <w:p>
      <w:pPr>
        <w:pStyle w:val="Style47"/>
        <w:keepNext/>
        <w:keepLines/>
        <w:widowControl w:val="0"/>
        <w:shd w:val="clear" w:color="auto" w:fill="auto"/>
        <w:tabs>
          <w:tab w:pos="483" w:val="left"/>
        </w:tabs>
        <w:bidi w:val="0"/>
        <w:spacing w:before="0" w:after="480" w:line="240" w:lineRule="auto"/>
        <w:ind w:left="0" w:right="0" w:firstLine="0"/>
        <w:jc w:val="left"/>
      </w:pPr>
      <w:bookmarkStart w:id="1542" w:name="bookmark1542"/>
      <w:bookmarkStart w:id="1543" w:name="bookmark1543"/>
      <w:bookmarkStart w:id="1544" w:name="bookmark1544"/>
      <w:bookmarkStart w:id="1545" w:name="bookmark1545"/>
      <w:r>
        <w:rPr>
          <w:color w:val="000000"/>
          <w:spacing w:val="0"/>
          <w:w w:val="100"/>
          <w:position w:val="0"/>
        </w:rPr>
        <w:t>3</w:t>
      </w:r>
      <w:bookmarkEnd w:id="1544"/>
      <w:r>
        <w:rPr>
          <w:color w:val="000000"/>
          <w:spacing w:val="0"/>
          <w:w w:val="100"/>
          <w:position w:val="0"/>
        </w:rPr>
        <w:t>3、</w:t>
        <w:tab/>
        <w:t>交易性金融负债</w:t>
      </w:r>
      <w:bookmarkEnd w:id="1542"/>
      <w:bookmarkEnd w:id="1543"/>
      <w:bookmarkEnd w:id="1545"/>
    </w:p>
    <w:p>
      <w:pPr>
        <w:pStyle w:val="Style41"/>
        <w:keepNext w:val="0"/>
        <w:keepLines w:val="0"/>
        <w:widowControl w:val="0"/>
        <w:shd w:val="clear" w:color="auto" w:fill="auto"/>
        <w:bidi w:val="0"/>
        <w:spacing w:before="0" w:after="480" w:line="240" w:lineRule="auto"/>
        <w:ind w:left="0" w:right="0"/>
        <w:jc w:val="left"/>
      </w:pPr>
      <w:r>
        <w:rPr>
          <w:color w:val="000000"/>
          <w:spacing w:val="0"/>
          <w:w w:val="100"/>
          <w:position w:val="0"/>
        </w:rPr>
        <w:t>无。</w:t>
      </w:r>
    </w:p>
    <w:p>
      <w:pPr>
        <w:pStyle w:val="Style47"/>
        <w:keepNext/>
        <w:keepLines/>
        <w:widowControl w:val="0"/>
        <w:shd w:val="clear" w:color="auto" w:fill="auto"/>
        <w:tabs>
          <w:tab w:pos="483" w:val="left"/>
        </w:tabs>
        <w:bidi w:val="0"/>
        <w:spacing w:before="0" w:after="480" w:line="240" w:lineRule="auto"/>
        <w:ind w:left="0" w:right="0" w:firstLine="0"/>
        <w:jc w:val="left"/>
      </w:pPr>
      <w:bookmarkStart w:id="1546" w:name="bookmark1546"/>
      <w:bookmarkStart w:id="1547" w:name="bookmark1547"/>
      <w:bookmarkStart w:id="1548" w:name="bookmark1548"/>
      <w:bookmarkStart w:id="1549" w:name="bookmark1549"/>
      <w:r>
        <w:rPr>
          <w:color w:val="000000"/>
          <w:spacing w:val="0"/>
          <w:w w:val="100"/>
          <w:position w:val="0"/>
        </w:rPr>
        <w:t>3</w:t>
      </w:r>
      <w:bookmarkEnd w:id="1548"/>
      <w:r>
        <w:rPr>
          <w:color w:val="000000"/>
          <w:spacing w:val="0"/>
          <w:w w:val="100"/>
          <w:position w:val="0"/>
        </w:rPr>
        <w:t>4、</w:t>
        <w:tab/>
        <w:t>衍生金融负债</w:t>
      </w:r>
      <w:bookmarkEnd w:id="1546"/>
      <w:bookmarkEnd w:id="1547"/>
      <w:bookmarkEnd w:id="1549"/>
    </w:p>
    <w:p>
      <w:pPr>
        <w:pStyle w:val="Style41"/>
        <w:keepNext w:val="0"/>
        <w:keepLines w:val="0"/>
        <w:widowControl w:val="0"/>
        <w:shd w:val="clear" w:color="auto" w:fill="auto"/>
        <w:bidi w:val="0"/>
        <w:spacing w:before="0" w:after="480" w:line="240" w:lineRule="auto"/>
        <w:ind w:left="0" w:right="0"/>
        <w:jc w:val="left"/>
      </w:pPr>
      <w:r>
        <w:rPr>
          <w:color w:val="000000"/>
          <w:spacing w:val="0"/>
          <w:w w:val="100"/>
          <w:position w:val="0"/>
        </w:rPr>
        <w:t>无。</w:t>
      </w:r>
    </w:p>
    <w:p>
      <w:pPr>
        <w:pStyle w:val="Style47"/>
        <w:keepNext/>
        <w:keepLines/>
        <w:widowControl w:val="0"/>
        <w:shd w:val="clear" w:color="auto" w:fill="auto"/>
        <w:tabs>
          <w:tab w:pos="483" w:val="left"/>
        </w:tabs>
        <w:bidi w:val="0"/>
        <w:spacing w:before="0" w:after="480" w:line="240" w:lineRule="auto"/>
        <w:ind w:left="0" w:right="0" w:firstLine="0"/>
        <w:jc w:val="left"/>
      </w:pPr>
      <w:bookmarkStart w:id="1550" w:name="bookmark1550"/>
      <w:bookmarkStart w:id="1551" w:name="bookmark1551"/>
      <w:bookmarkStart w:id="1552" w:name="bookmark1552"/>
      <w:bookmarkStart w:id="1553" w:name="bookmark1553"/>
      <w:r>
        <w:rPr>
          <w:color w:val="000000"/>
          <w:spacing w:val="0"/>
          <w:w w:val="100"/>
          <w:position w:val="0"/>
        </w:rPr>
        <w:t>3</w:t>
      </w:r>
      <w:bookmarkEnd w:id="1552"/>
      <w:r>
        <w:rPr>
          <w:color w:val="000000"/>
          <w:spacing w:val="0"/>
          <w:w w:val="100"/>
          <w:position w:val="0"/>
        </w:rPr>
        <w:t>5、</w:t>
        <w:tab/>
        <w:t>应付票据</w:t>
      </w:r>
      <w:bookmarkEnd w:id="1550"/>
      <w:bookmarkEnd w:id="1551"/>
      <w:bookmarkEnd w:id="1553"/>
    </w:p>
    <w:p>
      <w:pPr>
        <w:pStyle w:val="Style41"/>
        <w:keepNext w:val="0"/>
        <w:keepLines w:val="0"/>
        <w:widowControl w:val="0"/>
        <w:shd w:val="clear" w:color="auto" w:fill="auto"/>
        <w:bidi w:val="0"/>
        <w:spacing w:before="0" w:after="480" w:line="240" w:lineRule="auto"/>
        <w:ind w:left="0" w:right="0"/>
        <w:jc w:val="left"/>
      </w:pPr>
      <w:r>
        <w:rPr>
          <w:color w:val="000000"/>
          <w:spacing w:val="0"/>
          <w:w w:val="100"/>
          <w:position w:val="0"/>
        </w:rPr>
        <w:t>无。</w:t>
      </w:r>
    </w:p>
    <w:p>
      <w:pPr>
        <w:pStyle w:val="Style47"/>
        <w:keepNext/>
        <w:keepLines/>
        <w:widowControl w:val="0"/>
        <w:shd w:val="clear" w:color="auto" w:fill="auto"/>
        <w:tabs>
          <w:tab w:pos="483" w:val="left"/>
        </w:tabs>
        <w:bidi w:val="0"/>
        <w:spacing w:before="0" w:after="400" w:line="240" w:lineRule="auto"/>
        <w:ind w:left="0" w:right="0" w:firstLine="0"/>
        <w:jc w:val="left"/>
      </w:pPr>
      <w:bookmarkStart w:id="1554" w:name="bookmark1554"/>
      <w:bookmarkStart w:id="1555" w:name="bookmark1555"/>
      <w:bookmarkStart w:id="1556" w:name="bookmark1556"/>
      <w:bookmarkStart w:id="1557" w:name="bookmark1557"/>
      <w:r>
        <w:rPr>
          <w:color w:val="000000"/>
          <w:spacing w:val="0"/>
          <w:w w:val="100"/>
          <w:position w:val="0"/>
        </w:rPr>
        <w:t>3</w:t>
      </w:r>
      <w:bookmarkEnd w:id="1556"/>
      <w:r>
        <w:rPr>
          <w:color w:val="000000"/>
          <w:spacing w:val="0"/>
          <w:w w:val="100"/>
          <w:position w:val="0"/>
        </w:rPr>
        <w:t>6、</w:t>
        <w:tab/>
        <w:t>应付账款</w:t>
      </w:r>
      <w:bookmarkEnd w:id="1554"/>
      <w:bookmarkEnd w:id="1555"/>
      <w:bookmarkEnd w:id="1557"/>
    </w:p>
    <w:p>
      <w:pPr>
        <w:pStyle w:val="Style58"/>
        <w:keepNext/>
        <w:keepLines/>
        <w:widowControl w:val="0"/>
        <w:numPr>
          <w:ilvl w:val="0"/>
          <w:numId w:val="37"/>
        </w:numPr>
        <w:shd w:val="clear" w:color="auto" w:fill="auto"/>
        <w:bidi w:val="0"/>
        <w:spacing w:before="0" w:after="400" w:line="240" w:lineRule="auto"/>
        <w:ind w:left="0" w:right="0" w:firstLine="0"/>
        <w:jc w:val="left"/>
        <w:rPr>
          <w:sz w:val="20"/>
          <w:szCs w:val="20"/>
        </w:rPr>
      </w:pPr>
      <w:bookmarkStart w:id="1558" w:name="bookmark1558"/>
      <w:bookmarkStart w:id="1559" w:name="bookmark1559"/>
      <w:bookmarkStart w:id="1560" w:name="bookmark1560"/>
      <w:bookmarkStart w:id="1561" w:name="bookmark1561"/>
      <w:bookmarkEnd w:id="1560"/>
      <w:r>
        <w:rPr>
          <w:b/>
          <w:bCs/>
          <w:color w:val="000000"/>
          <w:spacing w:val="0"/>
          <w:w w:val="100"/>
          <w:position w:val="0"/>
          <w:sz w:val="20"/>
          <w:szCs w:val="20"/>
        </w:rPr>
        <w:t>应付账款列示</w:t>
      </w:r>
      <w:bookmarkEnd w:id="1558"/>
      <w:bookmarkEnd w:id="1559"/>
      <w:bookmarkEnd w:id="1561"/>
    </w:p>
    <w:p>
      <w:pPr>
        <w:pStyle w:val="Style41"/>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3192"/>
        <w:gridCol w:w="3192"/>
        <w:gridCol w:w="3202"/>
      </w:tblGrid>
      <w:tr>
        <w:trPr>
          <w:trHeight w:val="40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1400" w:right="0" w:firstLine="0"/>
              <w:jc w:val="left"/>
            </w:pPr>
            <w:r>
              <w:rPr>
                <w:color w:val="000000"/>
                <w:spacing w:val="0"/>
                <w:w w:val="100"/>
                <w:position w:val="0"/>
              </w:rPr>
              <w:t>项目</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1220" w:right="0" w:firstLine="0"/>
              <w:jc w:val="left"/>
            </w:pPr>
            <w:r>
              <w:rPr>
                <w:color w:val="000000"/>
                <w:spacing w:val="0"/>
                <w:w w:val="100"/>
                <w:position w:val="0"/>
              </w:rPr>
              <w:t>期初余额</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应付账款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rPr>
                <w:sz w:val="18"/>
                <w:szCs w:val="18"/>
              </w:rPr>
            </w:pPr>
            <w:r>
              <w:rPr>
                <w:rFonts w:ascii="Times New Roman" w:eastAsia="Times New Roman" w:hAnsi="Times New Roman" w:cs="Times New Roman"/>
                <w:color w:val="000000"/>
                <w:spacing w:val="0"/>
                <w:w w:val="100"/>
                <w:position w:val="0"/>
                <w:sz w:val="18"/>
                <w:szCs w:val="18"/>
              </w:rPr>
              <w:t>386,279,478.04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rPr>
                <w:sz w:val="18"/>
                <w:szCs w:val="18"/>
              </w:rPr>
            </w:pPr>
            <w:r>
              <w:rPr>
                <w:rFonts w:ascii="Times New Roman" w:eastAsia="Times New Roman" w:hAnsi="Times New Roman" w:cs="Times New Roman"/>
                <w:color w:val="000000"/>
                <w:spacing w:val="0"/>
                <w:w w:val="100"/>
                <w:position w:val="0"/>
                <w:sz w:val="18"/>
                <w:szCs w:val="18"/>
              </w:rPr>
              <w:t>294,018,896.50</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rPr>
                <w:sz w:val="18"/>
                <w:szCs w:val="18"/>
              </w:rPr>
            </w:pPr>
            <w:r>
              <w:rPr>
                <w:rFonts w:ascii="Times New Roman" w:eastAsia="Times New Roman" w:hAnsi="Times New Roman" w:cs="Times New Roman"/>
                <w:color w:val="000000"/>
                <w:spacing w:val="0"/>
                <w:w w:val="100"/>
                <w:position w:val="0"/>
                <w:sz w:val="18"/>
                <w:szCs w:val="18"/>
              </w:rPr>
              <w:t>386,279,478.04</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rPr>
                <w:sz w:val="18"/>
                <w:szCs w:val="18"/>
              </w:rPr>
            </w:pPr>
            <w:r>
              <w:rPr>
                <w:rFonts w:ascii="Times New Roman" w:eastAsia="Times New Roman" w:hAnsi="Times New Roman" w:cs="Times New Roman"/>
                <w:color w:val="000000"/>
                <w:spacing w:val="0"/>
                <w:w w:val="100"/>
                <w:position w:val="0"/>
                <w:sz w:val="18"/>
                <w:szCs w:val="18"/>
              </w:rPr>
              <w:t>294,018,896.50</w:t>
            </w:r>
          </w:p>
        </w:tc>
      </w:tr>
    </w:tbl>
    <w:p>
      <w:pPr>
        <w:widowControl w:val="0"/>
        <w:spacing w:after="319" w:line="1" w:lineRule="exact"/>
      </w:pPr>
    </w:p>
    <w:p>
      <w:pPr>
        <w:pStyle w:val="Style47"/>
        <w:keepNext/>
        <w:keepLines/>
        <w:widowControl w:val="0"/>
        <w:shd w:val="clear" w:color="auto" w:fill="auto"/>
        <w:bidi w:val="0"/>
        <w:spacing w:before="0" w:after="400" w:line="240" w:lineRule="auto"/>
        <w:ind w:left="0" w:right="0" w:firstLine="0"/>
        <w:jc w:val="left"/>
      </w:pPr>
      <w:bookmarkStart w:id="1562" w:name="bookmark1562"/>
      <w:bookmarkStart w:id="1563" w:name="bookmark1563"/>
      <w:bookmarkStart w:id="1564" w:name="bookmark1564"/>
      <w:bookmarkStart w:id="1565" w:name="bookmark1565"/>
      <w:r>
        <w:rPr>
          <w:color w:val="000000"/>
          <w:spacing w:val="0"/>
          <w:w w:val="100"/>
          <w:position w:val="0"/>
        </w:rPr>
        <w:t>3</w:t>
      </w:r>
      <w:bookmarkEnd w:id="1564"/>
      <w:r>
        <w:rPr>
          <w:color w:val="000000"/>
          <w:spacing w:val="0"/>
          <w:w w:val="100"/>
          <w:position w:val="0"/>
        </w:rPr>
        <w:t>7、预收款项</w:t>
      </w:r>
      <w:bookmarkEnd w:id="1562"/>
      <w:bookmarkEnd w:id="1563"/>
      <w:bookmarkEnd w:id="1565"/>
    </w:p>
    <w:p>
      <w:pPr>
        <w:pStyle w:val="Style58"/>
        <w:keepNext/>
        <w:keepLines/>
        <w:widowControl w:val="0"/>
        <w:numPr>
          <w:ilvl w:val="0"/>
          <w:numId w:val="39"/>
        </w:numPr>
        <w:shd w:val="clear" w:color="auto" w:fill="auto"/>
        <w:bidi w:val="0"/>
        <w:spacing w:before="0" w:after="400" w:line="240" w:lineRule="auto"/>
        <w:ind w:left="0" w:right="0" w:firstLine="140"/>
        <w:jc w:val="left"/>
        <w:rPr>
          <w:sz w:val="20"/>
          <w:szCs w:val="20"/>
        </w:rPr>
      </w:pPr>
      <w:bookmarkStart w:id="1566" w:name="bookmark1566"/>
      <w:bookmarkStart w:id="1567" w:name="bookmark1567"/>
      <w:bookmarkStart w:id="1568" w:name="bookmark1568"/>
      <w:bookmarkStart w:id="1569" w:name="bookmark1569"/>
      <w:bookmarkEnd w:id="1568"/>
      <w:r>
        <w:rPr>
          <w:b/>
          <w:bCs/>
          <w:color w:val="000000"/>
          <w:spacing w:val="0"/>
          <w:w w:val="100"/>
          <w:position w:val="0"/>
          <w:sz w:val="20"/>
          <w:szCs w:val="20"/>
        </w:rPr>
        <w:t>预收款项列示</w:t>
      </w:r>
      <w:bookmarkEnd w:id="1566"/>
      <w:bookmarkEnd w:id="1567"/>
      <w:bookmarkEnd w:id="1569"/>
    </w:p>
    <w:p>
      <w:pPr>
        <w:pStyle w:val="Style41"/>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3192"/>
        <w:gridCol w:w="3192"/>
        <w:gridCol w:w="3202"/>
      </w:tblGrid>
      <w:tr>
        <w:trPr>
          <w:trHeight w:val="40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1400" w:right="0" w:firstLine="0"/>
              <w:jc w:val="left"/>
            </w:pPr>
            <w:r>
              <w:rPr>
                <w:color w:val="000000"/>
                <w:spacing w:val="0"/>
                <w:w w:val="100"/>
                <w:position w:val="0"/>
              </w:rPr>
              <w:t>项目</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预收款项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2,294,910.53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4,222,047.14</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2,294,910.53</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4,222,047.14</w:t>
            </w:r>
          </w:p>
        </w:tc>
      </w:tr>
    </w:tbl>
    <w:p>
      <w:pPr>
        <w:widowControl w:val="0"/>
        <w:spacing w:after="319" w:line="1" w:lineRule="exact"/>
      </w:pPr>
    </w:p>
    <w:p>
      <w:pPr>
        <w:pStyle w:val="Style47"/>
        <w:keepNext/>
        <w:keepLines/>
        <w:widowControl w:val="0"/>
        <w:shd w:val="clear" w:color="auto" w:fill="auto"/>
        <w:bidi w:val="0"/>
        <w:spacing w:before="0" w:after="400" w:line="240" w:lineRule="auto"/>
        <w:ind w:left="0" w:right="0" w:firstLine="0"/>
        <w:jc w:val="left"/>
      </w:pPr>
      <w:bookmarkStart w:id="1570" w:name="bookmark1570"/>
      <w:bookmarkStart w:id="1571" w:name="bookmark1571"/>
      <w:bookmarkStart w:id="1572" w:name="bookmark1572"/>
      <w:bookmarkStart w:id="1573" w:name="bookmark1573"/>
      <w:r>
        <w:rPr>
          <w:color w:val="000000"/>
          <w:spacing w:val="0"/>
          <w:w w:val="100"/>
          <w:position w:val="0"/>
        </w:rPr>
        <w:t>3</w:t>
      </w:r>
      <w:bookmarkEnd w:id="1572"/>
      <w:r>
        <w:rPr>
          <w:color w:val="000000"/>
          <w:spacing w:val="0"/>
          <w:w w:val="100"/>
          <w:position w:val="0"/>
        </w:rPr>
        <w:t>8、合同负债</w:t>
      </w:r>
      <w:bookmarkEnd w:id="1570"/>
      <w:bookmarkEnd w:id="1571"/>
      <w:bookmarkEnd w:id="1573"/>
    </w:p>
    <w:p>
      <w:pPr>
        <w:pStyle w:val="Style41"/>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3192"/>
        <w:gridCol w:w="3192"/>
        <w:gridCol w:w="3202"/>
      </w:tblGrid>
      <w:tr>
        <w:trPr>
          <w:trHeight w:val="40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1400" w:right="0" w:firstLine="0"/>
              <w:jc w:val="left"/>
            </w:pPr>
            <w:r>
              <w:rPr>
                <w:color w:val="000000"/>
                <w:spacing w:val="0"/>
                <w:w w:val="100"/>
                <w:position w:val="0"/>
              </w:rPr>
              <w:t>项目</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合同负债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rPr>
                <w:sz w:val="18"/>
                <w:szCs w:val="18"/>
              </w:rPr>
            </w:pPr>
            <w:r>
              <w:rPr>
                <w:rFonts w:ascii="Times New Roman" w:eastAsia="Times New Roman" w:hAnsi="Times New Roman" w:cs="Times New Roman"/>
                <w:color w:val="000000"/>
                <w:spacing w:val="0"/>
                <w:w w:val="100"/>
                <w:position w:val="0"/>
                <w:sz w:val="18"/>
                <w:szCs w:val="18"/>
              </w:rPr>
              <w:t>221,627,393.18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rPr>
                <w:sz w:val="18"/>
                <w:szCs w:val="18"/>
              </w:rPr>
            </w:pPr>
            <w:r>
              <w:rPr>
                <w:rFonts w:ascii="Times New Roman" w:eastAsia="Times New Roman" w:hAnsi="Times New Roman" w:cs="Times New Roman"/>
                <w:color w:val="000000"/>
                <w:spacing w:val="0"/>
                <w:w w:val="100"/>
                <w:position w:val="0"/>
                <w:sz w:val="18"/>
                <w:szCs w:val="18"/>
              </w:rPr>
              <w:t>279,826,576.10</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rPr>
                <w:sz w:val="18"/>
                <w:szCs w:val="18"/>
              </w:rPr>
            </w:pPr>
            <w:r>
              <w:rPr>
                <w:rFonts w:ascii="Times New Roman" w:eastAsia="Times New Roman" w:hAnsi="Times New Roman" w:cs="Times New Roman"/>
                <w:color w:val="000000"/>
                <w:spacing w:val="0"/>
                <w:w w:val="100"/>
                <w:position w:val="0"/>
                <w:sz w:val="18"/>
                <w:szCs w:val="18"/>
              </w:rPr>
              <w:t>221,627,393.18</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rPr>
                <w:sz w:val="18"/>
                <w:szCs w:val="18"/>
              </w:rPr>
            </w:pPr>
            <w:r>
              <w:rPr>
                <w:rFonts w:ascii="Times New Roman" w:eastAsia="Times New Roman" w:hAnsi="Times New Roman" w:cs="Times New Roman"/>
                <w:color w:val="000000"/>
                <w:spacing w:val="0"/>
                <w:w w:val="100"/>
                <w:position w:val="0"/>
                <w:sz w:val="18"/>
                <w:szCs w:val="18"/>
              </w:rPr>
              <w:t>279,826,576.10</w:t>
            </w:r>
          </w:p>
        </w:tc>
      </w:tr>
    </w:tbl>
    <w:p>
      <w:pPr>
        <w:spacing w:lineRule="exact" w:line="1"/>
        <w:rPr>
          <w:sz w:val="2"/>
          <w:szCs w:val="2"/>
        </w:rPr>
      </w:pPr>
      <w:r>
        <w:br w:type="page"/>
      </w:r>
    </w:p>
    <w:p>
      <w:pPr>
        <w:pStyle w:val="Style47"/>
        <w:keepNext/>
        <w:keepLines/>
        <w:widowControl w:val="0"/>
        <w:shd w:val="clear" w:color="auto" w:fill="auto"/>
        <w:bidi w:val="0"/>
        <w:spacing w:before="0" w:after="380" w:line="240" w:lineRule="auto"/>
        <w:ind w:left="0" w:right="0" w:firstLine="0"/>
        <w:jc w:val="left"/>
      </w:pPr>
      <w:bookmarkStart w:id="1574" w:name="bookmark1574"/>
      <w:bookmarkStart w:id="1575" w:name="bookmark1575"/>
      <w:bookmarkStart w:id="1576" w:name="bookmark1576"/>
      <w:bookmarkStart w:id="1577" w:name="bookmark1577"/>
      <w:r>
        <w:rPr>
          <w:color w:val="000000"/>
          <w:spacing w:val="0"/>
          <w:w w:val="100"/>
          <w:position w:val="0"/>
        </w:rPr>
        <w:t>3</w:t>
      </w:r>
      <w:bookmarkEnd w:id="1576"/>
      <w:r>
        <w:rPr>
          <w:color w:val="000000"/>
          <w:spacing w:val="0"/>
          <w:w w:val="100"/>
          <w:position w:val="0"/>
        </w:rPr>
        <w:t>9、应付职工薪酬</w:t>
      </w:r>
      <w:bookmarkEnd w:id="1574"/>
      <w:bookmarkEnd w:id="1575"/>
      <w:bookmarkEnd w:id="1577"/>
    </w:p>
    <w:p>
      <w:pPr>
        <w:pStyle w:val="Style58"/>
        <w:keepNext/>
        <w:keepLines/>
        <w:widowControl w:val="0"/>
        <w:shd w:val="clear" w:color="auto" w:fill="auto"/>
        <w:bidi w:val="0"/>
        <w:spacing w:before="0" w:after="380" w:line="240" w:lineRule="auto"/>
        <w:ind w:left="0" w:right="0" w:firstLine="140"/>
        <w:jc w:val="left"/>
        <w:rPr>
          <w:sz w:val="20"/>
          <w:szCs w:val="20"/>
        </w:rPr>
      </w:pPr>
      <w:bookmarkStart w:id="1578" w:name="bookmark1578"/>
      <w:bookmarkStart w:id="1579" w:name="bookmark1579"/>
      <w:bookmarkStart w:id="1580" w:name="bookmark1580"/>
      <w:r>
        <w:rPr>
          <w:b/>
          <w:bCs/>
          <w:color w:val="000000"/>
          <w:spacing w:val="0"/>
          <w:w w:val="100"/>
          <w:position w:val="0"/>
          <w:sz w:val="20"/>
          <w:szCs w:val="20"/>
        </w:rPr>
        <w:t>(1)应付职工薪酬列示</w:t>
      </w:r>
      <w:bookmarkEnd w:id="1578"/>
      <w:bookmarkEnd w:id="1579"/>
      <w:bookmarkEnd w:id="1580"/>
    </w:p>
    <w:p>
      <w:pPr>
        <w:pStyle w:val="Style20"/>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单位：元</w:t>
      </w:r>
    </w:p>
    <w:tbl>
      <w:tblPr>
        <w:tblOverlap w:val="never"/>
        <w:jc w:val="center"/>
        <w:tblLayout w:type="fixed"/>
      </w:tblPr>
      <w:tblGrid>
        <w:gridCol w:w="1392"/>
        <w:gridCol w:w="1387"/>
        <w:gridCol w:w="1382"/>
        <w:gridCol w:w="1387"/>
        <w:gridCol w:w="1574"/>
        <w:gridCol w:w="1190"/>
        <w:gridCol w:w="1397"/>
      </w:tblGrid>
      <w:tr>
        <w:trPr>
          <w:trHeight w:val="40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500"/>
              <w:jc w:val="left"/>
            </w:pPr>
            <w:r>
              <w:rPr>
                <w:color w:val="000000"/>
                <w:spacing w:val="0"/>
                <w:w w:val="100"/>
                <w:position w:val="0"/>
              </w:rPr>
              <w:t>项目</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期初余额</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本期增加</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本期减少</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退出合并范围减少</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240"/>
              <w:jc w:val="left"/>
            </w:pPr>
            <w:r>
              <w:rPr>
                <w:color w:val="000000"/>
                <w:spacing w:val="0"/>
                <w:w w:val="100"/>
                <w:position w:val="0"/>
              </w:rPr>
              <w:t>汇率变动</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期末余额</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一、短期薪酬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rFonts w:ascii="Times New Roman" w:eastAsia="Times New Roman" w:hAnsi="Times New Roman" w:cs="Times New Roman"/>
                <w:color w:val="000000"/>
                <w:spacing w:val="0"/>
                <w:w w:val="100"/>
                <w:position w:val="0"/>
                <w:sz w:val="18"/>
                <w:szCs w:val="18"/>
              </w:rPr>
              <w:t>100,815,381.01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rFonts w:ascii="Times New Roman" w:eastAsia="Times New Roman" w:hAnsi="Times New Roman" w:cs="Times New Roman"/>
                <w:color w:val="000000"/>
                <w:spacing w:val="0"/>
                <w:w w:val="100"/>
                <w:position w:val="0"/>
                <w:sz w:val="18"/>
                <w:szCs w:val="18"/>
              </w:rPr>
              <w:t>808,516,525.82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rFonts w:ascii="Times New Roman" w:eastAsia="Times New Roman" w:hAnsi="Times New Roman" w:cs="Times New Roman"/>
                <w:color w:val="000000"/>
                <w:spacing w:val="0"/>
                <w:w w:val="100"/>
                <w:position w:val="0"/>
                <w:sz w:val="18"/>
                <w:szCs w:val="18"/>
              </w:rPr>
              <w:t>773,335,231.12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both"/>
              <w:rPr>
                <w:sz w:val="18"/>
                <w:szCs w:val="18"/>
              </w:rPr>
            </w:pPr>
            <w:r>
              <w:rPr>
                <w:rFonts w:ascii="Times New Roman" w:eastAsia="Times New Roman" w:hAnsi="Times New Roman" w:cs="Times New Roman"/>
                <w:color w:val="000000"/>
                <w:spacing w:val="0"/>
                <w:w w:val="100"/>
                <w:position w:val="0"/>
                <w:sz w:val="18"/>
                <w:szCs w:val="18"/>
              </w:rPr>
              <w:t>2,491,911.18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both"/>
              <w:rPr>
                <w:sz w:val="18"/>
                <w:szCs w:val="18"/>
              </w:rPr>
            </w:pPr>
            <w:r>
              <w:rPr>
                <w:rFonts w:ascii="Times New Roman" w:eastAsia="Times New Roman" w:hAnsi="Times New Roman" w:cs="Times New Roman"/>
                <w:color w:val="000000"/>
                <w:spacing w:val="0"/>
                <w:w w:val="100"/>
                <w:position w:val="0"/>
                <w:sz w:val="18"/>
                <w:szCs w:val="18"/>
              </w:rPr>
              <w:t>-3,539.69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8"/>
                <w:szCs w:val="18"/>
              </w:rPr>
            </w:pPr>
            <w:r>
              <w:rPr>
                <w:rFonts w:ascii="Times New Roman" w:eastAsia="Times New Roman" w:hAnsi="Times New Roman" w:cs="Times New Roman"/>
                <w:color w:val="000000"/>
                <w:spacing w:val="0"/>
                <w:w w:val="100"/>
                <w:position w:val="0"/>
                <w:sz w:val="18"/>
                <w:szCs w:val="18"/>
              </w:rPr>
              <w:t>133,501,224.84</w:t>
            </w: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firstLine="0"/>
              <w:jc w:val="both"/>
            </w:pPr>
            <w:r>
              <w:rPr>
                <w:color w:val="000000"/>
                <w:spacing w:val="0"/>
                <w:w w:val="100"/>
                <w:position w:val="0"/>
              </w:rPr>
              <w:t>二、离职后福利</w:t>
            </w:r>
            <w:r>
              <w:rPr>
                <w:rFonts w:ascii="Times New Roman" w:eastAsia="Times New Roman" w:hAnsi="Times New Roman" w:cs="Times New Roman"/>
                <w:color w:val="000000"/>
                <w:spacing w:val="0"/>
                <w:w w:val="100"/>
                <w:position w:val="0"/>
                <w:sz w:val="18"/>
                <w:szCs w:val="18"/>
              </w:rPr>
              <w:t xml:space="preserve">- </w:t>
            </w:r>
            <w:r>
              <w:rPr>
                <w:color w:val="000000"/>
                <w:spacing w:val="0"/>
                <w:w w:val="100"/>
                <w:position w:val="0"/>
              </w:rPr>
              <w:t>设定提存计划</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2,617,471.92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both"/>
              <w:rPr>
                <w:sz w:val="18"/>
                <w:szCs w:val="18"/>
              </w:rPr>
            </w:pPr>
            <w:r>
              <w:rPr>
                <w:rFonts w:ascii="Times New Roman" w:eastAsia="Times New Roman" w:hAnsi="Times New Roman" w:cs="Times New Roman"/>
                <w:color w:val="000000"/>
                <w:spacing w:val="0"/>
                <w:w w:val="100"/>
                <w:position w:val="0"/>
                <w:sz w:val="18"/>
                <w:szCs w:val="18"/>
              </w:rPr>
              <w:t>14,738,405.26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both"/>
              <w:rPr>
                <w:sz w:val="18"/>
                <w:szCs w:val="18"/>
              </w:rPr>
            </w:pPr>
            <w:r>
              <w:rPr>
                <w:rFonts w:ascii="Times New Roman" w:eastAsia="Times New Roman" w:hAnsi="Times New Roman" w:cs="Times New Roman"/>
                <w:color w:val="000000"/>
                <w:spacing w:val="0"/>
                <w:w w:val="100"/>
                <w:position w:val="0"/>
                <w:sz w:val="18"/>
                <w:szCs w:val="18"/>
              </w:rPr>
              <w:t>15,948,880.40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both"/>
              <w:rPr>
                <w:sz w:val="18"/>
                <w:szCs w:val="18"/>
              </w:rPr>
            </w:pPr>
            <w:r>
              <w:rPr>
                <w:rFonts w:ascii="Times New Roman" w:eastAsia="Times New Roman" w:hAnsi="Times New Roman" w:cs="Times New Roman"/>
                <w:color w:val="000000"/>
                <w:spacing w:val="0"/>
                <w:w w:val="100"/>
                <w:position w:val="0"/>
                <w:sz w:val="18"/>
                <w:szCs w:val="18"/>
              </w:rPr>
              <w:t>1,406,996.78</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三、辞退福利</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9,015,071.44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both"/>
              <w:rPr>
                <w:sz w:val="18"/>
                <w:szCs w:val="18"/>
              </w:rPr>
            </w:pPr>
            <w:r>
              <w:rPr>
                <w:rFonts w:ascii="Times New Roman" w:eastAsia="Times New Roman" w:hAnsi="Times New Roman" w:cs="Times New Roman"/>
                <w:color w:val="000000"/>
                <w:spacing w:val="0"/>
                <w:w w:val="100"/>
                <w:position w:val="0"/>
                <w:sz w:val="18"/>
                <w:szCs w:val="18"/>
              </w:rPr>
              <w:t>17,332,320.61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both"/>
              <w:rPr>
                <w:sz w:val="18"/>
                <w:szCs w:val="18"/>
              </w:rPr>
            </w:pPr>
            <w:r>
              <w:rPr>
                <w:rFonts w:ascii="Times New Roman" w:eastAsia="Times New Roman" w:hAnsi="Times New Roman" w:cs="Times New Roman"/>
                <w:color w:val="000000"/>
                <w:spacing w:val="0"/>
                <w:w w:val="100"/>
                <w:position w:val="0"/>
                <w:sz w:val="18"/>
                <w:szCs w:val="18"/>
              </w:rPr>
              <w:t>20,802,787.10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both"/>
              <w:rPr>
                <w:sz w:val="18"/>
                <w:szCs w:val="18"/>
              </w:rPr>
            </w:pPr>
            <w:r>
              <w:rPr>
                <w:rFonts w:ascii="Times New Roman" w:eastAsia="Times New Roman" w:hAnsi="Times New Roman" w:cs="Times New Roman"/>
                <w:color w:val="000000"/>
                <w:spacing w:val="0"/>
                <w:w w:val="100"/>
                <w:position w:val="0"/>
                <w:sz w:val="18"/>
                <w:szCs w:val="18"/>
              </w:rPr>
              <w:t>5,544,604.95</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rFonts w:ascii="Times New Roman" w:eastAsia="Times New Roman" w:hAnsi="Times New Roman" w:cs="Times New Roman"/>
                <w:color w:val="000000"/>
                <w:spacing w:val="0"/>
                <w:w w:val="100"/>
                <w:position w:val="0"/>
                <w:sz w:val="18"/>
                <w:szCs w:val="18"/>
              </w:rPr>
              <w:t>112,447,924.37</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rFonts w:ascii="Times New Roman" w:eastAsia="Times New Roman" w:hAnsi="Times New Roman" w:cs="Times New Roman"/>
                <w:color w:val="000000"/>
                <w:spacing w:val="0"/>
                <w:w w:val="100"/>
                <w:position w:val="0"/>
                <w:sz w:val="18"/>
                <w:szCs w:val="18"/>
              </w:rPr>
              <w:t>840,587,251.69</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rFonts w:ascii="Times New Roman" w:eastAsia="Times New Roman" w:hAnsi="Times New Roman" w:cs="Times New Roman"/>
                <w:color w:val="000000"/>
                <w:spacing w:val="0"/>
                <w:w w:val="100"/>
                <w:position w:val="0"/>
                <w:sz w:val="18"/>
                <w:szCs w:val="18"/>
              </w:rPr>
              <w:t>810,086,898.62</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both"/>
              <w:rPr>
                <w:sz w:val="18"/>
                <w:szCs w:val="18"/>
              </w:rPr>
            </w:pPr>
            <w:r>
              <w:rPr>
                <w:rFonts w:ascii="Times New Roman" w:eastAsia="Times New Roman" w:hAnsi="Times New Roman" w:cs="Times New Roman"/>
                <w:color w:val="000000"/>
                <w:spacing w:val="0"/>
                <w:w w:val="100"/>
                <w:position w:val="0"/>
                <w:sz w:val="18"/>
                <w:szCs w:val="18"/>
              </w:rPr>
              <w:t>2,491,911.18</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both"/>
              <w:rPr>
                <w:sz w:val="18"/>
                <w:szCs w:val="18"/>
              </w:rPr>
            </w:pPr>
            <w:r>
              <w:rPr>
                <w:rFonts w:ascii="Times New Roman" w:eastAsia="Times New Roman" w:hAnsi="Times New Roman" w:cs="Times New Roman"/>
                <w:color w:val="000000"/>
                <w:spacing w:val="0"/>
                <w:w w:val="100"/>
                <w:position w:val="0"/>
                <w:sz w:val="18"/>
                <w:szCs w:val="18"/>
              </w:rPr>
              <w:t>-3,539.69</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8"/>
                <w:szCs w:val="18"/>
              </w:rPr>
            </w:pPr>
            <w:r>
              <w:rPr>
                <w:rFonts w:ascii="Times New Roman" w:eastAsia="Times New Roman" w:hAnsi="Times New Roman" w:cs="Times New Roman"/>
                <w:color w:val="000000"/>
                <w:spacing w:val="0"/>
                <w:w w:val="100"/>
                <w:position w:val="0"/>
                <w:sz w:val="18"/>
                <w:szCs w:val="18"/>
              </w:rPr>
              <w:t>140,452,826.57</w:t>
            </w:r>
          </w:p>
        </w:tc>
      </w:tr>
    </w:tbl>
    <w:p>
      <w:pPr>
        <w:widowControl w:val="0"/>
        <w:spacing w:after="319" w:line="1" w:lineRule="exact"/>
      </w:pPr>
    </w:p>
    <w:p>
      <w:pPr>
        <w:pStyle w:val="Style58"/>
        <w:keepNext/>
        <w:keepLines/>
        <w:widowControl w:val="0"/>
        <w:numPr>
          <w:ilvl w:val="0"/>
          <w:numId w:val="39"/>
        </w:numPr>
        <w:shd w:val="clear" w:color="auto" w:fill="auto"/>
        <w:bidi w:val="0"/>
        <w:spacing w:before="0" w:after="380" w:line="240" w:lineRule="auto"/>
        <w:ind w:left="0" w:right="0" w:firstLine="140"/>
        <w:jc w:val="left"/>
        <w:rPr>
          <w:sz w:val="20"/>
          <w:szCs w:val="20"/>
        </w:rPr>
      </w:pPr>
      <w:bookmarkStart w:id="1581" w:name="bookmark1581"/>
      <w:bookmarkStart w:id="1582" w:name="bookmark1582"/>
      <w:bookmarkStart w:id="1583" w:name="bookmark1583"/>
      <w:bookmarkStart w:id="1584" w:name="bookmark1584"/>
      <w:bookmarkEnd w:id="1583"/>
      <w:r>
        <w:rPr>
          <w:b/>
          <w:bCs/>
          <w:color w:val="000000"/>
          <w:spacing w:val="0"/>
          <w:w w:val="100"/>
          <w:position w:val="0"/>
          <w:sz w:val="20"/>
          <w:szCs w:val="20"/>
        </w:rPr>
        <w:t>短期薪酬列示</w:t>
      </w:r>
      <w:bookmarkEnd w:id="1581"/>
      <w:bookmarkEnd w:id="1582"/>
      <w:bookmarkEnd w:id="1584"/>
    </w:p>
    <w:p>
      <w:pPr>
        <w:pStyle w:val="Style20"/>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单位：元</w:t>
      </w:r>
    </w:p>
    <w:tbl>
      <w:tblPr>
        <w:tblOverlap w:val="never"/>
        <w:jc w:val="center"/>
        <w:tblLayout w:type="fixed"/>
      </w:tblPr>
      <w:tblGrid>
        <w:gridCol w:w="1392"/>
        <w:gridCol w:w="1387"/>
        <w:gridCol w:w="1382"/>
        <w:gridCol w:w="1387"/>
        <w:gridCol w:w="1574"/>
        <w:gridCol w:w="1190"/>
        <w:gridCol w:w="1397"/>
      </w:tblGrid>
      <w:tr>
        <w:trPr>
          <w:trHeight w:val="40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500"/>
              <w:jc w:val="left"/>
            </w:pPr>
            <w:r>
              <w:rPr>
                <w:color w:val="000000"/>
                <w:spacing w:val="0"/>
                <w:w w:val="100"/>
                <w:position w:val="0"/>
              </w:rPr>
              <w:t>项目</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期初余额</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本期增加</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本期减少</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退出合并范围减少</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240"/>
              <w:jc w:val="left"/>
            </w:pPr>
            <w:r>
              <w:rPr>
                <w:color w:val="000000"/>
                <w:spacing w:val="0"/>
                <w:w w:val="100"/>
                <w:position w:val="0"/>
              </w:rPr>
              <w:t>汇率变动</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期末余额</w:t>
            </w: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、工资、奖金、 津贴和补贴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rPr>
                <w:sz w:val="18"/>
                <w:szCs w:val="18"/>
              </w:rPr>
            </w:pPr>
            <w:r>
              <w:rPr>
                <w:rFonts w:ascii="Times New Roman" w:eastAsia="Times New Roman" w:hAnsi="Times New Roman" w:cs="Times New Roman"/>
                <w:color w:val="000000"/>
                <w:spacing w:val="0"/>
                <w:w w:val="100"/>
                <w:position w:val="0"/>
                <w:sz w:val="18"/>
                <w:szCs w:val="18"/>
              </w:rPr>
              <w:t>95,903,584.12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rFonts w:ascii="Times New Roman" w:eastAsia="Times New Roman" w:hAnsi="Times New Roman" w:cs="Times New Roman"/>
                <w:color w:val="000000"/>
                <w:spacing w:val="0"/>
                <w:w w:val="100"/>
                <w:position w:val="0"/>
                <w:sz w:val="18"/>
                <w:szCs w:val="18"/>
              </w:rPr>
              <w:t>727,153,090.68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rFonts w:ascii="Times New Roman" w:eastAsia="Times New Roman" w:hAnsi="Times New Roman" w:cs="Times New Roman"/>
                <w:color w:val="000000"/>
                <w:spacing w:val="0"/>
                <w:w w:val="100"/>
                <w:position w:val="0"/>
                <w:sz w:val="18"/>
                <w:szCs w:val="18"/>
              </w:rPr>
              <w:t>692,395,690.18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both"/>
              <w:rPr>
                <w:sz w:val="18"/>
                <w:szCs w:val="18"/>
              </w:rPr>
            </w:pPr>
            <w:r>
              <w:rPr>
                <w:rFonts w:ascii="Times New Roman" w:eastAsia="Times New Roman" w:hAnsi="Times New Roman" w:cs="Times New Roman"/>
                <w:color w:val="000000"/>
                <w:spacing w:val="0"/>
                <w:w w:val="100"/>
                <w:position w:val="0"/>
                <w:sz w:val="18"/>
                <w:szCs w:val="18"/>
              </w:rPr>
              <w:t>2,288,979.65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both"/>
              <w:rPr>
                <w:sz w:val="18"/>
                <w:szCs w:val="18"/>
              </w:rPr>
            </w:pPr>
            <w:r>
              <w:rPr>
                <w:rFonts w:ascii="Times New Roman" w:eastAsia="Times New Roman" w:hAnsi="Times New Roman" w:cs="Times New Roman"/>
                <w:color w:val="000000"/>
                <w:spacing w:val="0"/>
                <w:w w:val="100"/>
                <w:position w:val="0"/>
                <w:sz w:val="18"/>
                <w:szCs w:val="18"/>
              </w:rPr>
              <w:t>-2,851.89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8"/>
                <w:szCs w:val="18"/>
              </w:rPr>
            </w:pPr>
            <w:r>
              <w:rPr>
                <w:rFonts w:ascii="Times New Roman" w:eastAsia="Times New Roman" w:hAnsi="Times New Roman" w:cs="Times New Roman"/>
                <w:color w:val="000000"/>
                <w:spacing w:val="0"/>
                <w:w w:val="100"/>
                <w:position w:val="0"/>
                <w:sz w:val="18"/>
                <w:szCs w:val="18"/>
              </w:rPr>
              <w:t>128,369,153.08</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、职工福利费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left"/>
              <w:rPr>
                <w:sz w:val="18"/>
                <w:szCs w:val="18"/>
              </w:rPr>
            </w:pPr>
            <w:r>
              <w:rPr>
                <w:rFonts w:ascii="Times New Roman" w:eastAsia="Times New Roman" w:hAnsi="Times New Roman" w:cs="Times New Roman"/>
                <w:color w:val="000000"/>
                <w:spacing w:val="0"/>
                <w:w w:val="100"/>
                <w:position w:val="0"/>
                <w:sz w:val="18"/>
                <w:szCs w:val="18"/>
              </w:rPr>
              <w:t>329,402.12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both"/>
              <w:rPr>
                <w:sz w:val="18"/>
                <w:szCs w:val="18"/>
              </w:rPr>
            </w:pPr>
            <w:r>
              <w:rPr>
                <w:rFonts w:ascii="Times New Roman" w:eastAsia="Times New Roman" w:hAnsi="Times New Roman" w:cs="Times New Roman"/>
                <w:color w:val="000000"/>
                <w:spacing w:val="0"/>
                <w:w w:val="100"/>
                <w:position w:val="0"/>
                <w:sz w:val="18"/>
                <w:szCs w:val="18"/>
              </w:rPr>
              <w:t>25,841,780.13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both"/>
              <w:rPr>
                <w:sz w:val="18"/>
                <w:szCs w:val="18"/>
              </w:rPr>
            </w:pPr>
            <w:r>
              <w:rPr>
                <w:rFonts w:ascii="Times New Roman" w:eastAsia="Times New Roman" w:hAnsi="Times New Roman" w:cs="Times New Roman"/>
                <w:color w:val="000000"/>
                <w:spacing w:val="0"/>
                <w:w w:val="100"/>
                <w:position w:val="0"/>
                <w:sz w:val="18"/>
                <w:szCs w:val="18"/>
              </w:rPr>
              <w:t>25,182,384.91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both"/>
              <w:rPr>
                <w:sz w:val="18"/>
                <w:szCs w:val="18"/>
              </w:rPr>
            </w:pPr>
            <w:r>
              <w:rPr>
                <w:rFonts w:ascii="Times New Roman" w:eastAsia="Times New Roman" w:hAnsi="Times New Roman" w:cs="Times New Roman"/>
                <w:color w:val="000000"/>
                <w:spacing w:val="0"/>
                <w:w w:val="100"/>
                <w:position w:val="0"/>
                <w:sz w:val="18"/>
                <w:szCs w:val="18"/>
              </w:rPr>
              <w:t>988,797.34</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3</w:t>
            </w:r>
            <w:r>
              <w:rPr>
                <w:color w:val="000000"/>
                <w:spacing w:val="0"/>
                <w:w w:val="100"/>
                <w:position w:val="0"/>
              </w:rPr>
              <w:t>、社会保险费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2,019,214.32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both"/>
              <w:rPr>
                <w:sz w:val="18"/>
                <w:szCs w:val="18"/>
              </w:rPr>
            </w:pPr>
            <w:r>
              <w:rPr>
                <w:rFonts w:ascii="Times New Roman" w:eastAsia="Times New Roman" w:hAnsi="Times New Roman" w:cs="Times New Roman"/>
                <w:color w:val="000000"/>
                <w:spacing w:val="0"/>
                <w:w w:val="100"/>
                <w:position w:val="0"/>
                <w:sz w:val="18"/>
                <w:szCs w:val="18"/>
              </w:rPr>
              <w:t>20,311,731.21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both"/>
              <w:rPr>
                <w:sz w:val="18"/>
                <w:szCs w:val="18"/>
              </w:rPr>
            </w:pPr>
            <w:r>
              <w:rPr>
                <w:rFonts w:ascii="Times New Roman" w:eastAsia="Times New Roman" w:hAnsi="Times New Roman" w:cs="Times New Roman"/>
                <w:color w:val="000000"/>
                <w:spacing w:val="0"/>
                <w:w w:val="100"/>
                <w:position w:val="0"/>
                <w:sz w:val="18"/>
                <w:szCs w:val="18"/>
              </w:rPr>
              <w:t>20,401,143.14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150,159.53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-687.80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both"/>
              <w:rPr>
                <w:sz w:val="18"/>
                <w:szCs w:val="18"/>
              </w:rPr>
            </w:pPr>
            <w:r>
              <w:rPr>
                <w:rFonts w:ascii="Times New Roman" w:eastAsia="Times New Roman" w:hAnsi="Times New Roman" w:cs="Times New Roman"/>
                <w:color w:val="000000"/>
                <w:spacing w:val="0"/>
                <w:w w:val="100"/>
                <w:position w:val="0"/>
                <w:sz w:val="18"/>
                <w:szCs w:val="18"/>
              </w:rPr>
              <w:t>1,778,955.06</w:t>
            </w: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120" w:line="240" w:lineRule="auto"/>
              <w:ind w:left="0" w:right="0"/>
              <w:jc w:val="left"/>
            </w:pPr>
            <w:r>
              <w:rPr>
                <w:color w:val="000000"/>
                <w:spacing w:val="0"/>
                <w:w w:val="100"/>
                <w:position w:val="0"/>
              </w:rPr>
              <w:t>其中：医疗</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保险费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1,829,147.05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both"/>
              <w:rPr>
                <w:sz w:val="18"/>
                <w:szCs w:val="18"/>
              </w:rPr>
            </w:pPr>
            <w:r>
              <w:rPr>
                <w:rFonts w:ascii="Times New Roman" w:eastAsia="Times New Roman" w:hAnsi="Times New Roman" w:cs="Times New Roman"/>
                <w:color w:val="000000"/>
                <w:spacing w:val="0"/>
                <w:w w:val="100"/>
                <w:position w:val="0"/>
                <w:sz w:val="18"/>
                <w:szCs w:val="18"/>
              </w:rPr>
              <w:t>18,915,206.01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both"/>
              <w:rPr>
                <w:sz w:val="18"/>
                <w:szCs w:val="18"/>
              </w:rPr>
            </w:pPr>
            <w:r>
              <w:rPr>
                <w:rFonts w:ascii="Times New Roman" w:eastAsia="Times New Roman" w:hAnsi="Times New Roman" w:cs="Times New Roman"/>
                <w:color w:val="000000"/>
                <w:spacing w:val="0"/>
                <w:w w:val="100"/>
                <w:position w:val="0"/>
                <w:sz w:val="18"/>
                <w:szCs w:val="18"/>
              </w:rPr>
              <w:t>18,954,164.16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139,453.15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-687.80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both"/>
              <w:rPr>
                <w:sz w:val="18"/>
                <w:szCs w:val="18"/>
              </w:rPr>
            </w:pPr>
            <w:r>
              <w:rPr>
                <w:rFonts w:ascii="Times New Roman" w:eastAsia="Times New Roman" w:hAnsi="Times New Roman" w:cs="Times New Roman"/>
                <w:color w:val="000000"/>
                <w:spacing w:val="0"/>
                <w:w w:val="100"/>
                <w:position w:val="0"/>
                <w:sz w:val="18"/>
                <w:szCs w:val="18"/>
              </w:rPr>
              <w:t>1,650,047.95</w:t>
            </w: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100" w:line="240" w:lineRule="auto"/>
              <w:ind w:left="0" w:right="0" w:firstLine="920"/>
              <w:jc w:val="left"/>
            </w:pPr>
            <w:r>
              <w:rPr>
                <w:color w:val="000000"/>
                <w:spacing w:val="0"/>
                <w:w w:val="100"/>
                <w:position w:val="0"/>
              </w:rPr>
              <w:t>工伤</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保险费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left"/>
              <w:rPr>
                <w:sz w:val="18"/>
                <w:szCs w:val="18"/>
              </w:rPr>
            </w:pPr>
            <w:r>
              <w:rPr>
                <w:rFonts w:ascii="Times New Roman" w:eastAsia="Times New Roman" w:hAnsi="Times New Roman" w:cs="Times New Roman"/>
                <w:color w:val="000000"/>
                <w:spacing w:val="0"/>
                <w:w w:val="100"/>
                <w:position w:val="0"/>
                <w:sz w:val="18"/>
                <w:szCs w:val="18"/>
              </w:rPr>
              <w:t>46,456.34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left"/>
              <w:rPr>
                <w:sz w:val="18"/>
                <w:szCs w:val="18"/>
              </w:rPr>
            </w:pPr>
            <w:r>
              <w:rPr>
                <w:rFonts w:ascii="Times New Roman" w:eastAsia="Times New Roman" w:hAnsi="Times New Roman" w:cs="Times New Roman"/>
                <w:color w:val="000000"/>
                <w:spacing w:val="0"/>
                <w:w w:val="100"/>
                <w:position w:val="0"/>
                <w:sz w:val="18"/>
                <w:szCs w:val="18"/>
              </w:rPr>
              <w:t>185,707.73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219,172.70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12,991.37</w:t>
            </w: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100" w:line="240" w:lineRule="auto"/>
              <w:ind w:left="0" w:right="0" w:firstLine="920"/>
              <w:jc w:val="left"/>
            </w:pPr>
            <w:r>
              <w:rPr>
                <w:color w:val="000000"/>
                <w:spacing w:val="0"/>
                <w:w w:val="100"/>
                <w:position w:val="0"/>
              </w:rPr>
              <w:t>生育</w:t>
            </w:r>
          </w:p>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保险费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left"/>
              <w:rPr>
                <w:sz w:val="18"/>
                <w:szCs w:val="18"/>
              </w:rPr>
            </w:pPr>
            <w:r>
              <w:rPr>
                <w:rFonts w:ascii="Times New Roman" w:eastAsia="Times New Roman" w:hAnsi="Times New Roman" w:cs="Times New Roman"/>
                <w:color w:val="000000"/>
                <w:spacing w:val="0"/>
                <w:w w:val="100"/>
                <w:position w:val="0"/>
                <w:sz w:val="18"/>
                <w:szCs w:val="18"/>
              </w:rPr>
              <w:t>143,610.93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1,210,817.47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1,227,806.28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10,706.38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both"/>
              <w:rPr>
                <w:sz w:val="18"/>
                <w:szCs w:val="18"/>
              </w:rPr>
            </w:pPr>
            <w:r>
              <w:rPr>
                <w:rFonts w:ascii="Times New Roman" w:eastAsia="Times New Roman" w:hAnsi="Times New Roman" w:cs="Times New Roman"/>
                <w:color w:val="000000"/>
                <w:spacing w:val="0"/>
                <w:w w:val="100"/>
                <w:position w:val="0"/>
                <w:sz w:val="18"/>
                <w:szCs w:val="18"/>
              </w:rPr>
              <w:t>115,915.74</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18"/>
                <w:szCs w:val="18"/>
              </w:rPr>
              <w:t>4</w:t>
            </w:r>
            <w:r>
              <w:rPr>
                <w:color w:val="000000"/>
                <w:spacing w:val="0"/>
                <w:w w:val="100"/>
                <w:position w:val="0"/>
              </w:rPr>
              <w:t>、住房公积金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2,378,624.90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both"/>
              <w:rPr>
                <w:sz w:val="18"/>
                <w:szCs w:val="18"/>
              </w:rPr>
            </w:pPr>
            <w:r>
              <w:rPr>
                <w:rFonts w:ascii="Times New Roman" w:eastAsia="Times New Roman" w:hAnsi="Times New Roman" w:cs="Times New Roman"/>
                <w:color w:val="000000"/>
                <w:spacing w:val="0"/>
                <w:w w:val="100"/>
                <w:position w:val="0"/>
                <w:sz w:val="18"/>
                <w:szCs w:val="18"/>
              </w:rPr>
              <w:t>33,611,490.56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both"/>
              <w:rPr>
                <w:sz w:val="18"/>
                <w:szCs w:val="18"/>
              </w:rPr>
            </w:pPr>
            <w:r>
              <w:rPr>
                <w:rFonts w:ascii="Times New Roman" w:eastAsia="Times New Roman" w:hAnsi="Times New Roman" w:cs="Times New Roman"/>
                <w:color w:val="000000"/>
                <w:spacing w:val="0"/>
                <w:w w:val="100"/>
                <w:position w:val="0"/>
                <w:sz w:val="18"/>
                <w:szCs w:val="18"/>
              </w:rPr>
              <w:t>33,757,579.65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52,772.00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both"/>
              <w:rPr>
                <w:sz w:val="18"/>
                <w:szCs w:val="18"/>
              </w:rPr>
            </w:pPr>
            <w:r>
              <w:rPr>
                <w:rFonts w:ascii="Times New Roman" w:eastAsia="Times New Roman" w:hAnsi="Times New Roman" w:cs="Times New Roman"/>
                <w:color w:val="000000"/>
                <w:spacing w:val="0"/>
                <w:w w:val="100"/>
                <w:position w:val="0"/>
                <w:sz w:val="18"/>
                <w:szCs w:val="18"/>
              </w:rPr>
              <w:t>2,179,763.81</w:t>
            </w: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31" w:lineRule="exact"/>
              <w:ind w:left="0" w:right="0" w:firstLine="0"/>
              <w:jc w:val="both"/>
            </w:pPr>
            <w:r>
              <w:rPr>
                <w:rFonts w:ascii="Times New Roman" w:eastAsia="Times New Roman" w:hAnsi="Times New Roman" w:cs="Times New Roman"/>
                <w:color w:val="000000"/>
                <w:spacing w:val="0"/>
                <w:w w:val="100"/>
                <w:position w:val="0"/>
                <w:sz w:val="18"/>
                <w:szCs w:val="18"/>
              </w:rPr>
              <w:t>5</w:t>
            </w:r>
            <w:r>
              <w:rPr>
                <w:color w:val="000000"/>
                <w:spacing w:val="0"/>
                <w:w w:val="100"/>
                <w:position w:val="0"/>
              </w:rPr>
              <w:t>、工会经费和职 工教育经费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left"/>
              <w:rPr>
                <w:sz w:val="18"/>
                <w:szCs w:val="18"/>
              </w:rPr>
            </w:pPr>
            <w:r>
              <w:rPr>
                <w:rFonts w:ascii="Times New Roman" w:eastAsia="Times New Roman" w:hAnsi="Times New Roman" w:cs="Times New Roman"/>
                <w:color w:val="000000"/>
                <w:spacing w:val="0"/>
                <w:w w:val="100"/>
                <w:position w:val="0"/>
                <w:sz w:val="18"/>
                <w:szCs w:val="18"/>
              </w:rPr>
              <w:t>184,555.55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1,598,433.24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1,598,433.24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both"/>
              <w:rPr>
                <w:sz w:val="18"/>
                <w:szCs w:val="18"/>
              </w:rPr>
            </w:pPr>
            <w:r>
              <w:rPr>
                <w:rFonts w:ascii="Times New Roman" w:eastAsia="Times New Roman" w:hAnsi="Times New Roman" w:cs="Times New Roman"/>
                <w:color w:val="000000"/>
                <w:spacing w:val="0"/>
                <w:w w:val="100"/>
                <w:position w:val="0"/>
                <w:sz w:val="18"/>
                <w:szCs w:val="18"/>
              </w:rPr>
              <w:t>184,555.55</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rFonts w:ascii="Times New Roman" w:eastAsia="Times New Roman" w:hAnsi="Times New Roman" w:cs="Times New Roman"/>
                <w:color w:val="000000"/>
                <w:spacing w:val="0"/>
                <w:w w:val="100"/>
                <w:position w:val="0"/>
                <w:sz w:val="18"/>
                <w:szCs w:val="18"/>
              </w:rPr>
              <w:t>100,815,381.01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rFonts w:ascii="Times New Roman" w:eastAsia="Times New Roman" w:hAnsi="Times New Roman" w:cs="Times New Roman"/>
                <w:color w:val="000000"/>
                <w:spacing w:val="0"/>
                <w:w w:val="100"/>
                <w:position w:val="0"/>
                <w:sz w:val="18"/>
                <w:szCs w:val="18"/>
              </w:rPr>
              <w:t>808,516,525.82</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rFonts w:ascii="Times New Roman" w:eastAsia="Times New Roman" w:hAnsi="Times New Roman" w:cs="Times New Roman"/>
                <w:color w:val="000000"/>
                <w:spacing w:val="0"/>
                <w:w w:val="100"/>
                <w:position w:val="0"/>
                <w:sz w:val="18"/>
                <w:szCs w:val="18"/>
              </w:rPr>
              <w:t>773,335,231.12</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00"/>
              <w:jc w:val="both"/>
              <w:rPr>
                <w:sz w:val="18"/>
                <w:szCs w:val="18"/>
              </w:rPr>
            </w:pPr>
            <w:r>
              <w:rPr>
                <w:rFonts w:ascii="Times New Roman" w:eastAsia="Times New Roman" w:hAnsi="Times New Roman" w:cs="Times New Roman"/>
                <w:color w:val="000000"/>
                <w:spacing w:val="0"/>
                <w:w w:val="100"/>
                <w:position w:val="0"/>
                <w:sz w:val="18"/>
                <w:szCs w:val="18"/>
              </w:rPr>
              <w:t>2,491,911.18</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both"/>
              <w:rPr>
                <w:sz w:val="18"/>
                <w:szCs w:val="18"/>
              </w:rPr>
            </w:pPr>
            <w:r>
              <w:rPr>
                <w:rFonts w:ascii="Times New Roman" w:eastAsia="Times New Roman" w:hAnsi="Times New Roman" w:cs="Times New Roman"/>
                <w:color w:val="000000"/>
                <w:spacing w:val="0"/>
                <w:w w:val="100"/>
                <w:position w:val="0"/>
                <w:sz w:val="18"/>
                <w:szCs w:val="18"/>
              </w:rPr>
              <w:t>-3,539.69</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both"/>
              <w:rPr>
                <w:sz w:val="18"/>
                <w:szCs w:val="18"/>
              </w:rPr>
            </w:pPr>
            <w:r>
              <w:rPr>
                <w:rFonts w:ascii="Times New Roman" w:eastAsia="Times New Roman" w:hAnsi="Times New Roman" w:cs="Times New Roman"/>
                <w:color w:val="000000"/>
                <w:spacing w:val="0"/>
                <w:w w:val="100"/>
                <w:position w:val="0"/>
                <w:sz w:val="18"/>
                <w:szCs w:val="18"/>
              </w:rPr>
              <w:t>133,501,224.84</w:t>
            </w:r>
          </w:p>
        </w:tc>
      </w:tr>
    </w:tbl>
    <w:p>
      <w:pPr>
        <w:widowControl w:val="0"/>
        <w:spacing w:after="319" w:line="1" w:lineRule="exact"/>
      </w:pPr>
    </w:p>
    <w:p>
      <w:pPr>
        <w:pStyle w:val="Style58"/>
        <w:keepNext/>
        <w:keepLines/>
        <w:widowControl w:val="0"/>
        <w:numPr>
          <w:ilvl w:val="0"/>
          <w:numId w:val="39"/>
        </w:numPr>
        <w:shd w:val="clear" w:color="auto" w:fill="auto"/>
        <w:bidi w:val="0"/>
        <w:spacing w:before="0" w:after="380" w:line="240" w:lineRule="auto"/>
        <w:ind w:left="0" w:right="0" w:firstLine="140"/>
        <w:jc w:val="left"/>
        <w:rPr>
          <w:sz w:val="20"/>
          <w:szCs w:val="20"/>
        </w:rPr>
      </w:pPr>
      <w:bookmarkStart w:id="1585" w:name="bookmark1585"/>
      <w:bookmarkStart w:id="1586" w:name="bookmark1586"/>
      <w:bookmarkStart w:id="1587" w:name="bookmark1587"/>
      <w:bookmarkStart w:id="1588" w:name="bookmark1588"/>
      <w:bookmarkEnd w:id="1587"/>
      <w:r>
        <w:rPr>
          <w:b/>
          <w:bCs/>
          <w:color w:val="000000"/>
          <w:spacing w:val="0"/>
          <w:w w:val="100"/>
          <w:position w:val="0"/>
          <w:sz w:val="20"/>
          <w:szCs w:val="20"/>
        </w:rPr>
        <w:t>设定提存计划列示</w:t>
      </w:r>
      <w:bookmarkEnd w:id="1585"/>
      <w:bookmarkEnd w:id="1586"/>
      <w:bookmarkEnd w:id="1588"/>
    </w:p>
    <w:p>
      <w:pPr>
        <w:pStyle w:val="Style20"/>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单位：元</w:t>
      </w:r>
    </w:p>
    <w:tbl>
      <w:tblPr>
        <w:tblOverlap w:val="never"/>
        <w:jc w:val="center"/>
        <w:tblLayout w:type="fixed"/>
      </w:tblPr>
      <w:tblGrid>
        <w:gridCol w:w="1392"/>
        <w:gridCol w:w="1387"/>
        <w:gridCol w:w="1382"/>
        <w:gridCol w:w="1387"/>
        <w:gridCol w:w="1382"/>
        <w:gridCol w:w="1382"/>
        <w:gridCol w:w="1397"/>
      </w:tblGrid>
      <w:tr>
        <w:trPr>
          <w:trHeight w:val="720"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500"/>
              <w:jc w:val="left"/>
            </w:pPr>
            <w:r>
              <w:rPr>
                <w:color w:val="000000"/>
                <w:spacing w:val="0"/>
                <w:w w:val="100"/>
                <w:position w:val="0"/>
              </w:rPr>
              <w:t>项目</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期初余额</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本期增加</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本期减少</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120" w:line="240" w:lineRule="auto"/>
              <w:ind w:left="0" w:right="0" w:firstLine="0"/>
              <w:jc w:val="center"/>
            </w:pPr>
            <w:r>
              <w:rPr>
                <w:color w:val="000000"/>
                <w:spacing w:val="0"/>
                <w:w w:val="100"/>
                <w:position w:val="0"/>
              </w:rPr>
              <w:t>退出合并范围减</w:t>
            </w:r>
          </w:p>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少</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汇率变动</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期末余额</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、基本养老保险</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2,500,624.69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both"/>
              <w:rPr>
                <w:sz w:val="18"/>
                <w:szCs w:val="18"/>
              </w:rPr>
            </w:pPr>
            <w:r>
              <w:rPr>
                <w:rFonts w:ascii="Times New Roman" w:eastAsia="Times New Roman" w:hAnsi="Times New Roman" w:cs="Times New Roman"/>
                <w:color w:val="000000"/>
                <w:spacing w:val="0"/>
                <w:w w:val="100"/>
                <w:position w:val="0"/>
                <w:sz w:val="18"/>
                <w:szCs w:val="18"/>
              </w:rPr>
              <w:t>14,091,291.00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both"/>
              <w:rPr>
                <w:sz w:val="18"/>
                <w:szCs w:val="18"/>
              </w:rPr>
            </w:pPr>
            <w:r>
              <w:rPr>
                <w:rFonts w:ascii="Times New Roman" w:eastAsia="Times New Roman" w:hAnsi="Times New Roman" w:cs="Times New Roman"/>
                <w:color w:val="000000"/>
                <w:spacing w:val="0"/>
                <w:w w:val="100"/>
                <w:position w:val="0"/>
                <w:sz w:val="18"/>
                <w:szCs w:val="18"/>
              </w:rPr>
              <w:t>15,252,702.47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both"/>
              <w:rPr>
                <w:sz w:val="18"/>
                <w:szCs w:val="18"/>
              </w:rPr>
            </w:pPr>
            <w:r>
              <w:rPr>
                <w:rFonts w:ascii="Times New Roman" w:eastAsia="Times New Roman" w:hAnsi="Times New Roman" w:cs="Times New Roman"/>
                <w:color w:val="000000"/>
                <w:spacing w:val="0"/>
                <w:w w:val="100"/>
                <w:position w:val="0"/>
                <w:sz w:val="18"/>
                <w:szCs w:val="18"/>
              </w:rPr>
              <w:t>1,339,213.22</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、失业保险费</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left"/>
              <w:rPr>
                <w:sz w:val="18"/>
                <w:szCs w:val="18"/>
              </w:rPr>
            </w:pPr>
            <w:r>
              <w:rPr>
                <w:rFonts w:ascii="Times New Roman" w:eastAsia="Times New Roman" w:hAnsi="Times New Roman" w:cs="Times New Roman"/>
                <w:color w:val="000000"/>
                <w:spacing w:val="0"/>
                <w:w w:val="100"/>
                <w:position w:val="0"/>
                <w:sz w:val="18"/>
                <w:szCs w:val="18"/>
              </w:rPr>
              <w:t>116,847.23</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647,114.26</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696,177.93</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67,783.56</w:t>
            </w:r>
          </w:p>
        </w:tc>
      </w:tr>
    </w:tbl>
    <w:p>
      <w:pPr>
        <w:widowControl w:val="0"/>
        <w:spacing w:line="1" w:lineRule="exact"/>
      </w:pPr>
      <w:r>
        <w:br w:type="page"/>
      </w:r>
    </w:p>
    <w:tbl>
      <w:tblPr>
        <w:tblOverlap w:val="never"/>
        <w:jc w:val="center"/>
        <w:tblLayout w:type="fixed"/>
      </w:tblPr>
      <w:tblGrid>
        <w:gridCol w:w="1392"/>
        <w:gridCol w:w="1387"/>
        <w:gridCol w:w="1382"/>
        <w:gridCol w:w="1387"/>
        <w:gridCol w:w="1382"/>
        <w:gridCol w:w="1382"/>
        <w:gridCol w:w="1397"/>
      </w:tblGrid>
      <w:tr>
        <w:trPr>
          <w:trHeight w:val="490"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2,617,471.92</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rPr>
                <w:sz w:val="18"/>
                <w:szCs w:val="18"/>
              </w:rPr>
            </w:pPr>
            <w:r>
              <w:rPr>
                <w:rFonts w:ascii="Times New Roman" w:eastAsia="Times New Roman" w:hAnsi="Times New Roman" w:cs="Times New Roman"/>
                <w:color w:val="000000"/>
                <w:spacing w:val="0"/>
                <w:w w:val="100"/>
                <w:position w:val="0"/>
                <w:sz w:val="18"/>
                <w:szCs w:val="18"/>
              </w:rPr>
              <w:t>14,738,405.26</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15,948,880.40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1,406,996.78</w:t>
            </w:r>
          </w:p>
        </w:tc>
      </w:tr>
    </w:tbl>
    <w:p>
      <w:pPr>
        <w:widowControl w:val="0"/>
        <w:spacing w:after="319" w:line="1" w:lineRule="exact"/>
      </w:pPr>
    </w:p>
    <w:p>
      <w:pPr>
        <w:pStyle w:val="Style47"/>
        <w:keepNext/>
        <w:keepLines/>
        <w:widowControl w:val="0"/>
        <w:shd w:val="clear" w:color="auto" w:fill="auto"/>
        <w:bidi w:val="0"/>
        <w:spacing w:before="0" w:after="400" w:line="240" w:lineRule="auto"/>
        <w:ind w:left="0" w:right="0" w:firstLine="0"/>
        <w:jc w:val="left"/>
      </w:pPr>
      <w:bookmarkStart w:id="1589" w:name="bookmark1589"/>
      <w:bookmarkStart w:id="1590" w:name="bookmark1590"/>
      <w:bookmarkStart w:id="1591" w:name="bookmark1591"/>
      <w:bookmarkStart w:id="1592" w:name="bookmark1592"/>
      <w:r>
        <w:rPr>
          <w:color w:val="000000"/>
          <w:spacing w:val="0"/>
          <w:w w:val="100"/>
          <w:position w:val="0"/>
        </w:rPr>
        <w:t>4</w:t>
      </w:r>
      <w:bookmarkEnd w:id="1591"/>
      <w:r>
        <w:rPr>
          <w:color w:val="000000"/>
          <w:spacing w:val="0"/>
          <w:w w:val="100"/>
          <w:position w:val="0"/>
        </w:rPr>
        <w:t>0、应交税费</w:t>
      </w:r>
      <w:bookmarkEnd w:id="1589"/>
      <w:bookmarkEnd w:id="1590"/>
      <w:bookmarkEnd w:id="1592"/>
    </w:p>
    <w:p>
      <w:pPr>
        <w:pStyle w:val="Style41"/>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center"/>
        <w:tblLayout w:type="fixed"/>
      </w:tblPr>
      <w:tblGrid>
        <w:gridCol w:w="3192"/>
        <w:gridCol w:w="3192"/>
        <w:gridCol w:w="3202"/>
      </w:tblGrid>
      <w:tr>
        <w:trPr>
          <w:trHeight w:val="40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1400" w:right="0" w:firstLine="0"/>
              <w:jc w:val="left"/>
            </w:pPr>
            <w:r>
              <w:rPr>
                <w:color w:val="000000"/>
                <w:spacing w:val="0"/>
                <w:w w:val="100"/>
                <w:position w:val="0"/>
              </w:rPr>
              <w:t>项目</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1220" w:right="0" w:firstLine="0"/>
              <w:jc w:val="left"/>
            </w:pPr>
            <w:r>
              <w:rPr>
                <w:color w:val="000000"/>
                <w:spacing w:val="0"/>
                <w:w w:val="100"/>
                <w:position w:val="0"/>
              </w:rPr>
              <w:t>期初余额</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增值税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22,786,838.21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38,335,509.59</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企业所得税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29,204,471.17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6,025,876.96</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个人所得税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13,215,027.61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7,245,909.80</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城市维护建设税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1,349,234.25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1,803,103.97</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房产税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470,765.11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472,071.78</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教育费附加</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764,795.57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1,088,980.93</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土地使用税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86,245.41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86,245.39</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印花税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41,985.97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42,767.68</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1,081.19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15,029.95</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67,920,444.49</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55,115,496.05</w:t>
            </w:r>
          </w:p>
        </w:tc>
      </w:tr>
    </w:tbl>
    <w:p>
      <w:pPr>
        <w:widowControl w:val="0"/>
        <w:spacing w:after="319" w:line="1" w:lineRule="exact"/>
      </w:pPr>
    </w:p>
    <w:p>
      <w:pPr>
        <w:pStyle w:val="Style47"/>
        <w:keepNext/>
        <w:keepLines/>
        <w:widowControl w:val="0"/>
        <w:shd w:val="clear" w:color="auto" w:fill="auto"/>
        <w:bidi w:val="0"/>
        <w:spacing w:before="0" w:after="400" w:line="240" w:lineRule="auto"/>
        <w:ind w:left="0" w:right="0" w:firstLine="0"/>
        <w:jc w:val="left"/>
      </w:pPr>
      <w:bookmarkStart w:id="1593" w:name="bookmark1593"/>
      <w:bookmarkStart w:id="1594" w:name="bookmark1594"/>
      <w:bookmarkStart w:id="1595" w:name="bookmark1595"/>
      <w:bookmarkStart w:id="1596" w:name="bookmark1596"/>
      <w:r>
        <w:rPr>
          <w:color w:val="000000"/>
          <w:spacing w:val="0"/>
          <w:w w:val="100"/>
          <w:position w:val="0"/>
        </w:rPr>
        <w:t>4</w:t>
      </w:r>
      <w:bookmarkEnd w:id="1595"/>
      <w:r>
        <w:rPr>
          <w:color w:val="000000"/>
          <w:spacing w:val="0"/>
          <w:w w:val="100"/>
          <w:position w:val="0"/>
        </w:rPr>
        <w:t>1、其他应付款</w:t>
      </w:r>
      <w:bookmarkEnd w:id="1593"/>
      <w:bookmarkEnd w:id="1594"/>
      <w:bookmarkEnd w:id="1596"/>
    </w:p>
    <w:p>
      <w:pPr>
        <w:pStyle w:val="Style41"/>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center"/>
        <w:tblLayout w:type="fixed"/>
      </w:tblPr>
      <w:tblGrid>
        <w:gridCol w:w="3192"/>
        <w:gridCol w:w="3192"/>
        <w:gridCol w:w="3202"/>
      </w:tblGrid>
      <w:tr>
        <w:trPr>
          <w:trHeight w:val="40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1400" w:right="0" w:firstLine="0"/>
              <w:jc w:val="left"/>
            </w:pPr>
            <w:r>
              <w:rPr>
                <w:color w:val="000000"/>
                <w:spacing w:val="0"/>
                <w:w w:val="100"/>
                <w:position w:val="0"/>
              </w:rPr>
              <w:t>项目</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1220" w:right="0" w:firstLine="0"/>
              <w:jc w:val="left"/>
            </w:pPr>
            <w:r>
              <w:rPr>
                <w:color w:val="000000"/>
                <w:spacing w:val="0"/>
                <w:w w:val="100"/>
                <w:position w:val="0"/>
              </w:rPr>
              <w:t>期初余额</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其他应付款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84,097,640.43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79,694,171.29</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84,097,640.43</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79,694,171.29</w:t>
            </w:r>
          </w:p>
        </w:tc>
      </w:tr>
    </w:tbl>
    <w:p>
      <w:pPr>
        <w:widowControl w:val="0"/>
        <w:spacing w:after="319" w:line="1" w:lineRule="exact"/>
      </w:pPr>
    </w:p>
    <w:p>
      <w:pPr>
        <w:pStyle w:val="Style58"/>
        <w:keepNext/>
        <w:keepLines/>
        <w:widowControl w:val="0"/>
        <w:shd w:val="clear" w:color="auto" w:fill="auto"/>
        <w:bidi w:val="0"/>
        <w:spacing w:before="0" w:after="480" w:line="240" w:lineRule="auto"/>
        <w:ind w:left="0" w:right="0" w:firstLine="140"/>
        <w:jc w:val="left"/>
        <w:rPr>
          <w:sz w:val="20"/>
          <w:szCs w:val="20"/>
        </w:rPr>
      </w:pPr>
      <w:bookmarkStart w:id="1597" w:name="bookmark1597"/>
      <w:bookmarkStart w:id="1598" w:name="bookmark1598"/>
      <w:bookmarkStart w:id="1599" w:name="bookmark1599"/>
      <w:r>
        <w:rPr>
          <w:b/>
          <w:bCs/>
          <w:color w:val="000000"/>
          <w:spacing w:val="0"/>
          <w:w w:val="100"/>
          <w:position w:val="0"/>
          <w:sz w:val="20"/>
          <w:szCs w:val="20"/>
        </w:rPr>
        <w:t>(1)应付利息</w:t>
      </w:r>
      <w:bookmarkEnd w:id="1597"/>
      <w:bookmarkEnd w:id="1598"/>
      <w:bookmarkEnd w:id="1599"/>
    </w:p>
    <w:p>
      <w:pPr>
        <w:pStyle w:val="Style41"/>
        <w:keepNext w:val="0"/>
        <w:keepLines w:val="0"/>
        <w:widowControl w:val="0"/>
        <w:shd w:val="clear" w:color="auto" w:fill="auto"/>
        <w:bidi w:val="0"/>
        <w:spacing w:before="0" w:after="480" w:line="240" w:lineRule="auto"/>
        <w:ind w:left="0" w:right="0"/>
        <w:jc w:val="left"/>
      </w:pPr>
      <w:r>
        <w:rPr>
          <w:color w:val="000000"/>
          <w:spacing w:val="0"/>
          <w:w w:val="100"/>
          <w:position w:val="0"/>
        </w:rPr>
        <w:t>无。</w:t>
      </w:r>
    </w:p>
    <w:p>
      <w:pPr>
        <w:pStyle w:val="Style58"/>
        <w:keepNext/>
        <w:keepLines/>
        <w:widowControl w:val="0"/>
        <w:numPr>
          <w:ilvl w:val="0"/>
          <w:numId w:val="37"/>
        </w:numPr>
        <w:shd w:val="clear" w:color="auto" w:fill="auto"/>
        <w:bidi w:val="0"/>
        <w:spacing w:before="0" w:after="480" w:line="240" w:lineRule="auto"/>
        <w:ind w:left="0" w:right="0" w:firstLine="140"/>
        <w:jc w:val="left"/>
        <w:rPr>
          <w:sz w:val="20"/>
          <w:szCs w:val="20"/>
        </w:rPr>
      </w:pPr>
      <w:bookmarkStart w:id="1600" w:name="bookmark1600"/>
      <w:bookmarkStart w:id="1601" w:name="bookmark1601"/>
      <w:bookmarkStart w:id="1602" w:name="bookmark1602"/>
      <w:bookmarkStart w:id="1603" w:name="bookmark1603"/>
      <w:bookmarkEnd w:id="1602"/>
      <w:r>
        <w:rPr>
          <w:b/>
          <w:bCs/>
          <w:color w:val="000000"/>
          <w:spacing w:val="0"/>
          <w:w w:val="100"/>
          <w:position w:val="0"/>
          <w:sz w:val="20"/>
          <w:szCs w:val="20"/>
        </w:rPr>
        <w:t>应付股利</w:t>
      </w:r>
      <w:bookmarkEnd w:id="1600"/>
      <w:bookmarkEnd w:id="1601"/>
      <w:bookmarkEnd w:id="1603"/>
    </w:p>
    <w:p>
      <w:pPr>
        <w:pStyle w:val="Style41"/>
        <w:keepNext w:val="0"/>
        <w:keepLines w:val="0"/>
        <w:widowControl w:val="0"/>
        <w:shd w:val="clear" w:color="auto" w:fill="auto"/>
        <w:bidi w:val="0"/>
        <w:spacing w:before="0" w:after="480" w:line="240" w:lineRule="auto"/>
        <w:ind w:left="0" w:right="0"/>
        <w:jc w:val="left"/>
      </w:pPr>
      <w:r>
        <w:rPr>
          <w:color w:val="000000"/>
          <w:spacing w:val="0"/>
          <w:w w:val="100"/>
          <w:position w:val="0"/>
        </w:rPr>
        <w:t>无。</w:t>
      </w:r>
    </w:p>
    <w:p>
      <w:pPr>
        <w:pStyle w:val="Style58"/>
        <w:keepNext/>
        <w:keepLines/>
        <w:widowControl w:val="0"/>
        <w:numPr>
          <w:ilvl w:val="0"/>
          <w:numId w:val="37"/>
        </w:numPr>
        <w:shd w:val="clear" w:color="auto" w:fill="auto"/>
        <w:bidi w:val="0"/>
        <w:spacing w:before="0" w:after="400" w:line="240" w:lineRule="auto"/>
        <w:ind w:left="0" w:right="0" w:firstLine="0"/>
        <w:jc w:val="left"/>
        <w:rPr>
          <w:sz w:val="20"/>
          <w:szCs w:val="20"/>
        </w:rPr>
      </w:pPr>
      <w:bookmarkStart w:id="1604" w:name="bookmark1604"/>
      <w:bookmarkStart w:id="1605" w:name="bookmark1605"/>
      <w:bookmarkStart w:id="1606" w:name="bookmark1606"/>
      <w:bookmarkStart w:id="1607" w:name="bookmark1607"/>
      <w:bookmarkEnd w:id="1606"/>
      <w:r>
        <w:rPr>
          <w:b/>
          <w:bCs/>
          <w:color w:val="000000"/>
          <w:spacing w:val="0"/>
          <w:w w:val="100"/>
          <w:position w:val="0"/>
          <w:sz w:val="20"/>
          <w:szCs w:val="20"/>
        </w:rPr>
        <w:t>其他应付款</w:t>
      </w:r>
      <w:bookmarkEnd w:id="1604"/>
      <w:bookmarkEnd w:id="1605"/>
      <w:bookmarkEnd w:id="1607"/>
    </w:p>
    <w:p>
      <w:pPr>
        <w:pStyle w:val="Style248"/>
        <w:keepNext/>
        <w:keepLines/>
        <w:widowControl w:val="0"/>
        <w:numPr>
          <w:ilvl w:val="0"/>
          <w:numId w:val="41"/>
        </w:numPr>
        <w:shd w:val="clear" w:color="auto" w:fill="auto"/>
        <w:bidi w:val="0"/>
        <w:spacing w:before="0" w:line="240" w:lineRule="auto"/>
        <w:ind w:left="0" w:right="0" w:firstLine="0"/>
        <w:jc w:val="left"/>
      </w:pPr>
      <w:bookmarkStart w:id="1608" w:name="bookmark1608"/>
      <w:bookmarkStart w:id="1609" w:name="bookmark1609"/>
      <w:bookmarkStart w:id="1610" w:name="bookmark1610"/>
      <w:bookmarkStart w:id="1611" w:name="bookmark1611"/>
      <w:bookmarkEnd w:id="1610"/>
      <w:r>
        <w:rPr>
          <w:color w:val="000000"/>
          <w:spacing w:val="0"/>
          <w:w w:val="100"/>
          <w:position w:val="0"/>
        </w:rPr>
        <w:t>按款项性质列示其他应付款</w:t>
      </w:r>
      <w:bookmarkEnd w:id="1608"/>
      <w:bookmarkEnd w:id="1609"/>
      <w:bookmarkEnd w:id="1611"/>
    </w:p>
    <w:p>
      <w:pPr>
        <w:pStyle w:val="Style41"/>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center"/>
        <w:tblLayout w:type="fixed"/>
      </w:tblPr>
      <w:tblGrid>
        <w:gridCol w:w="3192"/>
        <w:gridCol w:w="3192"/>
        <w:gridCol w:w="3202"/>
      </w:tblGrid>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1400" w:right="0" w:firstLine="0"/>
              <w:jc w:val="left"/>
            </w:pPr>
            <w:r>
              <w:rPr>
                <w:color w:val="000000"/>
                <w:spacing w:val="0"/>
                <w:w w:val="100"/>
                <w:position w:val="0"/>
              </w:rPr>
              <w:t>项目</w:t>
            </w:r>
          </w:p>
        </w:tc>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bottom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1220" w:right="0" w:firstLine="0"/>
              <w:jc w:val="left"/>
            </w:pPr>
            <w:r>
              <w:rPr>
                <w:color w:val="000000"/>
                <w:spacing w:val="0"/>
                <w:w w:val="100"/>
                <w:position w:val="0"/>
              </w:rPr>
              <w:t>期初余额</w:t>
            </w:r>
          </w:p>
        </w:tc>
      </w:tr>
    </w:tbl>
    <w:p>
      <w:pPr>
        <w:widowControl w:val="0"/>
        <w:spacing w:line="1" w:lineRule="exact"/>
        <w:sectPr>
          <w:headerReference w:type="default" r:id="rId405"/>
          <w:footerReference w:type="default" r:id="rId406"/>
          <w:headerReference w:type="even" r:id="rId407"/>
          <w:footerReference w:type="even" r:id="rId408"/>
          <w:headerReference w:type="first" r:id="rId409"/>
          <w:footerReference w:type="first" r:id="rId410"/>
          <w:footnotePr>
            <w:pos w:val="pageBottom"/>
            <w:numFmt w:val="decimal"/>
            <w:numRestart w:val="continuous"/>
          </w:footnotePr>
          <w:pgSz w:w="11904" w:h="17375"/>
          <w:pgMar w:top="1676" w:right="1022" w:bottom="1674" w:left="1004" w:header="0" w:footer="3" w:gutter="0"/>
          <w:cols w:space="720"/>
          <w:noEndnote/>
          <w:titlePg/>
          <w:rtlGutter w:val="0"/>
          <w:docGrid w:linePitch="360"/>
        </w:sectPr>
      </w:pPr>
    </w:p>
    <w:tbl>
      <w:tblPr>
        <w:tblOverlap w:val="never"/>
        <w:jc w:val="center"/>
        <w:tblLayout w:type="fixed"/>
      </w:tblPr>
      <w:tblGrid>
        <w:gridCol w:w="3192"/>
        <w:gridCol w:w="3192"/>
        <w:gridCol w:w="3202"/>
      </w:tblGrid>
      <w:tr>
        <w:trPr>
          <w:trHeight w:val="480"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应付股权收购款项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left"/>
              <w:rPr>
                <w:sz w:val="18"/>
                <w:szCs w:val="18"/>
              </w:rPr>
            </w:pPr>
            <w:r>
              <w:rPr>
                <w:rFonts w:ascii="Times New Roman" w:eastAsia="Times New Roman" w:hAnsi="Times New Roman" w:cs="Times New Roman"/>
                <w:color w:val="000000"/>
                <w:spacing w:val="0"/>
                <w:w w:val="100"/>
                <w:position w:val="0"/>
                <w:sz w:val="18"/>
                <w:szCs w:val="18"/>
              </w:rPr>
              <w:t>2,991,041.05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both"/>
              <w:rPr>
                <w:sz w:val="18"/>
                <w:szCs w:val="18"/>
              </w:rPr>
            </w:pPr>
            <w:r>
              <w:rPr>
                <w:rFonts w:ascii="Times New Roman" w:eastAsia="Times New Roman" w:hAnsi="Times New Roman" w:cs="Times New Roman"/>
                <w:color w:val="000000"/>
                <w:spacing w:val="0"/>
                <w:w w:val="100"/>
                <w:position w:val="0"/>
                <w:sz w:val="18"/>
                <w:szCs w:val="18"/>
              </w:rPr>
              <w:t>3,751,509.44</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其他非大额、非特殊往来款项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left"/>
              <w:rPr>
                <w:sz w:val="18"/>
                <w:szCs w:val="18"/>
              </w:rPr>
            </w:pPr>
            <w:r>
              <w:rPr>
                <w:rFonts w:ascii="Times New Roman" w:eastAsia="Times New Roman" w:hAnsi="Times New Roman" w:cs="Times New Roman"/>
                <w:color w:val="000000"/>
                <w:spacing w:val="0"/>
                <w:w w:val="100"/>
                <w:position w:val="0"/>
                <w:sz w:val="18"/>
                <w:szCs w:val="18"/>
              </w:rPr>
              <w:t>26,938,151.45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24,318,563.18</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押金及保证金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left"/>
              <w:rPr>
                <w:sz w:val="18"/>
                <w:szCs w:val="18"/>
              </w:rPr>
            </w:pPr>
            <w:r>
              <w:rPr>
                <w:rFonts w:ascii="Times New Roman" w:eastAsia="Times New Roman" w:hAnsi="Times New Roman" w:cs="Times New Roman"/>
                <w:color w:val="000000"/>
                <w:spacing w:val="0"/>
                <w:w w:val="100"/>
                <w:position w:val="0"/>
                <w:sz w:val="18"/>
                <w:szCs w:val="18"/>
              </w:rPr>
              <w:t>11,942,090.55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12,649,515.78</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社保、公积金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left"/>
              <w:rPr>
                <w:sz w:val="18"/>
                <w:szCs w:val="18"/>
              </w:rPr>
            </w:pPr>
            <w:r>
              <w:rPr>
                <w:rFonts w:ascii="Times New Roman" w:eastAsia="Times New Roman" w:hAnsi="Times New Roman" w:cs="Times New Roman"/>
                <w:color w:val="000000"/>
                <w:spacing w:val="0"/>
                <w:w w:val="100"/>
                <w:position w:val="0"/>
                <w:sz w:val="18"/>
                <w:szCs w:val="18"/>
              </w:rPr>
              <w:t>3,684,093.62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both"/>
              <w:rPr>
                <w:sz w:val="18"/>
                <w:szCs w:val="18"/>
              </w:rPr>
            </w:pPr>
            <w:r>
              <w:rPr>
                <w:rFonts w:ascii="Times New Roman" w:eastAsia="Times New Roman" w:hAnsi="Times New Roman" w:cs="Times New Roman"/>
                <w:color w:val="000000"/>
                <w:spacing w:val="0"/>
                <w:w w:val="100"/>
                <w:position w:val="0"/>
                <w:sz w:val="18"/>
                <w:szCs w:val="18"/>
              </w:rPr>
              <w:t>3,432,319.13</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退个人所得税手续费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left"/>
              <w:rPr>
                <w:sz w:val="18"/>
                <w:szCs w:val="18"/>
              </w:rPr>
            </w:pPr>
            <w:r>
              <w:rPr>
                <w:rFonts w:ascii="Times New Roman" w:eastAsia="Times New Roman" w:hAnsi="Times New Roman" w:cs="Times New Roman"/>
                <w:color w:val="000000"/>
                <w:spacing w:val="0"/>
                <w:w w:val="100"/>
                <w:position w:val="0"/>
                <w:sz w:val="18"/>
                <w:szCs w:val="18"/>
              </w:rPr>
              <w:t>5,542,263.76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both"/>
              <w:rPr>
                <w:sz w:val="18"/>
                <w:szCs w:val="18"/>
              </w:rPr>
            </w:pPr>
            <w:r>
              <w:rPr>
                <w:rFonts w:ascii="Times New Roman" w:eastAsia="Times New Roman" w:hAnsi="Times New Roman" w:cs="Times New Roman"/>
                <w:color w:val="000000"/>
                <w:spacing w:val="0"/>
                <w:w w:val="100"/>
                <w:position w:val="0"/>
                <w:sz w:val="18"/>
                <w:szCs w:val="18"/>
              </w:rPr>
              <w:t>5,542,263.76</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政府借转补资金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left"/>
              <w:rPr>
                <w:sz w:val="18"/>
                <w:szCs w:val="18"/>
              </w:rPr>
            </w:pPr>
            <w:r>
              <w:rPr>
                <w:rFonts w:ascii="Times New Roman" w:eastAsia="Times New Roman" w:hAnsi="Times New Roman" w:cs="Times New Roman"/>
                <w:color w:val="000000"/>
                <w:spacing w:val="0"/>
                <w:w w:val="100"/>
                <w:position w:val="0"/>
                <w:sz w:val="18"/>
                <w:szCs w:val="18"/>
              </w:rPr>
              <w:t>30,000,000.00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30,000,000.00</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关联方拆入资金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left"/>
              <w:rPr>
                <w:sz w:val="18"/>
                <w:szCs w:val="18"/>
              </w:rPr>
            </w:pPr>
            <w:r>
              <w:rPr>
                <w:rFonts w:ascii="Times New Roman" w:eastAsia="Times New Roman" w:hAnsi="Times New Roman" w:cs="Times New Roman"/>
                <w:color w:val="000000"/>
                <w:spacing w:val="0"/>
                <w:w w:val="100"/>
                <w:position w:val="0"/>
                <w:sz w:val="18"/>
                <w:szCs w:val="18"/>
              </w:rPr>
              <w:t>3,000,000.00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left"/>
              <w:rPr>
                <w:sz w:val="18"/>
                <w:szCs w:val="18"/>
              </w:rPr>
            </w:pPr>
            <w:r>
              <w:rPr>
                <w:rFonts w:ascii="Times New Roman" w:eastAsia="Times New Roman" w:hAnsi="Times New Roman" w:cs="Times New Roman"/>
                <w:color w:val="000000"/>
                <w:spacing w:val="0"/>
                <w:w w:val="100"/>
                <w:position w:val="0"/>
                <w:sz w:val="18"/>
                <w:szCs w:val="18"/>
              </w:rPr>
              <w:t>84,097,640.43</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79,694,171.29</w:t>
            </w:r>
          </w:p>
        </w:tc>
      </w:tr>
    </w:tbl>
    <w:p>
      <w:pPr>
        <w:widowControl w:val="0"/>
        <w:spacing w:after="319" w:line="1" w:lineRule="exact"/>
      </w:pPr>
    </w:p>
    <w:p>
      <w:pPr>
        <w:pStyle w:val="Style248"/>
        <w:keepNext/>
        <w:keepLines/>
        <w:widowControl w:val="0"/>
        <w:shd w:val="clear" w:color="auto" w:fill="auto"/>
        <w:bidi w:val="0"/>
        <w:spacing w:before="0" w:line="240" w:lineRule="auto"/>
        <w:ind w:left="0" w:right="0" w:firstLine="0"/>
        <w:jc w:val="left"/>
      </w:pPr>
      <w:bookmarkStart w:id="1612" w:name="bookmark1612"/>
      <w:bookmarkStart w:id="1613" w:name="bookmark1613"/>
      <w:bookmarkStart w:id="1614" w:name="bookmark1614"/>
      <w:bookmarkStart w:id="1615" w:name="bookmark1615"/>
      <w:r>
        <w:rPr>
          <w:color w:val="000000"/>
          <w:spacing w:val="0"/>
          <w:w w:val="100"/>
          <w:position w:val="0"/>
        </w:rPr>
        <w:t>2</w:t>
      </w:r>
      <w:bookmarkEnd w:id="1614"/>
      <w:r>
        <w:rPr>
          <w:color w:val="000000"/>
          <w:spacing w:val="0"/>
          <w:w w:val="100"/>
          <w:position w:val="0"/>
        </w:rPr>
        <w:t>）账龄超过1年的重要其他应付款</w:t>
      </w:r>
      <w:bookmarkEnd w:id="1612"/>
      <w:bookmarkEnd w:id="1613"/>
      <w:bookmarkEnd w:id="1615"/>
    </w:p>
    <w:p>
      <w:pPr>
        <w:pStyle w:val="Style41"/>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3192"/>
        <w:gridCol w:w="3192"/>
        <w:gridCol w:w="3202"/>
      </w:tblGrid>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未偿还或结转的原因</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政府借转补资金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left"/>
              <w:rPr>
                <w:sz w:val="18"/>
                <w:szCs w:val="18"/>
              </w:rPr>
            </w:pPr>
            <w:r>
              <w:rPr>
                <w:rFonts w:ascii="Times New Roman" w:eastAsia="Times New Roman" w:hAnsi="Times New Roman" w:cs="Times New Roman"/>
                <w:color w:val="000000"/>
                <w:spacing w:val="0"/>
                <w:w w:val="100"/>
                <w:position w:val="0"/>
                <w:sz w:val="18"/>
                <w:szCs w:val="18"/>
              </w:rPr>
              <w:t>30,000,000.00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【注】</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left"/>
              <w:rPr>
                <w:sz w:val="18"/>
                <w:szCs w:val="18"/>
              </w:rPr>
            </w:pPr>
            <w:r>
              <w:rPr>
                <w:rFonts w:ascii="Times New Roman" w:eastAsia="Times New Roman" w:hAnsi="Times New Roman" w:cs="Times New Roman"/>
                <w:color w:val="000000"/>
                <w:spacing w:val="0"/>
                <w:w w:val="100"/>
                <w:position w:val="0"/>
                <w:sz w:val="18"/>
                <w:szCs w:val="18"/>
              </w:rPr>
              <w:t>30,000,000.00</w:t>
            </w:r>
          </w:p>
        </w:tc>
        <w:tc>
          <w:tcPr>
            <w:tcBorders>
              <w:top w:val="single" w:sz="4"/>
              <w:left w:val="single" w:sz="4"/>
              <w:bottom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r>
    </w:tbl>
    <w:p>
      <w:pPr>
        <w:widowControl w:val="0"/>
        <w:spacing w:after="79" w:line="1" w:lineRule="exact"/>
      </w:pPr>
    </w:p>
    <w:p>
      <w:pPr>
        <w:pStyle w:val="Style41"/>
        <w:keepNext w:val="0"/>
        <w:keepLines w:val="0"/>
        <w:widowControl w:val="0"/>
        <w:shd w:val="clear" w:color="auto" w:fill="auto"/>
        <w:bidi w:val="0"/>
        <w:spacing w:before="0" w:after="680" w:line="326" w:lineRule="exact"/>
        <w:ind w:left="0" w:right="0" w:firstLine="0"/>
        <w:jc w:val="left"/>
      </w:pPr>
      <w:r>
        <w:rPr>
          <w:color w:val="000000"/>
          <w:spacing w:val="0"/>
          <w:w w:val="100"/>
          <w:position w:val="0"/>
        </w:rPr>
        <w:t>注：安徽省泰岳祥升软件有限公司于</w:t>
      </w:r>
      <w:r>
        <w:rPr>
          <w:rFonts w:ascii="Times New Roman" w:eastAsia="Times New Roman" w:hAnsi="Times New Roman" w:cs="Times New Roman"/>
          <w:color w:val="000000"/>
          <w:spacing w:val="0"/>
          <w:w w:val="100"/>
          <w:position w:val="0"/>
          <w:sz w:val="18"/>
          <w:szCs w:val="18"/>
        </w:rPr>
        <w:t>2019</w:t>
      </w:r>
      <w:r>
        <w:rPr>
          <w:color w:val="000000"/>
          <w:spacing w:val="0"/>
          <w:w w:val="100"/>
          <w:position w:val="0"/>
        </w:rPr>
        <w:t>年收到政府</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借转补</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资金</w:t>
      </w:r>
      <w:r>
        <w:rPr>
          <w:rFonts w:ascii="Times New Roman" w:eastAsia="Times New Roman" w:hAnsi="Times New Roman" w:cs="Times New Roman"/>
          <w:color w:val="000000"/>
          <w:spacing w:val="0"/>
          <w:w w:val="100"/>
          <w:position w:val="0"/>
          <w:sz w:val="18"/>
          <w:szCs w:val="18"/>
        </w:rPr>
        <w:t>3,000</w:t>
      </w:r>
      <w:r>
        <w:rPr>
          <w:color w:val="000000"/>
          <w:spacing w:val="0"/>
          <w:w w:val="100"/>
          <w:position w:val="0"/>
        </w:rPr>
        <w:t>万元，需经相关部门审核后方可投入使用，截至</w:t>
      </w:r>
      <w:r>
        <w:rPr>
          <w:rFonts w:ascii="Times New Roman" w:eastAsia="Times New Roman" w:hAnsi="Times New Roman" w:cs="Times New Roman"/>
          <w:color w:val="000000"/>
          <w:spacing w:val="0"/>
          <w:w w:val="100"/>
          <w:position w:val="0"/>
          <w:sz w:val="18"/>
          <w:szCs w:val="18"/>
        </w:rPr>
        <w:t xml:space="preserve">2020 </w:t>
      </w:r>
      <w:r>
        <w:rPr>
          <w:color w:val="000000"/>
          <w:spacing w:val="0"/>
          <w:w w:val="100"/>
          <w:position w:val="0"/>
        </w:rPr>
        <w:t>年末，审核工作正在进行。</w:t>
      </w:r>
    </w:p>
    <w:p>
      <w:pPr>
        <w:pStyle w:val="Style47"/>
        <w:keepNext/>
        <w:keepLines/>
        <w:widowControl w:val="0"/>
        <w:shd w:val="clear" w:color="auto" w:fill="auto"/>
        <w:tabs>
          <w:tab w:pos="483" w:val="left"/>
        </w:tabs>
        <w:bidi w:val="0"/>
        <w:spacing w:before="0" w:after="480" w:line="240" w:lineRule="auto"/>
        <w:ind w:left="0" w:right="0" w:firstLine="0"/>
        <w:jc w:val="left"/>
      </w:pPr>
      <w:bookmarkStart w:id="1616" w:name="bookmark1616"/>
      <w:bookmarkStart w:id="1617" w:name="bookmark1617"/>
      <w:bookmarkStart w:id="1618" w:name="bookmark1618"/>
      <w:bookmarkStart w:id="1619" w:name="bookmark1619"/>
      <w:r>
        <w:rPr>
          <w:color w:val="000000"/>
          <w:spacing w:val="0"/>
          <w:w w:val="100"/>
          <w:position w:val="0"/>
        </w:rPr>
        <w:t>4</w:t>
      </w:r>
      <w:bookmarkEnd w:id="1618"/>
      <w:r>
        <w:rPr>
          <w:color w:val="000000"/>
          <w:spacing w:val="0"/>
          <w:w w:val="100"/>
          <w:position w:val="0"/>
        </w:rPr>
        <w:t>2、</w:t>
        <w:tab/>
        <w:t>持有待售负债</w:t>
      </w:r>
      <w:bookmarkEnd w:id="1616"/>
      <w:bookmarkEnd w:id="1617"/>
      <w:bookmarkEnd w:id="1619"/>
    </w:p>
    <w:p>
      <w:pPr>
        <w:pStyle w:val="Style41"/>
        <w:keepNext w:val="0"/>
        <w:keepLines w:val="0"/>
        <w:widowControl w:val="0"/>
        <w:shd w:val="clear" w:color="auto" w:fill="auto"/>
        <w:bidi w:val="0"/>
        <w:spacing w:before="0" w:after="480" w:line="240" w:lineRule="auto"/>
        <w:ind w:left="0" w:right="0"/>
        <w:jc w:val="left"/>
      </w:pPr>
      <w:r>
        <w:rPr>
          <w:color w:val="000000"/>
          <w:spacing w:val="0"/>
          <w:w w:val="100"/>
          <w:position w:val="0"/>
        </w:rPr>
        <w:t>无。</w:t>
      </w:r>
    </w:p>
    <w:p>
      <w:pPr>
        <w:pStyle w:val="Style47"/>
        <w:keepNext/>
        <w:keepLines/>
        <w:widowControl w:val="0"/>
        <w:shd w:val="clear" w:color="auto" w:fill="auto"/>
        <w:tabs>
          <w:tab w:pos="483" w:val="left"/>
        </w:tabs>
        <w:bidi w:val="0"/>
        <w:spacing w:before="0" w:after="400" w:line="240" w:lineRule="auto"/>
        <w:ind w:left="0" w:right="0" w:firstLine="0"/>
        <w:jc w:val="left"/>
      </w:pPr>
      <w:bookmarkStart w:id="1620" w:name="bookmark1620"/>
      <w:bookmarkStart w:id="1621" w:name="bookmark1621"/>
      <w:bookmarkStart w:id="1622" w:name="bookmark1622"/>
      <w:bookmarkStart w:id="1623" w:name="bookmark1623"/>
      <w:r>
        <w:rPr>
          <w:color w:val="000000"/>
          <w:spacing w:val="0"/>
          <w:w w:val="100"/>
          <w:position w:val="0"/>
        </w:rPr>
        <w:t>4</w:t>
      </w:r>
      <w:bookmarkEnd w:id="1622"/>
      <w:r>
        <w:rPr>
          <w:color w:val="000000"/>
          <w:spacing w:val="0"/>
          <w:w w:val="100"/>
          <w:position w:val="0"/>
        </w:rPr>
        <w:t>3、</w:t>
        <w:tab/>
        <w:t>一年内到期的非流动负债</w:t>
      </w:r>
      <w:bookmarkEnd w:id="1620"/>
      <w:bookmarkEnd w:id="1621"/>
      <w:bookmarkEnd w:id="1623"/>
    </w:p>
    <w:p>
      <w:pPr>
        <w:pStyle w:val="Style41"/>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3192"/>
        <w:gridCol w:w="3192"/>
        <w:gridCol w:w="3202"/>
      </w:tblGrid>
      <w:tr>
        <w:trPr>
          <w:trHeight w:val="40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一年内到期的长期借款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30,000,000.00</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一年内到期的长期借款应计利息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53,900.00</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30,053,900.00</w:t>
            </w:r>
          </w:p>
        </w:tc>
      </w:tr>
    </w:tbl>
    <w:p>
      <w:pPr>
        <w:widowControl w:val="0"/>
        <w:spacing w:after="319" w:line="1" w:lineRule="exact"/>
      </w:pPr>
    </w:p>
    <w:p>
      <w:pPr>
        <w:pStyle w:val="Style47"/>
        <w:keepNext/>
        <w:keepLines/>
        <w:widowControl w:val="0"/>
        <w:shd w:val="clear" w:color="auto" w:fill="auto"/>
        <w:tabs>
          <w:tab w:pos="483" w:val="left"/>
        </w:tabs>
        <w:bidi w:val="0"/>
        <w:spacing w:before="0" w:after="480" w:line="240" w:lineRule="auto"/>
        <w:ind w:left="0" w:right="0" w:firstLine="0"/>
        <w:jc w:val="left"/>
      </w:pPr>
      <w:bookmarkStart w:id="1624" w:name="bookmark1624"/>
      <w:bookmarkStart w:id="1625" w:name="bookmark1625"/>
      <w:bookmarkStart w:id="1626" w:name="bookmark1626"/>
      <w:bookmarkStart w:id="1627" w:name="bookmark1627"/>
      <w:r>
        <w:rPr>
          <w:color w:val="000000"/>
          <w:spacing w:val="0"/>
          <w:w w:val="100"/>
          <w:position w:val="0"/>
        </w:rPr>
        <w:t>4</w:t>
      </w:r>
      <w:bookmarkEnd w:id="1626"/>
      <w:r>
        <w:rPr>
          <w:color w:val="000000"/>
          <w:spacing w:val="0"/>
          <w:w w:val="100"/>
          <w:position w:val="0"/>
        </w:rPr>
        <w:t>4、</w:t>
        <w:tab/>
        <w:t>其他流动负债</w:t>
      </w:r>
      <w:bookmarkEnd w:id="1624"/>
      <w:bookmarkEnd w:id="1625"/>
      <w:bookmarkEnd w:id="1627"/>
    </w:p>
    <w:p>
      <w:pPr>
        <w:pStyle w:val="Style41"/>
        <w:keepNext w:val="0"/>
        <w:keepLines w:val="0"/>
        <w:widowControl w:val="0"/>
        <w:shd w:val="clear" w:color="auto" w:fill="auto"/>
        <w:bidi w:val="0"/>
        <w:spacing w:before="0" w:after="480" w:line="240" w:lineRule="auto"/>
        <w:ind w:left="0" w:right="0"/>
        <w:jc w:val="left"/>
      </w:pPr>
      <w:r>
        <w:rPr>
          <w:color w:val="000000"/>
          <w:spacing w:val="0"/>
          <w:w w:val="100"/>
          <w:position w:val="0"/>
        </w:rPr>
        <w:t>无。</w:t>
      </w:r>
    </w:p>
    <w:p>
      <w:pPr>
        <w:pStyle w:val="Style47"/>
        <w:keepNext/>
        <w:keepLines/>
        <w:widowControl w:val="0"/>
        <w:shd w:val="clear" w:color="auto" w:fill="auto"/>
        <w:tabs>
          <w:tab w:pos="483" w:val="left"/>
        </w:tabs>
        <w:bidi w:val="0"/>
        <w:spacing w:before="0" w:after="320" w:line="240" w:lineRule="auto"/>
        <w:ind w:left="0" w:right="0" w:firstLine="0"/>
        <w:jc w:val="left"/>
      </w:pPr>
      <w:bookmarkStart w:id="1628" w:name="bookmark1628"/>
      <w:bookmarkStart w:id="1629" w:name="bookmark1629"/>
      <w:bookmarkStart w:id="1630" w:name="bookmark1630"/>
      <w:bookmarkStart w:id="1631" w:name="bookmark1631"/>
      <w:r>
        <w:rPr>
          <w:color w:val="000000"/>
          <w:spacing w:val="0"/>
          <w:w w:val="100"/>
          <w:position w:val="0"/>
        </w:rPr>
        <w:t>4</w:t>
      </w:r>
      <w:bookmarkEnd w:id="1630"/>
      <w:r>
        <w:rPr>
          <w:color w:val="000000"/>
          <w:spacing w:val="0"/>
          <w:w w:val="100"/>
          <w:position w:val="0"/>
        </w:rPr>
        <w:t>5、</w:t>
        <w:tab/>
        <w:t>长期借款</w:t>
      </w:r>
      <w:bookmarkEnd w:id="1628"/>
      <w:bookmarkEnd w:id="1629"/>
      <w:bookmarkEnd w:id="1631"/>
    </w:p>
    <w:tbl>
      <w:tblPr>
        <w:tblOverlap w:val="never"/>
        <w:jc w:val="center"/>
        <w:tblLayout w:type="fixed"/>
      </w:tblPr>
      <w:tblGrid>
        <w:gridCol w:w="4070"/>
        <w:gridCol w:w="2894"/>
        <w:gridCol w:w="2746"/>
      </w:tblGrid>
      <w:tr>
        <w:trPr>
          <w:trHeight w:val="374"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上年年末余额</w:t>
            </w:r>
          </w:p>
        </w:tc>
      </w:tr>
    </w:tbl>
    <w:p>
      <w:pPr>
        <w:widowControl w:val="0"/>
        <w:spacing w:line="1" w:lineRule="exact"/>
      </w:pPr>
    </w:p>
    <w:tbl>
      <w:tblPr>
        <w:tblOverlap w:val="never"/>
        <w:jc w:val="center"/>
        <w:tblLayout w:type="fixed"/>
      </w:tblPr>
      <w:tblGrid>
        <w:gridCol w:w="4070"/>
        <w:gridCol w:w="2894"/>
        <w:gridCol w:w="2746"/>
      </w:tblGrid>
      <w:tr>
        <w:trPr>
          <w:trHeight w:val="437"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抵押借款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32,500,000.00</w:t>
            </w:r>
          </w:p>
        </w:tc>
      </w:tr>
      <w:tr>
        <w:trPr>
          <w:trHeight w:val="35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长期借款应计利息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58,391.67</w:t>
            </w:r>
          </w:p>
        </w:tc>
      </w:tr>
      <w:tr>
        <w:trPr>
          <w:trHeight w:val="370"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32,558,391.67</w:t>
            </w:r>
          </w:p>
        </w:tc>
      </w:tr>
    </w:tbl>
    <w:p>
      <w:pPr>
        <w:widowControl w:val="0"/>
        <w:spacing w:after="779" w:line="1" w:lineRule="exact"/>
      </w:pPr>
    </w:p>
    <w:p>
      <w:pPr>
        <w:pStyle w:val="Style47"/>
        <w:keepNext/>
        <w:keepLines/>
        <w:widowControl w:val="0"/>
        <w:shd w:val="clear" w:color="auto" w:fill="auto"/>
        <w:tabs>
          <w:tab w:pos="483" w:val="left"/>
        </w:tabs>
        <w:bidi w:val="0"/>
        <w:spacing w:before="0" w:after="480" w:line="240" w:lineRule="auto"/>
        <w:ind w:left="0" w:right="0" w:firstLine="0"/>
        <w:jc w:val="left"/>
      </w:pPr>
      <w:bookmarkStart w:id="1632" w:name="bookmark1632"/>
      <w:bookmarkStart w:id="1633" w:name="bookmark1633"/>
      <w:bookmarkStart w:id="1634" w:name="bookmark1634"/>
      <w:bookmarkStart w:id="1635" w:name="bookmark1635"/>
      <w:r>
        <w:rPr>
          <w:color w:val="000000"/>
          <w:spacing w:val="0"/>
          <w:w w:val="100"/>
          <w:position w:val="0"/>
        </w:rPr>
        <w:t>4</w:t>
      </w:r>
      <w:bookmarkEnd w:id="1634"/>
      <w:r>
        <w:rPr>
          <w:color w:val="000000"/>
          <w:spacing w:val="0"/>
          <w:w w:val="100"/>
          <w:position w:val="0"/>
        </w:rPr>
        <w:t>6、</w:t>
        <w:tab/>
        <w:t>应付债券</w:t>
      </w:r>
      <w:bookmarkEnd w:id="1632"/>
      <w:bookmarkEnd w:id="1633"/>
      <w:bookmarkEnd w:id="1635"/>
    </w:p>
    <w:p>
      <w:pPr>
        <w:pStyle w:val="Style41"/>
        <w:keepNext w:val="0"/>
        <w:keepLines w:val="0"/>
        <w:widowControl w:val="0"/>
        <w:shd w:val="clear" w:color="auto" w:fill="auto"/>
        <w:bidi w:val="0"/>
        <w:spacing w:before="0" w:after="480" w:line="240" w:lineRule="auto"/>
        <w:ind w:left="0" w:right="0"/>
        <w:jc w:val="left"/>
      </w:pPr>
      <w:r>
        <w:rPr>
          <w:color w:val="000000"/>
          <w:spacing w:val="0"/>
          <w:w w:val="100"/>
          <w:position w:val="0"/>
        </w:rPr>
        <w:t>无。</w:t>
      </w:r>
    </w:p>
    <w:p>
      <w:pPr>
        <w:pStyle w:val="Style47"/>
        <w:keepNext/>
        <w:keepLines/>
        <w:widowControl w:val="0"/>
        <w:shd w:val="clear" w:color="auto" w:fill="auto"/>
        <w:tabs>
          <w:tab w:pos="483" w:val="left"/>
        </w:tabs>
        <w:bidi w:val="0"/>
        <w:spacing w:before="0" w:after="480" w:line="240" w:lineRule="auto"/>
        <w:ind w:left="0" w:right="0" w:firstLine="0"/>
        <w:jc w:val="left"/>
      </w:pPr>
      <w:bookmarkStart w:id="1636" w:name="bookmark1636"/>
      <w:bookmarkStart w:id="1637" w:name="bookmark1637"/>
      <w:bookmarkStart w:id="1638" w:name="bookmark1638"/>
      <w:bookmarkStart w:id="1639" w:name="bookmark1639"/>
      <w:r>
        <w:rPr>
          <w:color w:val="000000"/>
          <w:spacing w:val="0"/>
          <w:w w:val="100"/>
          <w:position w:val="0"/>
        </w:rPr>
        <w:t>4</w:t>
      </w:r>
      <w:bookmarkEnd w:id="1638"/>
      <w:r>
        <w:rPr>
          <w:color w:val="000000"/>
          <w:spacing w:val="0"/>
          <w:w w:val="100"/>
          <w:position w:val="0"/>
        </w:rPr>
        <w:t>7、</w:t>
        <w:tab/>
        <w:t>租赁负债</w:t>
      </w:r>
      <w:bookmarkEnd w:id="1636"/>
      <w:bookmarkEnd w:id="1637"/>
      <w:bookmarkEnd w:id="1639"/>
    </w:p>
    <w:p>
      <w:pPr>
        <w:pStyle w:val="Style41"/>
        <w:keepNext w:val="0"/>
        <w:keepLines w:val="0"/>
        <w:widowControl w:val="0"/>
        <w:shd w:val="clear" w:color="auto" w:fill="auto"/>
        <w:bidi w:val="0"/>
        <w:spacing w:before="0" w:after="480" w:line="240" w:lineRule="auto"/>
        <w:ind w:left="0" w:right="0"/>
        <w:jc w:val="left"/>
      </w:pPr>
      <w:r>
        <w:rPr>
          <w:color w:val="000000"/>
          <w:spacing w:val="0"/>
          <w:w w:val="100"/>
          <w:position w:val="0"/>
        </w:rPr>
        <w:t>无。</w:t>
      </w:r>
    </w:p>
    <w:p>
      <w:pPr>
        <w:pStyle w:val="Style47"/>
        <w:keepNext/>
        <w:keepLines/>
        <w:widowControl w:val="0"/>
        <w:shd w:val="clear" w:color="auto" w:fill="auto"/>
        <w:tabs>
          <w:tab w:pos="483" w:val="left"/>
        </w:tabs>
        <w:bidi w:val="0"/>
        <w:spacing w:before="0" w:after="480" w:line="240" w:lineRule="auto"/>
        <w:ind w:left="0" w:right="0" w:firstLine="0"/>
        <w:jc w:val="left"/>
      </w:pPr>
      <w:bookmarkStart w:id="1640" w:name="bookmark1640"/>
      <w:bookmarkStart w:id="1641" w:name="bookmark1641"/>
      <w:bookmarkStart w:id="1642" w:name="bookmark1642"/>
      <w:bookmarkStart w:id="1643" w:name="bookmark1643"/>
      <w:r>
        <w:rPr>
          <w:color w:val="000000"/>
          <w:spacing w:val="0"/>
          <w:w w:val="100"/>
          <w:position w:val="0"/>
        </w:rPr>
        <w:t>4</w:t>
      </w:r>
      <w:bookmarkEnd w:id="1642"/>
      <w:r>
        <w:rPr>
          <w:color w:val="000000"/>
          <w:spacing w:val="0"/>
          <w:w w:val="100"/>
          <w:position w:val="0"/>
        </w:rPr>
        <w:t>8、</w:t>
        <w:tab/>
        <w:t>长期应付款</w:t>
      </w:r>
      <w:bookmarkEnd w:id="1640"/>
      <w:bookmarkEnd w:id="1641"/>
      <w:bookmarkEnd w:id="1643"/>
    </w:p>
    <w:p>
      <w:pPr>
        <w:pStyle w:val="Style41"/>
        <w:keepNext w:val="0"/>
        <w:keepLines w:val="0"/>
        <w:widowControl w:val="0"/>
        <w:shd w:val="clear" w:color="auto" w:fill="auto"/>
        <w:bidi w:val="0"/>
        <w:spacing w:before="0" w:after="480" w:line="240" w:lineRule="auto"/>
        <w:ind w:left="0" w:right="0"/>
        <w:jc w:val="left"/>
      </w:pPr>
      <w:r>
        <w:rPr>
          <w:color w:val="000000"/>
          <w:spacing w:val="0"/>
          <w:w w:val="100"/>
          <w:position w:val="0"/>
        </w:rPr>
        <w:t>无。</w:t>
      </w:r>
    </w:p>
    <w:p>
      <w:pPr>
        <w:pStyle w:val="Style47"/>
        <w:keepNext/>
        <w:keepLines/>
        <w:widowControl w:val="0"/>
        <w:shd w:val="clear" w:color="auto" w:fill="auto"/>
        <w:tabs>
          <w:tab w:pos="483" w:val="left"/>
        </w:tabs>
        <w:bidi w:val="0"/>
        <w:spacing w:before="0" w:after="480" w:line="240" w:lineRule="auto"/>
        <w:ind w:left="0" w:right="0" w:firstLine="0"/>
        <w:jc w:val="left"/>
      </w:pPr>
      <w:bookmarkStart w:id="1644" w:name="bookmark1644"/>
      <w:bookmarkStart w:id="1645" w:name="bookmark1645"/>
      <w:bookmarkStart w:id="1646" w:name="bookmark1646"/>
      <w:bookmarkStart w:id="1647" w:name="bookmark1647"/>
      <w:r>
        <w:rPr>
          <w:color w:val="000000"/>
          <w:spacing w:val="0"/>
          <w:w w:val="100"/>
          <w:position w:val="0"/>
        </w:rPr>
        <w:t>4</w:t>
      </w:r>
      <w:bookmarkEnd w:id="1646"/>
      <w:r>
        <w:rPr>
          <w:color w:val="000000"/>
          <w:spacing w:val="0"/>
          <w:w w:val="100"/>
          <w:position w:val="0"/>
        </w:rPr>
        <w:t>9、</w:t>
        <w:tab/>
        <w:t>长期应付职工薪酬</w:t>
      </w:r>
      <w:bookmarkEnd w:id="1644"/>
      <w:bookmarkEnd w:id="1645"/>
      <w:bookmarkEnd w:id="1647"/>
    </w:p>
    <w:p>
      <w:pPr>
        <w:pStyle w:val="Style41"/>
        <w:keepNext w:val="0"/>
        <w:keepLines w:val="0"/>
        <w:widowControl w:val="0"/>
        <w:shd w:val="clear" w:color="auto" w:fill="auto"/>
        <w:bidi w:val="0"/>
        <w:spacing w:before="0" w:after="480" w:line="240" w:lineRule="auto"/>
        <w:ind w:left="0" w:right="0"/>
        <w:jc w:val="left"/>
      </w:pPr>
      <w:r>
        <w:rPr>
          <w:color w:val="000000"/>
          <w:spacing w:val="0"/>
          <w:w w:val="100"/>
          <w:position w:val="0"/>
        </w:rPr>
        <w:t>无。</w:t>
      </w:r>
    </w:p>
    <w:p>
      <w:pPr>
        <w:pStyle w:val="Style47"/>
        <w:keepNext/>
        <w:keepLines/>
        <w:widowControl w:val="0"/>
        <w:shd w:val="clear" w:color="auto" w:fill="auto"/>
        <w:tabs>
          <w:tab w:pos="483" w:val="left"/>
        </w:tabs>
        <w:bidi w:val="0"/>
        <w:spacing w:before="0" w:after="400" w:line="240" w:lineRule="auto"/>
        <w:ind w:left="0" w:right="0" w:firstLine="0"/>
        <w:jc w:val="left"/>
      </w:pPr>
      <w:bookmarkStart w:id="1648" w:name="bookmark1648"/>
      <w:bookmarkStart w:id="1649" w:name="bookmark1649"/>
      <w:bookmarkStart w:id="1650" w:name="bookmark1650"/>
      <w:bookmarkStart w:id="1651" w:name="bookmark1651"/>
      <w:r>
        <w:rPr>
          <w:color w:val="000000"/>
          <w:spacing w:val="0"/>
          <w:w w:val="100"/>
          <w:position w:val="0"/>
        </w:rPr>
        <w:t>5</w:t>
      </w:r>
      <w:bookmarkEnd w:id="1650"/>
      <w:r>
        <w:rPr>
          <w:color w:val="000000"/>
          <w:spacing w:val="0"/>
          <w:w w:val="100"/>
          <w:position w:val="0"/>
        </w:rPr>
        <w:t>0、</w:t>
        <w:tab/>
        <w:t>预计负债</w:t>
      </w:r>
      <w:bookmarkEnd w:id="1648"/>
      <w:bookmarkEnd w:id="1649"/>
      <w:bookmarkEnd w:id="1651"/>
    </w:p>
    <w:p>
      <w:pPr>
        <w:pStyle w:val="Style41"/>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center"/>
        <w:tblLayout w:type="fixed"/>
      </w:tblPr>
      <w:tblGrid>
        <w:gridCol w:w="2395"/>
        <w:gridCol w:w="2395"/>
        <w:gridCol w:w="2390"/>
        <w:gridCol w:w="2400"/>
      </w:tblGrid>
      <w:tr>
        <w:trPr>
          <w:trHeight w:val="40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形成原因</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产品质量保证</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20" w:right="0" w:firstLine="0"/>
              <w:jc w:val="left"/>
              <w:rPr>
                <w:sz w:val="18"/>
                <w:szCs w:val="18"/>
              </w:rPr>
            </w:pPr>
            <w:r>
              <w:rPr>
                <w:rFonts w:ascii="Times New Roman" w:eastAsia="Times New Roman" w:hAnsi="Times New Roman" w:cs="Times New Roman"/>
                <w:color w:val="000000"/>
                <w:spacing w:val="0"/>
                <w:w w:val="100"/>
                <w:position w:val="0"/>
                <w:sz w:val="18"/>
                <w:szCs w:val="18"/>
              </w:rPr>
              <w:t>22,496,136.15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19,946,178.96</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20" w:right="0" w:firstLine="0"/>
              <w:jc w:val="left"/>
              <w:rPr>
                <w:sz w:val="18"/>
                <w:szCs w:val="18"/>
              </w:rPr>
            </w:pPr>
            <w:r>
              <w:rPr>
                <w:rFonts w:ascii="Times New Roman" w:eastAsia="Times New Roman" w:hAnsi="Times New Roman" w:cs="Times New Roman"/>
                <w:color w:val="000000"/>
                <w:spacing w:val="0"/>
                <w:w w:val="100"/>
                <w:position w:val="0"/>
                <w:sz w:val="18"/>
                <w:szCs w:val="18"/>
              </w:rPr>
              <w:t>22,496,136.15</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19,946,178.96</w:t>
            </w:r>
          </w:p>
        </w:tc>
        <w:tc>
          <w:tcPr>
            <w:tcBorders>
              <w:top w:val="single" w:sz="4"/>
              <w:left w:val="single" w:sz="4"/>
              <w:bottom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r>
    </w:tbl>
    <w:p>
      <w:pPr>
        <w:widowControl w:val="0"/>
        <w:spacing w:after="339" w:line="1" w:lineRule="exact"/>
      </w:pPr>
    </w:p>
    <w:p>
      <w:pPr>
        <w:pStyle w:val="Style47"/>
        <w:keepNext/>
        <w:keepLines/>
        <w:widowControl w:val="0"/>
        <w:shd w:val="clear" w:color="auto" w:fill="auto"/>
        <w:bidi w:val="0"/>
        <w:spacing w:before="0" w:after="400" w:line="240" w:lineRule="auto"/>
        <w:ind w:left="0" w:right="0" w:firstLine="0"/>
        <w:jc w:val="left"/>
      </w:pPr>
      <w:bookmarkStart w:id="1652" w:name="bookmark1652"/>
      <w:bookmarkStart w:id="1653" w:name="bookmark1653"/>
      <w:bookmarkStart w:id="1654" w:name="bookmark1654"/>
      <w:bookmarkStart w:id="1655" w:name="bookmark1655"/>
      <w:r>
        <w:rPr>
          <w:color w:val="000000"/>
          <w:spacing w:val="0"/>
          <w:w w:val="100"/>
          <w:position w:val="0"/>
        </w:rPr>
        <w:t>5</w:t>
      </w:r>
      <w:bookmarkEnd w:id="1654"/>
      <w:r>
        <w:rPr>
          <w:color w:val="000000"/>
          <w:spacing w:val="0"/>
          <w:w w:val="100"/>
          <w:position w:val="0"/>
        </w:rPr>
        <w:t>1、递延收益</w:t>
      </w:r>
      <w:bookmarkEnd w:id="1652"/>
      <w:bookmarkEnd w:id="1653"/>
      <w:bookmarkEnd w:id="1655"/>
    </w:p>
    <w:p>
      <w:pPr>
        <w:pStyle w:val="Style41"/>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center"/>
        <w:tblLayout w:type="fixed"/>
      </w:tblPr>
      <w:tblGrid>
        <w:gridCol w:w="3547"/>
        <w:gridCol w:w="1277"/>
        <w:gridCol w:w="1277"/>
        <w:gridCol w:w="1277"/>
        <w:gridCol w:w="1133"/>
        <w:gridCol w:w="1070"/>
      </w:tblGrid>
      <w:tr>
        <w:trPr>
          <w:trHeight w:val="40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本期增加</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本期减少</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形成原因</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政府补助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其中：递延收益</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与收益相关的政府补助</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left"/>
              <w:rPr>
                <w:sz w:val="18"/>
                <w:szCs w:val="18"/>
              </w:rPr>
            </w:pPr>
            <w:r>
              <w:rPr>
                <w:rFonts w:ascii="Times New Roman" w:eastAsia="Times New Roman" w:hAnsi="Times New Roman" w:cs="Times New Roman"/>
                <w:color w:val="000000"/>
                <w:spacing w:val="0"/>
                <w:w w:val="100"/>
                <w:position w:val="0"/>
                <w:sz w:val="18"/>
                <w:szCs w:val="18"/>
              </w:rPr>
              <w:t>298,235.91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275,900.00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rPr>
                <w:sz w:val="18"/>
                <w:szCs w:val="18"/>
              </w:rPr>
            </w:pPr>
            <w:r>
              <w:rPr>
                <w:rFonts w:ascii="Times New Roman" w:eastAsia="Times New Roman" w:hAnsi="Times New Roman" w:cs="Times New Roman"/>
                <w:color w:val="000000"/>
                <w:spacing w:val="0"/>
                <w:w w:val="100"/>
                <w:position w:val="0"/>
                <w:sz w:val="18"/>
                <w:szCs w:val="18"/>
              </w:rPr>
              <w:t>364,716.99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209,418.92</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left"/>
            </w:pPr>
            <w:r>
              <w:rPr>
                <w:color w:val="000000"/>
                <w:spacing w:val="0"/>
                <w:w w:val="100"/>
                <w:position w:val="0"/>
              </w:rPr>
              <w:t>递延收益</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与资产相关的政府补助</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left"/>
              <w:rPr>
                <w:sz w:val="18"/>
                <w:szCs w:val="18"/>
              </w:rPr>
            </w:pPr>
            <w:r>
              <w:rPr>
                <w:rFonts w:ascii="Times New Roman" w:eastAsia="Times New Roman" w:hAnsi="Times New Roman" w:cs="Times New Roman"/>
                <w:color w:val="000000"/>
                <w:spacing w:val="0"/>
                <w:w w:val="100"/>
                <w:position w:val="0"/>
                <w:sz w:val="18"/>
                <w:szCs w:val="18"/>
              </w:rPr>
              <w:t>980,000.00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rPr>
                <w:sz w:val="18"/>
                <w:szCs w:val="18"/>
              </w:rPr>
            </w:pPr>
            <w:r>
              <w:rPr>
                <w:rFonts w:ascii="Times New Roman" w:eastAsia="Times New Roman" w:hAnsi="Times New Roman" w:cs="Times New Roman"/>
                <w:color w:val="000000"/>
                <w:spacing w:val="0"/>
                <w:w w:val="100"/>
                <w:position w:val="0"/>
                <w:sz w:val="18"/>
                <w:szCs w:val="18"/>
              </w:rPr>
              <w:t>215,000.00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765,000.00</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rPr>
                <w:sz w:val="18"/>
                <w:szCs w:val="18"/>
              </w:rPr>
            </w:pPr>
            <w:r>
              <w:rPr>
                <w:rFonts w:ascii="Times New Roman" w:eastAsia="Times New Roman" w:hAnsi="Times New Roman" w:cs="Times New Roman"/>
                <w:color w:val="000000"/>
                <w:spacing w:val="0"/>
                <w:w w:val="100"/>
                <w:position w:val="0"/>
                <w:sz w:val="18"/>
                <w:szCs w:val="18"/>
              </w:rPr>
              <w:t>1,278,235.91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275,900.00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rPr>
                <w:sz w:val="18"/>
                <w:szCs w:val="18"/>
              </w:rPr>
            </w:pPr>
            <w:r>
              <w:rPr>
                <w:rFonts w:ascii="Times New Roman" w:eastAsia="Times New Roman" w:hAnsi="Times New Roman" w:cs="Times New Roman"/>
                <w:color w:val="000000"/>
                <w:spacing w:val="0"/>
                <w:w w:val="100"/>
                <w:position w:val="0"/>
                <w:sz w:val="18"/>
                <w:szCs w:val="18"/>
              </w:rPr>
              <w:t>579,716.99</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974,418.92</w:t>
            </w:r>
          </w:p>
        </w:tc>
        <w:tc>
          <w:tcPr>
            <w:tcBorders>
              <w:top w:val="single" w:sz="4"/>
              <w:left w:val="single" w:sz="4"/>
              <w:bottom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r>
    </w:tbl>
    <w:p>
      <w:pPr>
        <w:pStyle w:val="Style20"/>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涉及政府补助的项目:</w:t>
      </w:r>
    </w:p>
    <w:p>
      <w:pPr>
        <w:widowControl w:val="0"/>
        <w:spacing w:after="119" w:line="1" w:lineRule="exact"/>
      </w:pPr>
    </w:p>
    <w:p>
      <w:pPr>
        <w:pStyle w:val="Style41"/>
        <w:keepNext w:val="0"/>
        <w:keepLines w:val="0"/>
        <w:widowControl w:val="0"/>
        <w:shd w:val="clear" w:color="auto" w:fill="auto"/>
        <w:bidi w:val="0"/>
        <w:spacing w:before="0" w:after="480" w:line="240" w:lineRule="auto"/>
        <w:ind w:left="8940" w:right="0" w:firstLine="0"/>
        <w:jc w:val="left"/>
      </w:pPr>
      <w:r>
        <w:rPr>
          <w:color w:val="000000"/>
          <w:spacing w:val="0"/>
          <w:w w:val="100"/>
          <w:position w:val="0"/>
        </w:rPr>
        <w:t>单位：元</w:t>
      </w:r>
      <w:r>
        <w:br w:type="page"/>
      </w:r>
    </w:p>
    <w:tbl>
      <w:tblPr>
        <w:tblOverlap w:val="never"/>
        <w:jc w:val="center"/>
        <w:tblLayout w:type="fixed"/>
      </w:tblPr>
      <w:tblGrid>
        <w:gridCol w:w="1848"/>
        <w:gridCol w:w="1133"/>
        <w:gridCol w:w="994"/>
        <w:gridCol w:w="1133"/>
        <w:gridCol w:w="994"/>
        <w:gridCol w:w="850"/>
        <w:gridCol w:w="566"/>
        <w:gridCol w:w="1046"/>
        <w:gridCol w:w="1022"/>
      </w:tblGrid>
      <w:tr>
        <w:trPr>
          <w:trHeight w:val="1032"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560"/>
              <w:jc w:val="left"/>
            </w:pPr>
            <w:r>
              <w:rPr>
                <w:color w:val="000000"/>
                <w:spacing w:val="0"/>
                <w:w w:val="100"/>
                <w:position w:val="0"/>
              </w:rPr>
              <w:t>负债项目</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本期新增补 助金额</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07" w:lineRule="exact"/>
              <w:ind w:left="0" w:right="0" w:firstLine="0"/>
              <w:jc w:val="center"/>
            </w:pPr>
            <w:r>
              <w:rPr>
                <w:color w:val="000000"/>
                <w:spacing w:val="0"/>
                <w:w w:val="100"/>
                <w:position w:val="0"/>
              </w:rPr>
              <w:t>本期计入营 业外收入金</w:t>
            </w:r>
          </w:p>
          <w:p>
            <w:pPr>
              <w:pStyle w:val="Style2"/>
              <w:keepNext w:val="0"/>
              <w:keepLines w:val="0"/>
              <w:widowControl w:val="0"/>
              <w:shd w:val="clear" w:color="auto" w:fill="auto"/>
              <w:bidi w:val="0"/>
              <w:spacing w:before="0" w:after="0" w:line="307" w:lineRule="exact"/>
              <w:ind w:left="0" w:right="0" w:firstLine="0"/>
              <w:jc w:val="center"/>
            </w:pPr>
            <w:r>
              <w:rPr>
                <w:color w:val="000000"/>
                <w:spacing w:val="0"/>
                <w:w w:val="100"/>
                <w:position w:val="0"/>
              </w:rPr>
              <w:t>额</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07" w:lineRule="exact"/>
              <w:ind w:left="0" w:right="0" w:firstLine="0"/>
              <w:jc w:val="right"/>
            </w:pPr>
            <w:r>
              <w:rPr>
                <w:color w:val="000000"/>
                <w:spacing w:val="0"/>
                <w:w w:val="100"/>
                <w:position w:val="0"/>
              </w:rPr>
              <w:t>本期计入其 他收益金额</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本期冲减 成本费用 金额</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其他</w:t>
            </w:r>
          </w:p>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变动</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307" w:lineRule="exact"/>
              <w:ind w:left="0" w:right="0" w:firstLine="0"/>
              <w:jc w:val="left"/>
            </w:pPr>
            <w:r>
              <w:rPr>
                <w:color w:val="000000"/>
                <w:spacing w:val="0"/>
                <w:w w:val="100"/>
                <w:position w:val="0"/>
              </w:rPr>
              <w:t>与资产相关</w:t>
            </w:r>
            <w:r>
              <w:rPr>
                <w:rFonts w:ascii="Times New Roman" w:eastAsia="Times New Roman" w:hAnsi="Times New Roman" w:cs="Times New Roman"/>
                <w:color w:val="000000"/>
                <w:spacing w:val="0"/>
                <w:w w:val="100"/>
                <w:position w:val="0"/>
                <w:sz w:val="18"/>
                <w:szCs w:val="18"/>
              </w:rPr>
              <w:t xml:space="preserve">/ </w:t>
            </w:r>
            <w:r>
              <w:rPr>
                <w:color w:val="000000"/>
                <w:spacing w:val="0"/>
                <w:w w:val="100"/>
                <w:position w:val="0"/>
              </w:rPr>
              <w:t>与收益相关</w:t>
            </w:r>
          </w:p>
        </w:tc>
      </w:tr>
      <w:tr>
        <w:trPr>
          <w:trHeight w:val="16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面向司法解释文件核 查的基础库构建以及 司法解释文件核查原 型系统开发及应用示 范</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rPr>
                <w:sz w:val="18"/>
                <w:szCs w:val="18"/>
              </w:rPr>
            </w:pPr>
            <w:r>
              <w:rPr>
                <w:rFonts w:ascii="Times New Roman" w:eastAsia="Times New Roman" w:hAnsi="Times New Roman" w:cs="Times New Roman"/>
                <w:color w:val="000000"/>
                <w:spacing w:val="0"/>
                <w:w w:val="100"/>
                <w:position w:val="0"/>
                <w:sz w:val="18"/>
                <w:szCs w:val="18"/>
              </w:rPr>
              <w:t>111,569.35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275,900.00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284,716.95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000000"/>
                <w:spacing w:val="0"/>
                <w:w w:val="100"/>
                <w:position w:val="0"/>
                <w:sz w:val="18"/>
                <w:szCs w:val="18"/>
              </w:rPr>
              <w:t>102,752.40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与收益相关</w:t>
            </w:r>
          </w:p>
        </w:tc>
      </w:tr>
      <w:tr>
        <w:trPr>
          <w:trHeight w:val="102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项目农作物信息与气 象服务智能联动综合 管理平台</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rPr>
                <w:sz w:val="18"/>
                <w:szCs w:val="18"/>
              </w:rPr>
            </w:pPr>
            <w:r>
              <w:rPr>
                <w:rFonts w:ascii="Times New Roman" w:eastAsia="Times New Roman" w:hAnsi="Times New Roman" w:cs="Times New Roman"/>
                <w:color w:val="000000"/>
                <w:spacing w:val="0"/>
                <w:w w:val="100"/>
                <w:position w:val="0"/>
                <w:sz w:val="18"/>
                <w:szCs w:val="18"/>
              </w:rPr>
              <w:t>186,666.56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80,000.04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000000"/>
                <w:spacing w:val="0"/>
                <w:w w:val="100"/>
                <w:position w:val="0"/>
                <w:sz w:val="18"/>
                <w:szCs w:val="18"/>
              </w:rPr>
              <w:t>106,666.52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与收益相关</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left"/>
            </w:pPr>
            <w:r>
              <w:rPr>
                <w:b/>
                <w:bCs/>
                <w:color w:val="000000"/>
                <w:spacing w:val="0"/>
                <w:w w:val="100"/>
                <w:position w:val="0"/>
              </w:rPr>
              <w:t>与收益相关的递延收</w:t>
            </w:r>
          </w:p>
          <w:p>
            <w:pPr>
              <w:pStyle w:val="Style2"/>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益小计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rPr>
                <w:sz w:val="18"/>
                <w:szCs w:val="18"/>
              </w:rPr>
            </w:pPr>
            <w:r>
              <w:rPr>
                <w:rFonts w:ascii="Times New Roman" w:eastAsia="Times New Roman" w:hAnsi="Times New Roman" w:cs="Times New Roman"/>
                <w:color w:val="000000"/>
                <w:spacing w:val="0"/>
                <w:w w:val="100"/>
                <w:position w:val="0"/>
                <w:sz w:val="18"/>
                <w:szCs w:val="18"/>
              </w:rPr>
              <w:t>298,235.91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275,900.00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364,716.99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000000"/>
                <w:spacing w:val="0"/>
                <w:w w:val="100"/>
                <w:position w:val="0"/>
                <w:sz w:val="18"/>
                <w:szCs w:val="18"/>
              </w:rPr>
              <w:t>209,418.92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与收益相关</w:t>
            </w:r>
          </w:p>
        </w:tc>
      </w:tr>
      <w:tr>
        <w:trPr>
          <w:trHeight w:val="102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面向精确定位与移动 通信的智慧线设备研 制</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rPr>
                <w:sz w:val="18"/>
                <w:szCs w:val="18"/>
              </w:rPr>
            </w:pPr>
            <w:r>
              <w:rPr>
                <w:rFonts w:ascii="Times New Roman" w:eastAsia="Times New Roman" w:hAnsi="Times New Roman" w:cs="Times New Roman"/>
                <w:color w:val="000000"/>
                <w:spacing w:val="0"/>
                <w:w w:val="100"/>
                <w:position w:val="0"/>
                <w:sz w:val="18"/>
                <w:szCs w:val="18"/>
              </w:rPr>
              <w:t>800,000.00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000000"/>
                <w:spacing w:val="0"/>
                <w:w w:val="100"/>
                <w:position w:val="0"/>
                <w:sz w:val="18"/>
                <w:szCs w:val="18"/>
              </w:rPr>
              <w:t>600,000.00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与资产相关</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固定资产装修补贴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rPr>
                <w:sz w:val="18"/>
                <w:szCs w:val="18"/>
              </w:rPr>
            </w:pPr>
            <w:r>
              <w:rPr>
                <w:rFonts w:ascii="Times New Roman" w:eastAsia="Times New Roman" w:hAnsi="Times New Roman" w:cs="Times New Roman"/>
                <w:color w:val="000000"/>
                <w:spacing w:val="0"/>
                <w:w w:val="100"/>
                <w:position w:val="0"/>
                <w:sz w:val="18"/>
                <w:szCs w:val="18"/>
              </w:rPr>
              <w:t>180,000.00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000000"/>
                <w:spacing w:val="0"/>
                <w:w w:val="100"/>
                <w:position w:val="0"/>
                <w:sz w:val="18"/>
                <w:szCs w:val="18"/>
              </w:rPr>
              <w:t>165,000.00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与资产相关</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0"/>
              <w:jc w:val="left"/>
            </w:pPr>
            <w:r>
              <w:rPr>
                <w:b/>
                <w:bCs/>
                <w:color w:val="000000"/>
                <w:spacing w:val="0"/>
                <w:w w:val="100"/>
                <w:position w:val="0"/>
              </w:rPr>
              <w:t>与资产相关的递延收 益小计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rPr>
                <w:sz w:val="18"/>
                <w:szCs w:val="18"/>
              </w:rPr>
            </w:pPr>
            <w:r>
              <w:rPr>
                <w:rFonts w:ascii="Times New Roman" w:eastAsia="Times New Roman" w:hAnsi="Times New Roman" w:cs="Times New Roman"/>
                <w:color w:val="000000"/>
                <w:spacing w:val="0"/>
                <w:w w:val="100"/>
                <w:position w:val="0"/>
                <w:sz w:val="18"/>
                <w:szCs w:val="18"/>
              </w:rPr>
              <w:t>980,000.00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215,000.00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000000"/>
                <w:spacing w:val="0"/>
                <w:w w:val="100"/>
                <w:position w:val="0"/>
                <w:sz w:val="18"/>
                <w:szCs w:val="18"/>
              </w:rPr>
              <w:t>765,000.00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与资产相关</w:t>
            </w:r>
          </w:p>
        </w:tc>
      </w:tr>
      <w:tr>
        <w:trPr>
          <w:trHeight w:val="41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000000"/>
                <w:spacing w:val="0"/>
                <w:w w:val="100"/>
                <w:position w:val="0"/>
                <w:sz w:val="18"/>
                <w:szCs w:val="18"/>
              </w:rPr>
              <w:t>1,278,235.91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275,900.00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579,716.99</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000000"/>
                <w:spacing w:val="0"/>
                <w:w w:val="100"/>
                <w:position w:val="0"/>
                <w:sz w:val="18"/>
                <w:szCs w:val="18"/>
              </w:rPr>
              <w:t>974,418.92</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319" w:line="1" w:lineRule="exact"/>
      </w:pPr>
    </w:p>
    <w:p>
      <w:pPr>
        <w:pStyle w:val="Style47"/>
        <w:keepNext/>
        <w:keepLines/>
        <w:widowControl w:val="0"/>
        <w:shd w:val="clear" w:color="auto" w:fill="auto"/>
        <w:bidi w:val="0"/>
        <w:spacing w:before="0" w:after="480" w:line="240" w:lineRule="auto"/>
        <w:ind w:left="0" w:right="0" w:firstLine="0"/>
        <w:jc w:val="left"/>
      </w:pPr>
      <w:bookmarkStart w:id="1656" w:name="bookmark1656"/>
      <w:bookmarkStart w:id="1657" w:name="bookmark1657"/>
      <w:bookmarkStart w:id="1658" w:name="bookmark1658"/>
      <w:bookmarkStart w:id="1659" w:name="bookmark1659"/>
      <w:r>
        <w:rPr>
          <w:color w:val="000000"/>
          <w:spacing w:val="0"/>
          <w:w w:val="100"/>
          <w:position w:val="0"/>
        </w:rPr>
        <w:t>5</w:t>
      </w:r>
      <w:bookmarkEnd w:id="1658"/>
      <w:r>
        <w:rPr>
          <w:color w:val="000000"/>
          <w:spacing w:val="0"/>
          <w:w w:val="100"/>
          <w:position w:val="0"/>
        </w:rPr>
        <w:t>2、其他非流动负债</w:t>
      </w:r>
      <w:bookmarkEnd w:id="1656"/>
      <w:bookmarkEnd w:id="1657"/>
      <w:bookmarkEnd w:id="1659"/>
    </w:p>
    <w:p>
      <w:pPr>
        <w:pStyle w:val="Style41"/>
        <w:keepNext w:val="0"/>
        <w:keepLines w:val="0"/>
        <w:widowControl w:val="0"/>
        <w:shd w:val="clear" w:color="auto" w:fill="auto"/>
        <w:bidi w:val="0"/>
        <w:spacing w:before="0" w:after="480" w:line="240" w:lineRule="auto"/>
        <w:ind w:left="0" w:right="0"/>
        <w:jc w:val="left"/>
      </w:pPr>
      <w:r>
        <w:rPr>
          <w:color w:val="000000"/>
          <w:spacing w:val="0"/>
          <w:w w:val="100"/>
          <w:position w:val="0"/>
        </w:rPr>
        <w:t>无。</w:t>
      </w:r>
    </w:p>
    <w:p>
      <w:pPr>
        <w:pStyle w:val="Style47"/>
        <w:keepNext/>
        <w:keepLines/>
        <w:widowControl w:val="0"/>
        <w:shd w:val="clear" w:color="auto" w:fill="auto"/>
        <w:bidi w:val="0"/>
        <w:spacing w:before="0" w:after="400" w:line="240" w:lineRule="auto"/>
        <w:ind w:left="0" w:right="0" w:firstLine="0"/>
        <w:jc w:val="left"/>
      </w:pPr>
      <w:bookmarkStart w:id="1660" w:name="bookmark1660"/>
      <w:bookmarkStart w:id="1661" w:name="bookmark1661"/>
      <w:bookmarkStart w:id="1662" w:name="bookmark1662"/>
      <w:bookmarkStart w:id="1663" w:name="bookmark1663"/>
      <w:r>
        <w:rPr>
          <w:color w:val="000000"/>
          <w:spacing w:val="0"/>
          <w:w w:val="100"/>
          <w:position w:val="0"/>
        </w:rPr>
        <w:t>5</w:t>
      </w:r>
      <w:bookmarkEnd w:id="1662"/>
      <w:r>
        <w:rPr>
          <w:color w:val="000000"/>
          <w:spacing w:val="0"/>
          <w:w w:val="100"/>
          <w:position w:val="0"/>
        </w:rPr>
        <w:t>3、股本</w:t>
      </w:r>
      <w:bookmarkEnd w:id="1660"/>
      <w:bookmarkEnd w:id="1661"/>
      <w:bookmarkEnd w:id="1663"/>
    </w:p>
    <w:p>
      <w:pPr>
        <w:pStyle w:val="Style41"/>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center"/>
        <w:tblLayout w:type="fixed"/>
      </w:tblPr>
      <w:tblGrid>
        <w:gridCol w:w="1200"/>
        <w:gridCol w:w="1358"/>
        <w:gridCol w:w="1037"/>
        <w:gridCol w:w="1195"/>
        <w:gridCol w:w="1195"/>
        <w:gridCol w:w="1195"/>
        <w:gridCol w:w="1046"/>
        <w:gridCol w:w="1354"/>
      </w:tblGrid>
      <w:tr>
        <w:trPr>
          <w:trHeight w:val="408" w:hRule="exact"/>
        </w:trPr>
        <w:tc>
          <w:tcPr>
            <w:vMerge w:val="restart"/>
            <w:tcBorders>
              <w:top w:val="single" w:sz="4"/>
              <w:left w:val="single" w:sz="4"/>
            </w:tcBorders>
            <w:shd w:val="clear" w:color="auto" w:fill="D7D7D7"/>
            <w:vAlign w:val="top"/>
          </w:tcPr>
          <w:p>
            <w:pPr>
              <w:widowControl w:val="0"/>
              <w:rPr>
                <w:sz w:val="10"/>
                <w:szCs w:val="10"/>
              </w:rPr>
            </w:pPr>
          </w:p>
        </w:tc>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c>
          <w:tcPr>
            <w:gridSpan w:val="5"/>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本次变动增减（</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tc>
        <w:tc>
          <w:tcPr>
            <w:vMerge w:val="restart"/>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r>
      <w:tr>
        <w:trPr>
          <w:trHeight w:val="403" w:hRule="exact"/>
        </w:trPr>
        <w:tc>
          <w:tcPr>
            <w:vMerge/>
            <w:tcBorders>
              <w:left w:val="single" w:sz="4"/>
            </w:tcBorders>
            <w:shd w:val="clear" w:color="auto" w:fill="D7D7D7"/>
            <w:vAlign w:val="top"/>
          </w:tcPr>
          <w:p>
            <w:pPr/>
          </w:p>
        </w:tc>
        <w:tc>
          <w:tcPr>
            <w:vMerge/>
            <w:tcBorders>
              <w:left w:val="single" w:sz="4"/>
            </w:tcBorders>
            <w:shd w:val="clear" w:color="auto" w:fill="D7D7D7"/>
            <w:vAlign w:val="center"/>
          </w:tcPr>
          <w:p>
            <w:pP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发行新股</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送股</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公积金转股</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小计</w:t>
            </w:r>
          </w:p>
        </w:tc>
        <w:tc>
          <w:tcPr>
            <w:vMerge/>
            <w:tcBorders>
              <w:left w:val="single" w:sz="4"/>
              <w:right w:val="single" w:sz="4"/>
            </w:tcBorders>
            <w:shd w:val="clear" w:color="auto" w:fill="D7D7D7"/>
            <w:vAlign w:val="center"/>
          </w:tcPr>
          <w:p>
            <w:pP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股份总数</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1,961,091,984.00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1,961,091,984.00</w:t>
            </w:r>
          </w:p>
        </w:tc>
      </w:tr>
    </w:tbl>
    <w:p>
      <w:pPr>
        <w:widowControl w:val="0"/>
        <w:spacing w:after="319" w:line="1" w:lineRule="exact"/>
      </w:pPr>
    </w:p>
    <w:p>
      <w:pPr>
        <w:pStyle w:val="Style47"/>
        <w:keepNext/>
        <w:keepLines/>
        <w:widowControl w:val="0"/>
        <w:shd w:val="clear" w:color="auto" w:fill="auto"/>
        <w:bidi w:val="0"/>
        <w:spacing w:before="0" w:after="480" w:line="240" w:lineRule="auto"/>
        <w:ind w:left="0" w:right="0" w:firstLine="0"/>
        <w:jc w:val="both"/>
      </w:pPr>
      <w:bookmarkStart w:id="1664" w:name="bookmark1664"/>
      <w:bookmarkStart w:id="1665" w:name="bookmark1665"/>
      <w:bookmarkStart w:id="1666" w:name="bookmark1666"/>
      <w:bookmarkStart w:id="1667" w:name="bookmark1667"/>
      <w:r>
        <w:rPr>
          <w:color w:val="000000"/>
          <w:spacing w:val="0"/>
          <w:w w:val="100"/>
          <w:position w:val="0"/>
        </w:rPr>
        <w:t>5</w:t>
      </w:r>
      <w:bookmarkEnd w:id="1666"/>
      <w:r>
        <w:rPr>
          <w:color w:val="000000"/>
          <w:spacing w:val="0"/>
          <w:w w:val="100"/>
          <w:position w:val="0"/>
        </w:rPr>
        <w:t>4、其他权益工具</w:t>
      </w:r>
      <w:bookmarkEnd w:id="1664"/>
      <w:bookmarkEnd w:id="1665"/>
      <w:bookmarkEnd w:id="1667"/>
    </w:p>
    <w:p>
      <w:pPr>
        <w:pStyle w:val="Style41"/>
        <w:keepNext w:val="0"/>
        <w:keepLines w:val="0"/>
        <w:widowControl w:val="0"/>
        <w:shd w:val="clear" w:color="auto" w:fill="auto"/>
        <w:bidi w:val="0"/>
        <w:spacing w:before="0" w:after="480" w:line="240" w:lineRule="auto"/>
        <w:ind w:left="0" w:right="0"/>
        <w:jc w:val="left"/>
      </w:pPr>
      <w:r>
        <w:rPr>
          <w:color w:val="000000"/>
          <w:spacing w:val="0"/>
          <w:w w:val="100"/>
          <w:position w:val="0"/>
        </w:rPr>
        <w:t>无。</w:t>
      </w:r>
    </w:p>
    <w:p>
      <w:pPr>
        <w:pStyle w:val="Style47"/>
        <w:keepNext/>
        <w:keepLines/>
        <w:widowControl w:val="0"/>
        <w:shd w:val="clear" w:color="auto" w:fill="auto"/>
        <w:bidi w:val="0"/>
        <w:spacing w:before="0" w:after="400" w:line="240" w:lineRule="auto"/>
        <w:ind w:left="0" w:right="0" w:firstLine="0"/>
        <w:jc w:val="left"/>
      </w:pPr>
      <w:bookmarkStart w:id="1668" w:name="bookmark1668"/>
      <w:bookmarkStart w:id="1669" w:name="bookmark1669"/>
      <w:bookmarkStart w:id="1670" w:name="bookmark1670"/>
      <w:bookmarkStart w:id="1671" w:name="bookmark1671"/>
      <w:r>
        <w:rPr>
          <w:color w:val="000000"/>
          <w:spacing w:val="0"/>
          <w:w w:val="100"/>
          <w:position w:val="0"/>
        </w:rPr>
        <w:t>5</w:t>
      </w:r>
      <w:bookmarkEnd w:id="1670"/>
      <w:r>
        <w:rPr>
          <w:color w:val="000000"/>
          <w:spacing w:val="0"/>
          <w:w w:val="100"/>
          <w:position w:val="0"/>
        </w:rPr>
        <w:t>5、资本公积</w:t>
      </w:r>
      <w:bookmarkEnd w:id="1668"/>
      <w:bookmarkEnd w:id="1669"/>
      <w:bookmarkEnd w:id="1671"/>
    </w:p>
    <w:p>
      <w:pPr>
        <w:pStyle w:val="Style41"/>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center"/>
        <w:tblLayout w:type="fixed"/>
      </w:tblPr>
      <w:tblGrid>
        <w:gridCol w:w="1915"/>
        <w:gridCol w:w="1920"/>
        <w:gridCol w:w="1925"/>
        <w:gridCol w:w="1901"/>
        <w:gridCol w:w="1925"/>
      </w:tblGrid>
      <w:tr>
        <w:trPr>
          <w:trHeight w:val="418"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本期增加</w:t>
            </w:r>
          </w:p>
        </w:tc>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本期减少</w:t>
            </w:r>
          </w:p>
        </w:tc>
        <w:tc>
          <w:tcPr>
            <w:tcBorders>
              <w:top w:val="single" w:sz="4"/>
              <w:left w:val="single" w:sz="4"/>
              <w:bottom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r>
    </w:tbl>
    <w:p>
      <w:pPr>
        <w:widowControl w:val="0"/>
        <w:spacing w:line="1" w:lineRule="exact"/>
      </w:pPr>
    </w:p>
    <w:tbl>
      <w:tblPr>
        <w:tblOverlap w:val="never"/>
        <w:jc w:val="center"/>
        <w:tblLayout w:type="fixed"/>
      </w:tblPr>
      <w:tblGrid>
        <w:gridCol w:w="1915"/>
        <w:gridCol w:w="1920"/>
        <w:gridCol w:w="1910"/>
        <w:gridCol w:w="1915"/>
        <w:gridCol w:w="1925"/>
      </w:tblGrid>
      <w:tr>
        <w:trPr>
          <w:trHeight w:val="480" w:hRule="exact"/>
        </w:trPr>
        <w:tc>
          <w:tcPr>
            <w:tcBorders>
              <w:top w:val="single" w:sz="4"/>
              <w:left w:val="single" w:sz="4"/>
            </w:tcBorders>
            <w:shd w:val="clear" w:color="auto" w:fill="D7D7D7"/>
            <w:vAlign w:val="bottom"/>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资本溢价（股本溢价）</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760"/>
              <w:jc w:val="left"/>
              <w:rPr>
                <w:sz w:val="18"/>
                <w:szCs w:val="18"/>
              </w:rPr>
            </w:pPr>
            <w:r>
              <w:rPr>
                <w:rFonts w:ascii="Times New Roman" w:eastAsia="Times New Roman" w:hAnsi="Times New Roman" w:cs="Times New Roman"/>
                <w:color w:val="000000"/>
                <w:spacing w:val="0"/>
                <w:w w:val="100"/>
                <w:position w:val="0"/>
                <w:sz w:val="18"/>
                <w:szCs w:val="18"/>
              </w:rPr>
              <w:t>445,286,083.15</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113,135,018.65</w:t>
            </w:r>
          </w:p>
        </w:tc>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6,178,637.48</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760"/>
              <w:jc w:val="left"/>
              <w:rPr>
                <w:sz w:val="18"/>
                <w:szCs w:val="18"/>
              </w:rPr>
            </w:pPr>
            <w:r>
              <w:rPr>
                <w:rFonts w:ascii="Times New Roman" w:eastAsia="Times New Roman" w:hAnsi="Times New Roman" w:cs="Times New Roman"/>
                <w:color w:val="000000"/>
                <w:spacing w:val="0"/>
                <w:w w:val="100"/>
                <w:position w:val="0"/>
                <w:sz w:val="18"/>
                <w:szCs w:val="18"/>
              </w:rPr>
              <w:t>552,242,464.32</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其他资本公积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31,991,800.27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31,991,800.27</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rPr>
                <w:sz w:val="18"/>
                <w:szCs w:val="18"/>
              </w:rPr>
            </w:pPr>
            <w:r>
              <w:rPr>
                <w:rFonts w:ascii="Times New Roman" w:eastAsia="Times New Roman" w:hAnsi="Times New Roman" w:cs="Times New Roman"/>
                <w:color w:val="000000"/>
                <w:spacing w:val="0"/>
                <w:w w:val="100"/>
                <w:position w:val="0"/>
                <w:sz w:val="18"/>
                <w:szCs w:val="18"/>
              </w:rPr>
              <w:t>477,277,883.42</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113,135,018.65</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6,178,637.48</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rPr>
                <w:sz w:val="18"/>
                <w:szCs w:val="18"/>
              </w:rPr>
            </w:pPr>
            <w:r>
              <w:rPr>
                <w:rFonts w:ascii="Times New Roman" w:eastAsia="Times New Roman" w:hAnsi="Times New Roman" w:cs="Times New Roman"/>
                <w:color w:val="000000"/>
                <w:spacing w:val="0"/>
                <w:w w:val="100"/>
                <w:position w:val="0"/>
                <w:sz w:val="18"/>
                <w:szCs w:val="18"/>
              </w:rPr>
              <w:t>584,234,264.59</w:t>
            </w:r>
          </w:p>
        </w:tc>
      </w:tr>
    </w:tbl>
    <w:p>
      <w:pPr>
        <w:widowControl w:val="0"/>
        <w:spacing w:after="359" w:line="1" w:lineRule="exact"/>
      </w:pPr>
    </w:p>
    <w:p>
      <w:pPr>
        <w:pStyle w:val="Style41"/>
        <w:keepNext w:val="0"/>
        <w:keepLines w:val="0"/>
        <w:widowControl w:val="0"/>
        <w:shd w:val="clear" w:color="auto" w:fill="auto"/>
        <w:tabs>
          <w:tab w:pos="868" w:val="left"/>
        </w:tabs>
        <w:bidi w:val="0"/>
        <w:spacing w:before="0" w:after="0" w:line="462" w:lineRule="exact"/>
        <w:ind w:left="0" w:right="0"/>
        <w:jc w:val="both"/>
      </w:pPr>
      <w:bookmarkStart w:id="1672" w:name="bookmark1672"/>
      <w:r>
        <w:rPr>
          <w:color w:val="000000"/>
          <w:spacing w:val="0"/>
          <w:w w:val="100"/>
          <w:position w:val="0"/>
        </w:rPr>
        <w:t>（</w:t>
      </w:r>
      <w:bookmarkEnd w:id="1672"/>
      <w:r>
        <w:rPr>
          <w:rFonts w:ascii="Times New Roman" w:eastAsia="Times New Roman" w:hAnsi="Times New Roman" w:cs="Times New Roman"/>
          <w:color w:val="000000"/>
          <w:spacing w:val="0"/>
          <w:w w:val="100"/>
          <w:position w:val="0"/>
          <w:sz w:val="18"/>
          <w:szCs w:val="18"/>
        </w:rPr>
        <w:t>1</w:t>
      </w:r>
      <w:r>
        <w:rPr>
          <w:color w:val="000000"/>
          <w:spacing w:val="0"/>
          <w:w w:val="100"/>
          <w:position w:val="0"/>
        </w:rPr>
        <w:t>）</w:t>
        <w:tab/>
        <w:t>本报告期原全资子公司鼎富智能科技有限公司获少数股东增资，增资溢价部分归属于本公司的份额部分，相应增 加</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资本公积</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资本溢价</w:t>
      </w:r>
      <w:r>
        <w:rPr>
          <w:rFonts w:ascii="Times New Roman" w:eastAsia="Times New Roman" w:hAnsi="Times New Roman" w:cs="Times New Roman"/>
          <w:color w:val="000000"/>
          <w:spacing w:val="0"/>
          <w:w w:val="100"/>
          <w:position w:val="0"/>
          <w:sz w:val="18"/>
          <w:szCs w:val="18"/>
        </w:rPr>
        <w:t xml:space="preserve">” </w:t>
      </w:r>
      <w:r>
        <w:rPr>
          <w:rFonts w:ascii="Times New Roman" w:eastAsia="Times New Roman" w:hAnsi="Times New Roman" w:cs="Times New Roman"/>
          <w:color w:val="000000"/>
          <w:spacing w:val="0"/>
          <w:w w:val="100"/>
          <w:position w:val="0"/>
          <w:sz w:val="18"/>
          <w:szCs w:val="18"/>
        </w:rPr>
        <w:t>113,135,018.65</w:t>
      </w:r>
      <w:r>
        <w:rPr>
          <w:color w:val="000000"/>
          <w:spacing w:val="0"/>
          <w:w w:val="100"/>
          <w:position w:val="0"/>
        </w:rPr>
        <w:t>元。</w:t>
      </w:r>
    </w:p>
    <w:p>
      <w:pPr>
        <w:pStyle w:val="Style41"/>
        <w:keepNext w:val="0"/>
        <w:keepLines w:val="0"/>
        <w:widowControl w:val="0"/>
        <w:shd w:val="clear" w:color="auto" w:fill="auto"/>
        <w:tabs>
          <w:tab w:pos="873" w:val="left"/>
        </w:tabs>
        <w:bidi w:val="0"/>
        <w:spacing w:before="0" w:after="420" w:line="462" w:lineRule="exact"/>
        <w:ind w:left="0" w:right="0"/>
        <w:jc w:val="both"/>
      </w:pPr>
      <w:bookmarkStart w:id="1673" w:name="bookmark1673"/>
      <w:r>
        <w:rPr>
          <w:color w:val="000000"/>
          <w:spacing w:val="0"/>
          <w:w w:val="100"/>
          <w:position w:val="0"/>
        </w:rPr>
        <w:t>（</w:t>
      </w:r>
      <w:bookmarkEnd w:id="1673"/>
      <w:r>
        <w:rPr>
          <w:rFonts w:ascii="Times New Roman" w:eastAsia="Times New Roman" w:hAnsi="Times New Roman" w:cs="Times New Roman"/>
          <w:color w:val="000000"/>
          <w:spacing w:val="0"/>
          <w:w w:val="100"/>
          <w:position w:val="0"/>
          <w:sz w:val="18"/>
          <w:szCs w:val="18"/>
        </w:rPr>
        <w:t>2</w:t>
      </w:r>
      <w:r>
        <w:rPr>
          <w:color w:val="000000"/>
          <w:spacing w:val="0"/>
          <w:w w:val="100"/>
          <w:position w:val="0"/>
        </w:rPr>
        <w:t>）</w:t>
        <w:tab/>
        <w:t>本报告期公司收购四家非全资子公司北京神州泰核物联网技术有限公司、北京泰岳睿安科技有限公司、北京慧联 神州科技有限公司、北京神州智核信息技术有限公司各</w:t>
      </w:r>
      <w:r>
        <w:rPr>
          <w:rFonts w:ascii="Times New Roman" w:eastAsia="Times New Roman" w:hAnsi="Times New Roman" w:cs="Times New Roman"/>
          <w:color w:val="000000"/>
          <w:spacing w:val="0"/>
          <w:w w:val="100"/>
          <w:position w:val="0"/>
          <w:sz w:val="18"/>
          <w:szCs w:val="18"/>
        </w:rPr>
        <w:t>25%</w:t>
      </w:r>
      <w:r>
        <w:rPr>
          <w:color w:val="000000"/>
          <w:spacing w:val="0"/>
          <w:w w:val="100"/>
          <w:position w:val="0"/>
        </w:rPr>
        <w:t>的少数股东股权，合计相应减少</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资本公积</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资本溢价</w:t>
      </w:r>
      <w:r>
        <w:rPr>
          <w:rFonts w:ascii="Times New Roman" w:eastAsia="Times New Roman" w:hAnsi="Times New Roman" w:cs="Times New Roman"/>
          <w:color w:val="000000"/>
          <w:spacing w:val="0"/>
          <w:w w:val="100"/>
          <w:position w:val="0"/>
          <w:sz w:val="18"/>
          <w:szCs w:val="18"/>
        </w:rPr>
        <w:t xml:space="preserve">” </w:t>
      </w:r>
      <w:r>
        <w:rPr>
          <w:rFonts w:ascii="Times New Roman" w:eastAsia="Times New Roman" w:hAnsi="Times New Roman" w:cs="Times New Roman"/>
          <w:color w:val="000000"/>
          <w:spacing w:val="0"/>
          <w:w w:val="100"/>
          <w:position w:val="0"/>
          <w:sz w:val="18"/>
          <w:szCs w:val="18"/>
        </w:rPr>
        <w:t>6,178,637.48</w:t>
      </w:r>
      <w:r>
        <w:rPr>
          <w:color w:val="000000"/>
          <w:spacing w:val="0"/>
          <w:w w:val="100"/>
          <w:position w:val="0"/>
        </w:rPr>
        <w:t>元。</w:t>
      </w:r>
    </w:p>
    <w:p>
      <w:pPr>
        <w:pStyle w:val="Style47"/>
        <w:keepNext/>
        <w:keepLines/>
        <w:widowControl w:val="0"/>
        <w:shd w:val="clear" w:color="auto" w:fill="auto"/>
        <w:bidi w:val="0"/>
        <w:spacing w:before="0" w:after="420" w:line="240" w:lineRule="auto"/>
        <w:ind w:left="0" w:right="0" w:firstLine="0"/>
        <w:jc w:val="left"/>
      </w:pPr>
      <w:bookmarkStart w:id="1674" w:name="bookmark1674"/>
      <w:bookmarkStart w:id="1675" w:name="bookmark1675"/>
      <w:bookmarkStart w:id="1676" w:name="bookmark1676"/>
      <w:bookmarkStart w:id="1677" w:name="bookmark1677"/>
      <w:r>
        <w:rPr>
          <w:color w:val="000000"/>
          <w:spacing w:val="0"/>
          <w:w w:val="100"/>
          <w:position w:val="0"/>
        </w:rPr>
        <w:t>5</w:t>
      </w:r>
      <w:bookmarkEnd w:id="1676"/>
      <w:r>
        <w:rPr>
          <w:color w:val="000000"/>
          <w:spacing w:val="0"/>
          <w:w w:val="100"/>
          <w:position w:val="0"/>
        </w:rPr>
        <w:t>6、库存股</w:t>
      </w:r>
      <w:bookmarkEnd w:id="1674"/>
      <w:bookmarkEnd w:id="1675"/>
      <w:bookmarkEnd w:id="1677"/>
    </w:p>
    <w:p>
      <w:pPr>
        <w:pStyle w:val="Style41"/>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3408"/>
        <w:gridCol w:w="1277"/>
        <w:gridCol w:w="1982"/>
        <w:gridCol w:w="994"/>
        <w:gridCol w:w="1925"/>
      </w:tblGrid>
      <w:tr>
        <w:trPr>
          <w:trHeight w:val="40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本期增加</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本期减少</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600"/>
              <w:jc w:val="left"/>
            </w:pPr>
            <w:r>
              <w:rPr>
                <w:color w:val="000000"/>
                <w:spacing w:val="0"/>
                <w:w w:val="100"/>
                <w:position w:val="0"/>
              </w:rPr>
              <w:t>期末余额</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回购本公司股份用于股权激励或员工持股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left"/>
              <w:rPr>
                <w:sz w:val="18"/>
                <w:szCs w:val="18"/>
              </w:rPr>
            </w:pPr>
            <w:r>
              <w:rPr>
                <w:rFonts w:ascii="Times New Roman" w:eastAsia="Times New Roman" w:hAnsi="Times New Roman" w:cs="Times New Roman"/>
                <w:color w:val="000000"/>
                <w:spacing w:val="0"/>
                <w:w w:val="100"/>
                <w:position w:val="0"/>
                <w:sz w:val="18"/>
                <w:szCs w:val="18"/>
              </w:rPr>
              <w:t>100,973,450.64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rPr>
                <w:sz w:val="18"/>
                <w:szCs w:val="18"/>
              </w:rPr>
            </w:pPr>
            <w:r>
              <w:rPr>
                <w:rFonts w:ascii="Times New Roman" w:eastAsia="Times New Roman" w:hAnsi="Times New Roman" w:cs="Times New Roman"/>
                <w:color w:val="000000"/>
                <w:spacing w:val="0"/>
                <w:w w:val="100"/>
                <w:position w:val="0"/>
                <w:sz w:val="18"/>
                <w:szCs w:val="18"/>
              </w:rPr>
              <w:t>100,973,450.64</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left"/>
              <w:rPr>
                <w:sz w:val="18"/>
                <w:szCs w:val="18"/>
              </w:rPr>
            </w:pPr>
            <w:r>
              <w:rPr>
                <w:rFonts w:ascii="Times New Roman" w:eastAsia="Times New Roman" w:hAnsi="Times New Roman" w:cs="Times New Roman"/>
                <w:color w:val="000000"/>
                <w:spacing w:val="0"/>
                <w:w w:val="100"/>
                <w:position w:val="0"/>
                <w:sz w:val="18"/>
                <w:szCs w:val="18"/>
              </w:rPr>
              <w:t>100,973,450.64</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rPr>
                <w:sz w:val="18"/>
                <w:szCs w:val="18"/>
              </w:rPr>
            </w:pPr>
            <w:r>
              <w:rPr>
                <w:rFonts w:ascii="Times New Roman" w:eastAsia="Times New Roman" w:hAnsi="Times New Roman" w:cs="Times New Roman"/>
                <w:color w:val="000000"/>
                <w:spacing w:val="0"/>
                <w:w w:val="100"/>
                <w:position w:val="0"/>
                <w:sz w:val="18"/>
                <w:szCs w:val="18"/>
              </w:rPr>
              <w:t>100,973,450.64</w:t>
            </w:r>
          </w:p>
        </w:tc>
      </w:tr>
    </w:tbl>
    <w:p>
      <w:pPr>
        <w:pStyle w:val="Style20"/>
        <w:keepNext w:val="0"/>
        <w:keepLines w:val="0"/>
        <w:widowControl w:val="0"/>
        <w:shd w:val="clear" w:color="auto" w:fill="auto"/>
        <w:bidi w:val="0"/>
        <w:spacing w:before="0" w:after="0" w:line="240" w:lineRule="auto"/>
        <w:ind w:left="77" w:right="0" w:firstLine="0"/>
        <w:jc w:val="left"/>
        <w:rPr>
          <w:sz w:val="17"/>
          <w:szCs w:val="17"/>
        </w:rPr>
      </w:pPr>
      <w:r>
        <w:rPr>
          <w:rFonts w:ascii="SimSun" w:eastAsia="SimSun" w:hAnsi="SimSun" w:cs="SimSun"/>
          <w:color w:val="000000"/>
          <w:spacing w:val="0"/>
          <w:w w:val="100"/>
          <w:position w:val="0"/>
          <w:sz w:val="17"/>
          <w:szCs w:val="17"/>
        </w:rPr>
        <w:t>变动原因说明:</w:t>
      </w:r>
    </w:p>
    <w:p>
      <w:pPr>
        <w:pStyle w:val="Style41"/>
        <w:keepNext w:val="0"/>
        <w:keepLines w:val="0"/>
        <w:widowControl w:val="0"/>
        <w:shd w:val="clear" w:color="auto" w:fill="auto"/>
        <w:bidi w:val="0"/>
        <w:spacing w:before="0" w:after="0" w:line="467" w:lineRule="exact"/>
        <w:ind w:left="0" w:right="0"/>
        <w:jc w:val="left"/>
      </w:pPr>
      <w:r>
        <w:rPr>
          <w:color w:val="000000"/>
          <w:spacing w:val="0"/>
          <w:w w:val="100"/>
          <w:position w:val="0"/>
        </w:rPr>
        <w:t>公司于</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20</w:t>
      </w:r>
      <w:r>
        <w:rPr>
          <w:color w:val="000000"/>
          <w:spacing w:val="0"/>
          <w:w w:val="100"/>
          <w:position w:val="0"/>
        </w:rPr>
        <w:t>日召开第七届董事会第十九次会议、第七届监事会第四次会议审议通过了《关于公司以集中竞价交 易方式回购公司股份的议案》，使用自有资金以集中竞价方式回购公司股份，回购的公司股份拟用于股权激励或员工持股计 划，回购价格不超过人民币</w:t>
      </w:r>
      <w:r>
        <w:rPr>
          <w:rFonts w:ascii="Times New Roman" w:eastAsia="Times New Roman" w:hAnsi="Times New Roman" w:cs="Times New Roman"/>
          <w:color w:val="000000"/>
          <w:spacing w:val="0"/>
          <w:w w:val="100"/>
          <w:position w:val="0"/>
          <w:sz w:val="18"/>
          <w:szCs w:val="18"/>
        </w:rPr>
        <w:t>5.07</w:t>
      </w:r>
      <w:r>
        <w:rPr>
          <w:color w:val="000000"/>
          <w:spacing w:val="0"/>
          <w:w w:val="100"/>
          <w:position w:val="0"/>
        </w:rPr>
        <w:t>元</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股，回购资金总额不低于人民币</w:t>
      </w:r>
      <w:r>
        <w:rPr>
          <w:rFonts w:ascii="Times New Roman" w:eastAsia="Times New Roman" w:hAnsi="Times New Roman" w:cs="Times New Roman"/>
          <w:color w:val="000000"/>
          <w:spacing w:val="0"/>
          <w:w w:val="100"/>
          <w:position w:val="0"/>
          <w:sz w:val="18"/>
          <w:szCs w:val="18"/>
        </w:rPr>
        <w:t>10,000</w:t>
      </w:r>
      <w:r>
        <w:rPr>
          <w:color w:val="000000"/>
          <w:spacing w:val="0"/>
          <w:w w:val="100"/>
          <w:position w:val="0"/>
        </w:rPr>
        <w:t>万元（含</w:t>
      </w:r>
      <w:r>
        <w:rPr>
          <w:rFonts w:ascii="Times New Roman" w:eastAsia="Times New Roman" w:hAnsi="Times New Roman" w:cs="Times New Roman"/>
          <w:color w:val="000000"/>
          <w:spacing w:val="0"/>
          <w:w w:val="100"/>
          <w:position w:val="0"/>
          <w:sz w:val="18"/>
          <w:szCs w:val="18"/>
        </w:rPr>
        <w:t>10,000</w:t>
      </w:r>
      <w:r>
        <w:rPr>
          <w:color w:val="000000"/>
          <w:spacing w:val="0"/>
          <w:w w:val="100"/>
          <w:position w:val="0"/>
        </w:rPr>
        <w:t>万元）且不超过人民币</w:t>
      </w:r>
      <w:r>
        <w:rPr>
          <w:rFonts w:ascii="Times New Roman" w:eastAsia="Times New Roman" w:hAnsi="Times New Roman" w:cs="Times New Roman"/>
          <w:color w:val="000000"/>
          <w:spacing w:val="0"/>
          <w:w w:val="100"/>
          <w:position w:val="0"/>
          <w:sz w:val="18"/>
          <w:szCs w:val="18"/>
        </w:rPr>
        <w:t>20,000</w:t>
      </w:r>
      <w:r>
        <w:rPr>
          <w:color w:val="000000"/>
          <w:spacing w:val="0"/>
          <w:w w:val="100"/>
          <w:position w:val="0"/>
        </w:rPr>
        <w:t>万元 （含</w:t>
      </w:r>
      <w:r>
        <w:rPr>
          <w:rFonts w:ascii="Times New Roman" w:eastAsia="Times New Roman" w:hAnsi="Times New Roman" w:cs="Times New Roman"/>
          <w:color w:val="000000"/>
          <w:spacing w:val="0"/>
          <w:w w:val="100"/>
          <w:position w:val="0"/>
          <w:sz w:val="18"/>
          <w:szCs w:val="18"/>
        </w:rPr>
        <w:t>20,000</w:t>
      </w:r>
      <w:r>
        <w:rPr>
          <w:color w:val="000000"/>
          <w:spacing w:val="0"/>
          <w:w w:val="100"/>
          <w:position w:val="0"/>
        </w:rPr>
        <w:t>万元），回购股份期限为董事会审议通过回购股份方案之日起</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个月。</w:t>
      </w:r>
    </w:p>
    <w:p>
      <w:pPr>
        <w:pStyle w:val="Style41"/>
        <w:keepNext w:val="0"/>
        <w:keepLines w:val="0"/>
        <w:widowControl w:val="0"/>
        <w:shd w:val="clear" w:color="auto" w:fill="auto"/>
        <w:bidi w:val="0"/>
        <w:spacing w:before="0" w:after="760" w:line="467" w:lineRule="exact"/>
        <w:ind w:left="0" w:right="0"/>
        <w:jc w:val="left"/>
      </w:pPr>
      <w:r>
        <w:rPr>
          <w:color w:val="000000"/>
          <w:spacing w:val="0"/>
          <w:w w:val="100"/>
          <w:position w:val="0"/>
        </w:rPr>
        <w:t>截至</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6</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8</w:t>
      </w:r>
      <w:r>
        <w:rPr>
          <w:color w:val="000000"/>
          <w:spacing w:val="0"/>
          <w:w w:val="100"/>
          <w:position w:val="0"/>
        </w:rPr>
        <w:t>日，公司本次股份回购计划已实施完毕。公司累计回购股份数量为</w:t>
      </w:r>
      <w:r>
        <w:rPr>
          <w:rFonts w:ascii="Times New Roman" w:eastAsia="Times New Roman" w:hAnsi="Times New Roman" w:cs="Times New Roman"/>
          <w:color w:val="000000"/>
          <w:spacing w:val="0"/>
          <w:w w:val="100"/>
          <w:position w:val="0"/>
          <w:sz w:val="18"/>
          <w:szCs w:val="18"/>
        </w:rPr>
        <w:t>25,947,942</w:t>
      </w:r>
      <w:r>
        <w:rPr>
          <w:color w:val="000000"/>
          <w:spacing w:val="0"/>
          <w:w w:val="100"/>
          <w:position w:val="0"/>
        </w:rPr>
        <w:t xml:space="preserve">股，占公司总股本的 </w:t>
      </w:r>
      <w:r>
        <w:rPr>
          <w:rFonts w:ascii="Times New Roman" w:eastAsia="Times New Roman" w:hAnsi="Times New Roman" w:cs="Times New Roman"/>
          <w:color w:val="000000"/>
          <w:spacing w:val="0"/>
          <w:w w:val="100"/>
          <w:position w:val="0"/>
          <w:sz w:val="18"/>
          <w:szCs w:val="18"/>
        </w:rPr>
        <w:t>1.32%</w:t>
      </w:r>
      <w:r>
        <w:rPr>
          <w:color w:val="000000"/>
          <w:spacing w:val="0"/>
          <w:w w:val="100"/>
          <w:position w:val="0"/>
        </w:rPr>
        <w:t>，最高成交价</w:t>
      </w:r>
      <w:r>
        <w:rPr>
          <w:rFonts w:ascii="Times New Roman" w:eastAsia="Times New Roman" w:hAnsi="Times New Roman" w:cs="Times New Roman"/>
          <w:color w:val="000000"/>
          <w:spacing w:val="0"/>
          <w:w w:val="100"/>
          <w:position w:val="0"/>
          <w:sz w:val="18"/>
          <w:szCs w:val="18"/>
        </w:rPr>
        <w:t>4.3</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元</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股，最低成交价为</w:t>
      </w:r>
      <w:r>
        <w:rPr>
          <w:rFonts w:ascii="Times New Roman" w:eastAsia="Times New Roman" w:hAnsi="Times New Roman" w:cs="Times New Roman"/>
          <w:color w:val="000000"/>
          <w:spacing w:val="0"/>
          <w:w w:val="100"/>
          <w:position w:val="0"/>
          <w:sz w:val="18"/>
          <w:szCs w:val="18"/>
        </w:rPr>
        <w:t>3.45</w:t>
      </w:r>
      <w:r>
        <w:rPr>
          <w:color w:val="000000"/>
          <w:spacing w:val="0"/>
          <w:w w:val="100"/>
          <w:position w:val="0"/>
        </w:rPr>
        <w:t>元</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股，支付的总金额为</w:t>
      </w:r>
      <w:r>
        <w:rPr>
          <w:rFonts w:ascii="Times New Roman" w:eastAsia="Times New Roman" w:hAnsi="Times New Roman" w:cs="Times New Roman"/>
          <w:color w:val="000000"/>
          <w:spacing w:val="0"/>
          <w:w w:val="100"/>
          <w:position w:val="0"/>
          <w:sz w:val="18"/>
          <w:szCs w:val="18"/>
        </w:rPr>
        <w:t>100,973,450.64</w:t>
      </w:r>
      <w:r>
        <w:rPr>
          <w:color w:val="000000"/>
          <w:spacing w:val="0"/>
          <w:w w:val="100"/>
          <w:position w:val="0"/>
        </w:rPr>
        <w:t>元（不含交易费用）。公司报表增 加库存股金额为</w:t>
      </w:r>
      <w:r>
        <w:rPr>
          <w:rFonts w:ascii="Times New Roman" w:eastAsia="Times New Roman" w:hAnsi="Times New Roman" w:cs="Times New Roman"/>
          <w:color w:val="000000"/>
          <w:spacing w:val="0"/>
          <w:w w:val="100"/>
          <w:position w:val="0"/>
          <w:sz w:val="18"/>
          <w:szCs w:val="18"/>
        </w:rPr>
        <w:t>100,973,450.64</w:t>
      </w:r>
      <w:r>
        <w:rPr>
          <w:color w:val="000000"/>
          <w:spacing w:val="0"/>
          <w:w w:val="100"/>
          <w:position w:val="0"/>
        </w:rPr>
        <w:t>元。</w:t>
      </w:r>
    </w:p>
    <w:p>
      <w:pPr>
        <w:pStyle w:val="Style47"/>
        <w:keepNext/>
        <w:keepLines/>
        <w:widowControl w:val="0"/>
        <w:shd w:val="clear" w:color="auto" w:fill="auto"/>
        <w:bidi w:val="0"/>
        <w:spacing w:before="0" w:after="420" w:line="240" w:lineRule="auto"/>
        <w:ind w:left="0" w:right="0" w:firstLine="0"/>
        <w:jc w:val="both"/>
      </w:pPr>
      <w:bookmarkStart w:id="1678" w:name="bookmark1678"/>
      <w:bookmarkStart w:id="1679" w:name="bookmark1679"/>
      <w:bookmarkStart w:id="1680" w:name="bookmark1680"/>
      <w:bookmarkStart w:id="1681" w:name="bookmark1681"/>
      <w:r>
        <w:rPr>
          <w:color w:val="000000"/>
          <w:spacing w:val="0"/>
          <w:w w:val="100"/>
          <w:position w:val="0"/>
        </w:rPr>
        <w:t>5</w:t>
      </w:r>
      <w:bookmarkEnd w:id="1680"/>
      <w:r>
        <w:rPr>
          <w:color w:val="000000"/>
          <w:spacing w:val="0"/>
          <w:w w:val="100"/>
          <w:position w:val="0"/>
        </w:rPr>
        <w:t>7、其他综合收益</w:t>
      </w:r>
      <w:bookmarkEnd w:id="1678"/>
      <w:bookmarkEnd w:id="1679"/>
      <w:bookmarkEnd w:id="1681"/>
    </w:p>
    <w:p>
      <w:pPr>
        <w:pStyle w:val="Style41"/>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1714"/>
        <w:gridCol w:w="1272"/>
        <w:gridCol w:w="1277"/>
        <w:gridCol w:w="715"/>
        <w:gridCol w:w="830"/>
        <w:gridCol w:w="557"/>
        <w:gridCol w:w="1142"/>
        <w:gridCol w:w="989"/>
        <w:gridCol w:w="1214"/>
      </w:tblGrid>
      <w:tr>
        <w:trPr>
          <w:trHeight w:val="408" w:hRule="exact"/>
        </w:trPr>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c>
          <w:tcPr>
            <w:gridSpan w:val="6"/>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vMerge w:val="restart"/>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r>
      <w:tr>
        <w:trPr>
          <w:trHeight w:val="1656" w:hRule="exact"/>
        </w:trPr>
        <w:tc>
          <w:tcPr>
            <w:vMerge/>
            <w:tcBorders>
              <w:left w:val="single" w:sz="4"/>
              <w:bottom w:val="single" w:sz="4"/>
            </w:tcBorders>
            <w:shd w:val="clear" w:color="auto" w:fill="D7D7D7"/>
            <w:vAlign w:val="center"/>
          </w:tcPr>
          <w:p>
            <w:pPr/>
          </w:p>
        </w:tc>
        <w:tc>
          <w:tcPr>
            <w:vMerge/>
            <w:tcBorders>
              <w:left w:val="single" w:sz="4"/>
              <w:bottom w:val="single" w:sz="4"/>
            </w:tcBorders>
            <w:shd w:val="clear" w:color="auto" w:fill="D7D7D7"/>
            <w:vAlign w:val="center"/>
          </w:tcPr>
          <w:p>
            <w:pPr/>
          </w:p>
        </w:tc>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本期所得税前 发生额</w:t>
            </w:r>
          </w:p>
        </w:tc>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311" w:lineRule="exact"/>
              <w:ind w:left="0" w:right="0" w:firstLine="0"/>
              <w:jc w:val="center"/>
            </w:pPr>
            <w:r>
              <w:rPr>
                <w:color w:val="000000"/>
                <w:spacing w:val="0"/>
                <w:w w:val="100"/>
                <w:position w:val="0"/>
              </w:rPr>
              <w:t>减：前期 计入其 他综合 收益当 期转入</w:t>
            </w:r>
          </w:p>
        </w:tc>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减：前期 计入其他 综合收益 当期转入 留存收益</w:t>
            </w:r>
          </w:p>
        </w:tc>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减：所 得税 费用</w:t>
            </w:r>
          </w:p>
        </w:tc>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税后归属于母 公司</w:t>
            </w:r>
          </w:p>
        </w:tc>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税后归属于 少数股东</w:t>
            </w:r>
          </w:p>
        </w:tc>
        <w:tc>
          <w:tcPr>
            <w:vMerge/>
            <w:tcBorders>
              <w:left w:val="single" w:sz="4"/>
              <w:bottom w:val="single" w:sz="4"/>
              <w:right w:val="single" w:sz="4"/>
            </w:tcBorders>
            <w:shd w:val="clear" w:color="auto" w:fill="D7D7D7"/>
            <w:vAlign w:val="center"/>
          </w:tcPr>
          <w:p>
            <w:pPr/>
          </w:p>
        </w:tc>
      </w:tr>
    </w:tbl>
    <w:p>
      <w:pPr>
        <w:widowControl w:val="0"/>
        <w:spacing w:line="1" w:lineRule="exact"/>
        <w:sectPr>
          <w:headerReference w:type="default" r:id="rId411"/>
          <w:footerReference w:type="default" r:id="rId412"/>
          <w:headerReference w:type="even" r:id="rId413"/>
          <w:footerReference w:type="even" r:id="rId414"/>
          <w:headerReference w:type="first" r:id="rId415"/>
          <w:footerReference w:type="first" r:id="rId416"/>
          <w:footnotePr>
            <w:pos w:val="pageBottom"/>
            <w:numFmt w:val="decimal"/>
            <w:numRestart w:val="continuous"/>
          </w:footnotePr>
          <w:pgSz w:w="11904" w:h="17375"/>
          <w:pgMar w:top="1676" w:right="1022" w:bottom="1674" w:left="1004" w:header="0" w:footer="3" w:gutter="0"/>
          <w:cols w:space="720"/>
          <w:noEndnote/>
          <w:titlePg/>
          <w:rtlGutter w:val="0"/>
          <w:docGrid w:linePitch="360"/>
        </w:sectPr>
      </w:pPr>
    </w:p>
    <w:tbl>
      <w:tblPr>
        <w:tblOverlap w:val="never"/>
        <w:jc w:val="center"/>
        <w:tblLayout w:type="fixed"/>
      </w:tblPr>
      <w:tblGrid>
        <w:gridCol w:w="1714"/>
        <w:gridCol w:w="1272"/>
        <w:gridCol w:w="1277"/>
        <w:gridCol w:w="701"/>
        <w:gridCol w:w="845"/>
        <w:gridCol w:w="557"/>
        <w:gridCol w:w="1142"/>
        <w:gridCol w:w="989"/>
        <w:gridCol w:w="1214"/>
      </w:tblGrid>
      <w:tr>
        <w:trPr>
          <w:trHeight w:val="437" w:hRule="exact"/>
        </w:trPr>
        <w:tc>
          <w:tcPr>
            <w:tcBorders>
              <w:top w:val="single" w:sz="4"/>
              <w:left w:val="single" w:sz="4"/>
            </w:tcBorders>
            <w:shd w:val="clear" w:color="auto" w:fill="D7D7D7"/>
            <w:vAlign w:val="top"/>
          </w:tcPr>
          <w:p>
            <w:pPr>
              <w:widowControl w:val="0"/>
              <w:rPr>
                <w:sz w:val="10"/>
                <w:szCs w:val="10"/>
              </w:rPr>
            </w:pPr>
          </w:p>
        </w:tc>
        <w:tc>
          <w:tcPr>
            <w:tcBorders>
              <w:top w:val="single" w:sz="4"/>
              <w:left w:val="single" w:sz="4"/>
            </w:tcBorders>
            <w:shd w:val="clear" w:color="auto" w:fill="D7D7D7"/>
            <w:vAlign w:val="top"/>
          </w:tcPr>
          <w:p>
            <w:pPr>
              <w:widowControl w:val="0"/>
              <w:rPr>
                <w:sz w:val="10"/>
                <w:szCs w:val="10"/>
              </w:rPr>
            </w:pPr>
          </w:p>
        </w:tc>
        <w:tc>
          <w:tcPr>
            <w:tcBorders>
              <w:top w:val="single" w:sz="4"/>
              <w:left w:val="single" w:sz="4"/>
            </w:tcBorders>
            <w:shd w:val="clear" w:color="auto" w:fill="D7D7D7"/>
            <w:vAlign w:val="top"/>
          </w:tcPr>
          <w:p>
            <w:pPr>
              <w:widowControl w:val="0"/>
              <w:rPr>
                <w:sz w:val="10"/>
                <w:szCs w:val="10"/>
              </w:rPr>
            </w:pP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损益</w:t>
            </w:r>
          </w:p>
        </w:tc>
        <w:tc>
          <w:tcPr>
            <w:tcBorders>
              <w:top w:val="single" w:sz="4"/>
              <w:left w:val="single" w:sz="4"/>
            </w:tcBorders>
            <w:shd w:val="clear" w:color="auto" w:fill="D7D7D7"/>
            <w:vAlign w:val="top"/>
          </w:tcPr>
          <w:p>
            <w:pPr>
              <w:widowControl w:val="0"/>
              <w:rPr>
                <w:sz w:val="10"/>
                <w:szCs w:val="10"/>
              </w:rPr>
            </w:pPr>
          </w:p>
        </w:tc>
        <w:tc>
          <w:tcPr>
            <w:tcBorders>
              <w:top w:val="single" w:sz="4"/>
              <w:left w:val="single" w:sz="4"/>
            </w:tcBorders>
            <w:shd w:val="clear" w:color="auto" w:fill="D7D7D7"/>
            <w:vAlign w:val="top"/>
          </w:tcPr>
          <w:p>
            <w:pPr>
              <w:widowControl w:val="0"/>
              <w:rPr>
                <w:sz w:val="10"/>
                <w:szCs w:val="10"/>
              </w:rPr>
            </w:pPr>
          </w:p>
        </w:tc>
        <w:tc>
          <w:tcPr>
            <w:tcBorders>
              <w:top w:val="single" w:sz="4"/>
              <w:left w:val="single" w:sz="4"/>
            </w:tcBorders>
            <w:shd w:val="clear" w:color="auto" w:fill="D7D7D7"/>
            <w:vAlign w:val="top"/>
          </w:tcPr>
          <w:p>
            <w:pPr>
              <w:widowControl w:val="0"/>
              <w:rPr>
                <w:sz w:val="10"/>
                <w:szCs w:val="10"/>
              </w:rPr>
            </w:pPr>
          </w:p>
        </w:tc>
        <w:tc>
          <w:tcPr>
            <w:tcBorders>
              <w:top w:val="single" w:sz="4"/>
              <w:left w:val="single" w:sz="4"/>
            </w:tcBorders>
            <w:shd w:val="clear" w:color="auto" w:fill="D7D7D7"/>
            <w:vAlign w:val="top"/>
          </w:tcPr>
          <w:p>
            <w:pPr>
              <w:widowControl w:val="0"/>
              <w:rPr>
                <w:sz w:val="10"/>
                <w:szCs w:val="10"/>
              </w:rPr>
            </w:pPr>
          </w:p>
        </w:tc>
        <w:tc>
          <w:tcPr>
            <w:tcBorders>
              <w:top w:val="single" w:sz="4"/>
              <w:left w:val="single" w:sz="4"/>
              <w:right w:val="single" w:sz="4"/>
            </w:tcBorders>
            <w:shd w:val="clear" w:color="auto" w:fill="D7D7D7"/>
            <w:vAlign w:val="top"/>
          </w:tcPr>
          <w:p>
            <w:pPr>
              <w:widowControl w:val="0"/>
              <w:rPr>
                <w:sz w:val="10"/>
                <w:szCs w:val="10"/>
              </w:rPr>
            </w:pP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一、不能重分类进损 益的其他综合收益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-29,809,878.95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-253,521.00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8"/>
                <w:szCs w:val="18"/>
              </w:rPr>
            </w:pPr>
            <w:r>
              <w:rPr>
                <w:rFonts w:ascii="Times New Roman" w:eastAsia="Times New Roman" w:hAnsi="Times New Roman" w:cs="Times New Roman"/>
                <w:color w:val="000000"/>
                <w:spacing w:val="0"/>
                <w:w w:val="100"/>
                <w:position w:val="0"/>
                <w:sz w:val="18"/>
                <w:szCs w:val="18"/>
              </w:rPr>
              <w:t>-253,521.00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-30,063,399.95</w:t>
            </w: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22" w:lineRule="exact"/>
              <w:ind w:left="0" w:right="0" w:firstLine="560"/>
              <w:jc w:val="both"/>
            </w:pPr>
            <w:r>
              <w:rPr>
                <w:color w:val="000000"/>
                <w:spacing w:val="0"/>
                <w:w w:val="100"/>
                <w:position w:val="0"/>
              </w:rPr>
              <w:t>其他权益工具 投资公允价值变动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-29,809,878.95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-253,521.00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40"/>
              <w:jc w:val="left"/>
              <w:rPr>
                <w:sz w:val="18"/>
                <w:szCs w:val="18"/>
              </w:rPr>
            </w:pPr>
            <w:r>
              <w:rPr>
                <w:rFonts w:ascii="Times New Roman" w:eastAsia="Times New Roman" w:hAnsi="Times New Roman" w:cs="Times New Roman"/>
                <w:color w:val="000000"/>
                <w:spacing w:val="0"/>
                <w:w w:val="100"/>
                <w:position w:val="0"/>
                <w:sz w:val="18"/>
                <w:szCs w:val="18"/>
              </w:rPr>
              <w:t>-253,521.00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-30,063,399.95</w:t>
            </w: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二、将重分类进损益 的其他综合收益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9,993,110.42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-10,861,274.32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-11,215,097.39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353,823.07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-1,221,986.97</w:t>
            </w:r>
          </w:p>
        </w:tc>
      </w:tr>
      <w:tr>
        <w:trPr>
          <w:trHeight w:val="710"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其中：权益法下可转 损益的其他综合收益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-252,803.63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-252,803.63</w:t>
            </w: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120" w:line="240" w:lineRule="auto"/>
              <w:ind w:left="0" w:right="0" w:firstLine="560"/>
              <w:jc w:val="left"/>
            </w:pPr>
            <w:r>
              <w:rPr>
                <w:color w:val="000000"/>
                <w:spacing w:val="0"/>
                <w:w w:val="100"/>
                <w:position w:val="0"/>
              </w:rPr>
              <w:t>外币财务报表</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折算差额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10,245,914.05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-10,861,274.32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-11,215,097.39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353,823.07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-969,183.34</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其他综合收益合计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-19,816,768.53</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-11,114,795.32</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-11,468,618.39</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353,823.07</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-31,285,386.92</w:t>
            </w:r>
          </w:p>
        </w:tc>
      </w:tr>
    </w:tbl>
    <w:p>
      <w:pPr>
        <w:widowControl w:val="0"/>
        <w:spacing w:after="319" w:line="1" w:lineRule="exact"/>
      </w:pPr>
    </w:p>
    <w:p>
      <w:pPr>
        <w:pStyle w:val="Style47"/>
        <w:keepNext/>
        <w:keepLines/>
        <w:widowControl w:val="0"/>
        <w:shd w:val="clear" w:color="auto" w:fill="auto"/>
        <w:tabs>
          <w:tab w:pos="483" w:val="left"/>
        </w:tabs>
        <w:bidi w:val="0"/>
        <w:spacing w:before="0" w:after="400" w:line="240" w:lineRule="auto"/>
        <w:ind w:left="0" w:right="0" w:firstLine="0"/>
        <w:jc w:val="left"/>
      </w:pPr>
      <w:bookmarkStart w:id="1682" w:name="bookmark1682"/>
      <w:bookmarkStart w:id="1683" w:name="bookmark1683"/>
      <w:bookmarkStart w:id="1684" w:name="bookmark1684"/>
      <w:bookmarkStart w:id="1685" w:name="bookmark1685"/>
      <w:r>
        <w:rPr>
          <w:color w:val="000000"/>
          <w:spacing w:val="0"/>
          <w:w w:val="100"/>
          <w:position w:val="0"/>
        </w:rPr>
        <w:t>5</w:t>
      </w:r>
      <w:bookmarkEnd w:id="1684"/>
      <w:r>
        <w:rPr>
          <w:color w:val="000000"/>
          <w:spacing w:val="0"/>
          <w:w w:val="100"/>
          <w:position w:val="0"/>
        </w:rPr>
        <w:t>8、</w:t>
        <w:tab/>
        <w:t>专项储备</w:t>
      </w:r>
      <w:bookmarkEnd w:id="1682"/>
      <w:bookmarkEnd w:id="1683"/>
      <w:bookmarkEnd w:id="1685"/>
    </w:p>
    <w:p>
      <w:pPr>
        <w:pStyle w:val="Style41"/>
        <w:keepNext w:val="0"/>
        <w:keepLines w:val="0"/>
        <w:widowControl w:val="0"/>
        <w:shd w:val="clear" w:color="auto" w:fill="auto"/>
        <w:bidi w:val="0"/>
        <w:spacing w:before="0" w:after="400" w:line="240" w:lineRule="auto"/>
        <w:ind w:left="0" w:right="0"/>
        <w:jc w:val="left"/>
      </w:pPr>
      <w:r>
        <w:rPr>
          <w:color w:val="000000"/>
          <w:spacing w:val="0"/>
          <w:w w:val="100"/>
          <w:position w:val="0"/>
        </w:rPr>
        <w:t>无。</w:t>
      </w:r>
    </w:p>
    <w:p>
      <w:pPr>
        <w:pStyle w:val="Style47"/>
        <w:keepNext/>
        <w:keepLines/>
        <w:widowControl w:val="0"/>
        <w:shd w:val="clear" w:color="auto" w:fill="auto"/>
        <w:tabs>
          <w:tab w:pos="483" w:val="left"/>
        </w:tabs>
        <w:bidi w:val="0"/>
        <w:spacing w:before="0" w:after="400" w:line="240" w:lineRule="auto"/>
        <w:ind w:left="0" w:right="0" w:firstLine="0"/>
        <w:jc w:val="left"/>
      </w:pPr>
      <w:bookmarkStart w:id="1686" w:name="bookmark1686"/>
      <w:bookmarkStart w:id="1687" w:name="bookmark1687"/>
      <w:bookmarkStart w:id="1688" w:name="bookmark1688"/>
      <w:bookmarkStart w:id="1689" w:name="bookmark1689"/>
      <w:r>
        <w:rPr>
          <w:color w:val="000000"/>
          <w:spacing w:val="0"/>
          <w:w w:val="100"/>
          <w:position w:val="0"/>
        </w:rPr>
        <w:t>5</w:t>
      </w:r>
      <w:bookmarkEnd w:id="1688"/>
      <w:r>
        <w:rPr>
          <w:color w:val="000000"/>
          <w:spacing w:val="0"/>
          <w:w w:val="100"/>
          <w:position w:val="0"/>
        </w:rPr>
        <w:t>9、</w:t>
        <w:tab/>
        <w:t>盈余公积</w:t>
      </w:r>
      <w:bookmarkEnd w:id="1686"/>
      <w:bookmarkEnd w:id="1687"/>
      <w:bookmarkEnd w:id="1689"/>
    </w:p>
    <w:p>
      <w:pPr>
        <w:pStyle w:val="Style41"/>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1915"/>
        <w:gridCol w:w="1920"/>
        <w:gridCol w:w="1920"/>
        <w:gridCol w:w="1906"/>
        <w:gridCol w:w="1925"/>
      </w:tblGrid>
      <w:tr>
        <w:trPr>
          <w:trHeight w:val="40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本期增加</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本期减少</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法定盈余公积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rPr>
                <w:sz w:val="18"/>
                <w:szCs w:val="18"/>
              </w:rPr>
            </w:pPr>
            <w:r>
              <w:rPr>
                <w:rFonts w:ascii="Times New Roman" w:eastAsia="Times New Roman" w:hAnsi="Times New Roman" w:cs="Times New Roman"/>
                <w:color w:val="000000"/>
                <w:spacing w:val="0"/>
                <w:w w:val="100"/>
                <w:position w:val="0"/>
                <w:sz w:val="18"/>
                <w:szCs w:val="18"/>
              </w:rPr>
              <w:t>240,601,619.97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rPr>
                <w:sz w:val="18"/>
                <w:szCs w:val="18"/>
              </w:rPr>
            </w:pPr>
            <w:r>
              <w:rPr>
                <w:rFonts w:ascii="Times New Roman" w:eastAsia="Times New Roman" w:hAnsi="Times New Roman" w:cs="Times New Roman"/>
                <w:color w:val="000000"/>
                <w:spacing w:val="0"/>
                <w:w w:val="100"/>
                <w:position w:val="0"/>
                <w:sz w:val="18"/>
                <w:szCs w:val="18"/>
              </w:rPr>
              <w:t>240,601,619.97</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rPr>
                <w:sz w:val="18"/>
                <w:szCs w:val="18"/>
              </w:rPr>
            </w:pPr>
            <w:r>
              <w:rPr>
                <w:rFonts w:ascii="Times New Roman" w:eastAsia="Times New Roman" w:hAnsi="Times New Roman" w:cs="Times New Roman"/>
                <w:color w:val="000000"/>
                <w:spacing w:val="0"/>
                <w:w w:val="100"/>
                <w:position w:val="0"/>
                <w:sz w:val="18"/>
                <w:szCs w:val="18"/>
              </w:rPr>
              <w:t>240,601,619.97</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rPr>
                <w:sz w:val="18"/>
                <w:szCs w:val="18"/>
              </w:rPr>
            </w:pPr>
            <w:r>
              <w:rPr>
                <w:rFonts w:ascii="Times New Roman" w:eastAsia="Times New Roman" w:hAnsi="Times New Roman" w:cs="Times New Roman"/>
                <w:color w:val="000000"/>
                <w:spacing w:val="0"/>
                <w:w w:val="100"/>
                <w:position w:val="0"/>
                <w:sz w:val="18"/>
                <w:szCs w:val="18"/>
              </w:rPr>
              <w:t>240,601,619.97</w:t>
            </w:r>
          </w:p>
        </w:tc>
      </w:tr>
    </w:tbl>
    <w:p>
      <w:pPr>
        <w:widowControl w:val="0"/>
        <w:spacing w:after="319" w:line="1" w:lineRule="exact"/>
      </w:pPr>
    </w:p>
    <w:p>
      <w:pPr>
        <w:pStyle w:val="Style47"/>
        <w:keepNext/>
        <w:keepLines/>
        <w:widowControl w:val="0"/>
        <w:shd w:val="clear" w:color="auto" w:fill="auto"/>
        <w:bidi w:val="0"/>
        <w:spacing w:before="0" w:after="400" w:line="240" w:lineRule="auto"/>
        <w:ind w:left="0" w:right="0" w:firstLine="0"/>
        <w:jc w:val="left"/>
      </w:pPr>
      <w:bookmarkStart w:id="1690" w:name="bookmark1690"/>
      <w:bookmarkStart w:id="1691" w:name="bookmark1691"/>
      <w:bookmarkStart w:id="1692" w:name="bookmark1692"/>
      <w:bookmarkStart w:id="1693" w:name="bookmark1693"/>
      <w:r>
        <w:rPr>
          <w:color w:val="000000"/>
          <w:spacing w:val="0"/>
          <w:w w:val="100"/>
          <w:position w:val="0"/>
        </w:rPr>
        <w:t>6</w:t>
      </w:r>
      <w:bookmarkEnd w:id="1692"/>
      <w:r>
        <w:rPr>
          <w:color w:val="000000"/>
          <w:spacing w:val="0"/>
          <w:w w:val="100"/>
          <w:position w:val="0"/>
        </w:rPr>
        <w:t>0、未分配利润</w:t>
      </w:r>
      <w:bookmarkEnd w:id="1690"/>
      <w:bookmarkEnd w:id="1691"/>
      <w:bookmarkEnd w:id="1693"/>
    </w:p>
    <w:p>
      <w:pPr>
        <w:pStyle w:val="Style41"/>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3730"/>
        <w:gridCol w:w="2923"/>
        <w:gridCol w:w="2928"/>
      </w:tblGrid>
      <w:tr>
        <w:trPr>
          <w:trHeight w:val="40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调整前上期末未分配利润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1,063,910,046.52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620" w:right="0" w:firstLine="0"/>
              <w:jc w:val="left"/>
              <w:rPr>
                <w:sz w:val="18"/>
                <w:szCs w:val="18"/>
              </w:rPr>
            </w:pPr>
            <w:r>
              <w:rPr>
                <w:rFonts w:ascii="Times New Roman" w:eastAsia="Times New Roman" w:hAnsi="Times New Roman" w:cs="Times New Roman"/>
                <w:color w:val="000000"/>
                <w:spacing w:val="0"/>
                <w:w w:val="100"/>
                <w:position w:val="0"/>
                <w:sz w:val="18"/>
                <w:szCs w:val="18"/>
              </w:rPr>
              <w:t>2,597,364,473.99</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调整期初未分配利润合计数（调增</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,调减</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-142,277,692.08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-61,487,009.10</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调整后期初未分配利润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921,632,354.44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620" w:right="0" w:firstLine="0"/>
              <w:jc w:val="left"/>
              <w:rPr>
                <w:sz w:val="18"/>
                <w:szCs w:val="18"/>
              </w:rPr>
            </w:pPr>
            <w:r>
              <w:rPr>
                <w:rFonts w:ascii="Times New Roman" w:eastAsia="Times New Roman" w:hAnsi="Times New Roman" w:cs="Times New Roman"/>
                <w:color w:val="000000"/>
                <w:spacing w:val="0"/>
                <w:w w:val="100"/>
                <w:position w:val="0"/>
                <w:sz w:val="18"/>
                <w:szCs w:val="18"/>
              </w:rPr>
              <w:t>2,535,877,464.89</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加：本期归属于母公司所有者的净利润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351,152,491.85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-1,474,177,938.37</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加：处置其他权益投资收益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2,210,520.00</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期末未分配利润</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1,272,784,846.29</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620" w:right="0" w:firstLine="0"/>
              <w:jc w:val="left"/>
              <w:rPr>
                <w:sz w:val="18"/>
                <w:szCs w:val="18"/>
              </w:rPr>
            </w:pPr>
            <w:r>
              <w:rPr>
                <w:rFonts w:ascii="Times New Roman" w:eastAsia="Times New Roman" w:hAnsi="Times New Roman" w:cs="Times New Roman"/>
                <w:color w:val="000000"/>
                <w:spacing w:val="0"/>
                <w:w w:val="100"/>
                <w:position w:val="0"/>
                <w:sz w:val="18"/>
                <w:szCs w:val="18"/>
              </w:rPr>
              <w:t>1,063,910,046.52</w:t>
            </w:r>
          </w:p>
        </w:tc>
      </w:tr>
    </w:tbl>
    <w:p>
      <w:pPr>
        <w:widowControl w:val="0"/>
        <w:spacing w:after="79" w:line="1" w:lineRule="exact"/>
      </w:pPr>
    </w:p>
    <w:p>
      <w:pPr>
        <w:pStyle w:val="Style41"/>
        <w:keepNext w:val="0"/>
        <w:keepLines w:val="0"/>
        <w:widowControl w:val="0"/>
        <w:shd w:val="clear" w:color="auto" w:fill="auto"/>
        <w:bidi w:val="0"/>
        <w:spacing w:before="0" w:after="140" w:line="240" w:lineRule="auto"/>
        <w:ind w:left="0" w:right="0" w:firstLine="0"/>
        <w:jc w:val="left"/>
      </w:pPr>
      <w:r>
        <w:rPr>
          <w:color w:val="000000"/>
          <w:spacing w:val="0"/>
          <w:w w:val="100"/>
          <w:position w:val="0"/>
        </w:rPr>
        <w:t>调整期初未分配利润明细：</w:t>
      </w:r>
    </w:p>
    <w:p>
      <w:pPr>
        <w:pStyle w:val="Style41"/>
        <w:keepNext w:val="0"/>
        <w:keepLines w:val="0"/>
        <w:widowControl w:val="0"/>
        <w:shd w:val="clear" w:color="auto" w:fill="auto"/>
        <w:tabs>
          <w:tab w:pos="330" w:val="left"/>
        </w:tabs>
        <w:bidi w:val="0"/>
        <w:spacing w:before="0" w:after="140" w:line="240" w:lineRule="auto"/>
        <w:ind w:left="0" w:right="0" w:firstLine="0"/>
        <w:jc w:val="left"/>
      </w:pPr>
      <w:bookmarkStart w:id="1694" w:name="bookmark1694"/>
      <w:r>
        <w:rPr>
          <w:rFonts w:ascii="Times New Roman" w:eastAsia="Times New Roman" w:hAnsi="Times New Roman" w:cs="Times New Roman"/>
          <w:color w:val="000000"/>
          <w:spacing w:val="0"/>
          <w:w w:val="100"/>
          <w:position w:val="0"/>
          <w:sz w:val="18"/>
          <w:szCs w:val="18"/>
        </w:rPr>
        <w:t>1</w:t>
      </w:r>
      <w:bookmarkEnd w:id="1694"/>
      <w:r>
        <w:rPr>
          <w:rFonts w:ascii="Times New Roman" w:eastAsia="Times New Roman" w:hAnsi="Times New Roman" w:cs="Times New Roman"/>
          <w:color w:val="000000"/>
          <w:spacing w:val="0"/>
          <w:w w:val="100"/>
          <w:position w:val="0"/>
          <w:sz w:val="18"/>
          <w:szCs w:val="18"/>
        </w:rPr>
        <w:t>）</w:t>
        <w:tab/>
      </w:r>
      <w:r>
        <w:rPr>
          <w:color w:val="000000"/>
          <w:spacing w:val="0"/>
          <w:w w:val="100"/>
          <w:position w:val="0"/>
        </w:rPr>
        <w:t>、由于《企业会计准则》及其相关新规定进行追溯调整，影响期初未分配利润</w:t>
      </w:r>
      <w:r>
        <w:rPr>
          <w:rFonts w:ascii="Times New Roman" w:eastAsia="Times New Roman" w:hAnsi="Times New Roman" w:cs="Times New Roman"/>
          <w:color w:val="000000"/>
          <w:spacing w:val="0"/>
          <w:w w:val="100"/>
          <w:position w:val="0"/>
          <w:sz w:val="18"/>
          <w:szCs w:val="18"/>
        </w:rPr>
        <w:t>-142,277,692.08</w:t>
      </w:r>
      <w:r>
        <w:rPr>
          <w:color w:val="000000"/>
          <w:spacing w:val="0"/>
          <w:w w:val="100"/>
          <w:position w:val="0"/>
        </w:rPr>
        <w:t>元。</w:t>
      </w:r>
    </w:p>
    <w:p>
      <w:pPr>
        <w:pStyle w:val="Style41"/>
        <w:keepNext w:val="0"/>
        <w:keepLines w:val="0"/>
        <w:widowControl w:val="0"/>
        <w:shd w:val="clear" w:color="auto" w:fill="auto"/>
        <w:tabs>
          <w:tab w:pos="349" w:val="left"/>
        </w:tabs>
        <w:bidi w:val="0"/>
        <w:spacing w:before="0" w:after="140" w:line="240" w:lineRule="auto"/>
        <w:ind w:left="0" w:right="0" w:firstLine="0"/>
        <w:jc w:val="left"/>
      </w:pPr>
      <w:bookmarkStart w:id="1695" w:name="bookmark1695"/>
      <w:r>
        <w:rPr>
          <w:rFonts w:ascii="Times New Roman" w:eastAsia="Times New Roman" w:hAnsi="Times New Roman" w:cs="Times New Roman"/>
          <w:color w:val="000000"/>
          <w:spacing w:val="0"/>
          <w:w w:val="100"/>
          <w:position w:val="0"/>
          <w:sz w:val="18"/>
          <w:szCs w:val="18"/>
        </w:rPr>
        <w:t>2</w:t>
      </w:r>
      <w:bookmarkEnd w:id="1695"/>
      <w:r>
        <w:rPr>
          <w:rFonts w:ascii="Times New Roman" w:eastAsia="Times New Roman" w:hAnsi="Times New Roman" w:cs="Times New Roman"/>
          <w:color w:val="000000"/>
          <w:spacing w:val="0"/>
          <w:w w:val="100"/>
          <w:position w:val="0"/>
          <w:sz w:val="18"/>
          <w:szCs w:val="18"/>
        </w:rPr>
        <w:t>）</w:t>
        <w:tab/>
      </w:r>
      <w:r>
        <w:rPr>
          <w:color w:val="000000"/>
          <w:spacing w:val="0"/>
          <w:w w:val="100"/>
          <w:position w:val="0"/>
        </w:rPr>
        <w:t>、由于会计政策变更，影响期初未分配利润</w:t>
      </w:r>
      <w:r>
        <w:rPr>
          <w:rFonts w:ascii="Times New Roman" w:eastAsia="Times New Roman" w:hAnsi="Times New Roman" w:cs="Times New Roman"/>
          <w:color w:val="000000"/>
          <w:spacing w:val="0"/>
          <w:w w:val="100"/>
          <w:position w:val="0"/>
          <w:sz w:val="18"/>
          <w:szCs w:val="18"/>
        </w:rPr>
        <w:t>0.00</w:t>
      </w:r>
      <w:r>
        <w:rPr>
          <w:color w:val="000000"/>
          <w:spacing w:val="0"/>
          <w:w w:val="100"/>
          <w:position w:val="0"/>
        </w:rPr>
        <w:t>元。</w:t>
      </w:r>
    </w:p>
    <w:p>
      <w:pPr>
        <w:pStyle w:val="Style41"/>
        <w:keepNext w:val="0"/>
        <w:keepLines w:val="0"/>
        <w:widowControl w:val="0"/>
        <w:shd w:val="clear" w:color="auto" w:fill="auto"/>
        <w:tabs>
          <w:tab w:pos="349" w:val="left"/>
        </w:tabs>
        <w:bidi w:val="0"/>
        <w:spacing w:before="0" w:after="140" w:line="240" w:lineRule="auto"/>
        <w:ind w:left="0" w:right="0" w:firstLine="0"/>
        <w:jc w:val="left"/>
      </w:pPr>
      <w:bookmarkStart w:id="1696" w:name="bookmark1696"/>
      <w:r>
        <w:rPr>
          <w:rFonts w:ascii="Times New Roman" w:eastAsia="Times New Roman" w:hAnsi="Times New Roman" w:cs="Times New Roman"/>
          <w:color w:val="000000"/>
          <w:spacing w:val="0"/>
          <w:w w:val="100"/>
          <w:position w:val="0"/>
          <w:sz w:val="18"/>
          <w:szCs w:val="18"/>
        </w:rPr>
        <w:t>3</w:t>
      </w:r>
      <w:bookmarkEnd w:id="1696"/>
      <w:r>
        <w:rPr>
          <w:rFonts w:ascii="Times New Roman" w:eastAsia="Times New Roman" w:hAnsi="Times New Roman" w:cs="Times New Roman"/>
          <w:color w:val="000000"/>
          <w:spacing w:val="0"/>
          <w:w w:val="100"/>
          <w:position w:val="0"/>
          <w:sz w:val="18"/>
          <w:szCs w:val="18"/>
        </w:rPr>
        <w:t>）</w:t>
        <w:tab/>
      </w:r>
      <w:r>
        <w:rPr>
          <w:color w:val="000000"/>
          <w:spacing w:val="0"/>
          <w:w w:val="100"/>
          <w:position w:val="0"/>
        </w:rPr>
        <w:t>、由于重大会计差错更正，影响期初未分配利润</w:t>
      </w:r>
      <w:r>
        <w:rPr>
          <w:rFonts w:ascii="Times New Roman" w:eastAsia="Times New Roman" w:hAnsi="Times New Roman" w:cs="Times New Roman"/>
          <w:color w:val="000000"/>
          <w:spacing w:val="0"/>
          <w:w w:val="100"/>
          <w:position w:val="0"/>
          <w:sz w:val="18"/>
          <w:szCs w:val="18"/>
        </w:rPr>
        <w:t>0.00</w:t>
      </w:r>
      <w:r>
        <w:rPr>
          <w:color w:val="000000"/>
          <w:spacing w:val="0"/>
          <w:w w:val="100"/>
          <w:position w:val="0"/>
        </w:rPr>
        <w:t>元。</w:t>
      </w:r>
    </w:p>
    <w:p>
      <w:pPr>
        <w:pStyle w:val="Style41"/>
        <w:keepNext w:val="0"/>
        <w:keepLines w:val="0"/>
        <w:widowControl w:val="0"/>
        <w:shd w:val="clear" w:color="auto" w:fill="auto"/>
        <w:tabs>
          <w:tab w:pos="349" w:val="left"/>
        </w:tabs>
        <w:bidi w:val="0"/>
        <w:spacing w:before="0" w:after="220" w:line="240" w:lineRule="auto"/>
        <w:ind w:left="0" w:right="0" w:firstLine="0"/>
        <w:jc w:val="left"/>
      </w:pPr>
      <w:bookmarkStart w:id="1697" w:name="bookmark1697"/>
      <w:r>
        <w:rPr>
          <w:rFonts w:ascii="Times New Roman" w:eastAsia="Times New Roman" w:hAnsi="Times New Roman" w:cs="Times New Roman"/>
          <w:color w:val="000000"/>
          <w:spacing w:val="0"/>
          <w:w w:val="100"/>
          <w:position w:val="0"/>
          <w:sz w:val="18"/>
          <w:szCs w:val="18"/>
        </w:rPr>
        <w:t>4</w:t>
      </w:r>
      <w:bookmarkEnd w:id="1697"/>
      <w:r>
        <w:rPr>
          <w:rFonts w:ascii="Times New Roman" w:eastAsia="Times New Roman" w:hAnsi="Times New Roman" w:cs="Times New Roman"/>
          <w:color w:val="000000"/>
          <w:spacing w:val="0"/>
          <w:w w:val="100"/>
          <w:position w:val="0"/>
          <w:sz w:val="18"/>
          <w:szCs w:val="18"/>
        </w:rPr>
        <w:t>）</w:t>
        <w:tab/>
      </w:r>
      <w:r>
        <w:rPr>
          <w:color w:val="000000"/>
          <w:spacing w:val="0"/>
          <w:w w:val="100"/>
          <w:position w:val="0"/>
        </w:rPr>
        <w:t>、由于同一控制导致的合并范围变更，影响期初未分配利润</w:t>
      </w:r>
      <w:r>
        <w:rPr>
          <w:rFonts w:ascii="Times New Roman" w:eastAsia="Times New Roman" w:hAnsi="Times New Roman" w:cs="Times New Roman"/>
          <w:color w:val="000000"/>
          <w:spacing w:val="0"/>
          <w:w w:val="100"/>
          <w:position w:val="0"/>
          <w:sz w:val="18"/>
          <w:szCs w:val="18"/>
        </w:rPr>
        <w:t>0.00</w:t>
      </w:r>
      <w:r>
        <w:rPr>
          <w:color w:val="000000"/>
          <w:spacing w:val="0"/>
          <w:w w:val="100"/>
          <w:position w:val="0"/>
        </w:rPr>
        <w:t>元。</w:t>
      </w:r>
      <w:r>
        <w:br w:type="page"/>
      </w:r>
    </w:p>
    <w:p>
      <w:pPr>
        <w:pStyle w:val="Style41"/>
        <w:keepNext w:val="0"/>
        <w:keepLines w:val="0"/>
        <w:widowControl w:val="0"/>
        <w:shd w:val="clear" w:color="auto" w:fill="auto"/>
        <w:bidi w:val="0"/>
        <w:spacing w:before="0" w:after="340" w:line="240" w:lineRule="auto"/>
        <w:ind w:left="0" w:right="0" w:firstLine="0"/>
        <w:jc w:val="left"/>
      </w:pPr>
      <w:bookmarkStart w:id="1698" w:name="bookmark1698"/>
      <w:r>
        <w:rPr>
          <w:rFonts w:ascii="Times New Roman" w:eastAsia="Times New Roman" w:hAnsi="Times New Roman" w:cs="Times New Roman"/>
          <w:color w:val="000000"/>
          <w:spacing w:val="0"/>
          <w:w w:val="100"/>
          <w:position w:val="0"/>
          <w:sz w:val="18"/>
          <w:szCs w:val="18"/>
        </w:rPr>
        <w:t>5</w:t>
      </w:r>
      <w:bookmarkEnd w:id="1698"/>
      <w:r>
        <w:rPr>
          <w:rFonts w:ascii="Times New Roman" w:eastAsia="Times New Roman" w:hAnsi="Times New Roman" w:cs="Times New Roman"/>
          <w:color w:val="000000"/>
          <w:spacing w:val="0"/>
          <w:w w:val="100"/>
          <w:position w:val="0"/>
          <w:sz w:val="18"/>
          <w:szCs w:val="18"/>
        </w:rPr>
        <w:t>）</w:t>
      </w:r>
      <w:r>
        <w:rPr>
          <w:color w:val="000000"/>
          <w:spacing w:val="0"/>
          <w:w w:val="100"/>
          <w:position w:val="0"/>
        </w:rPr>
        <w:t>、其他调整合计影响期初未分配利润</w:t>
      </w:r>
      <w:r>
        <w:rPr>
          <w:rFonts w:ascii="Times New Roman" w:eastAsia="Times New Roman" w:hAnsi="Times New Roman" w:cs="Times New Roman"/>
          <w:color w:val="000000"/>
          <w:spacing w:val="0"/>
          <w:w w:val="100"/>
          <w:position w:val="0"/>
          <w:sz w:val="18"/>
          <w:szCs w:val="18"/>
        </w:rPr>
        <w:t>0.00</w:t>
      </w:r>
      <w:r>
        <w:rPr>
          <w:color w:val="000000"/>
          <w:spacing w:val="0"/>
          <w:w w:val="100"/>
          <w:position w:val="0"/>
        </w:rPr>
        <w:t>元。</w:t>
      </w:r>
    </w:p>
    <w:p>
      <w:pPr>
        <w:pStyle w:val="Style47"/>
        <w:keepNext/>
        <w:keepLines/>
        <w:widowControl w:val="0"/>
        <w:shd w:val="clear" w:color="auto" w:fill="auto"/>
        <w:bidi w:val="0"/>
        <w:spacing w:before="0" w:after="400" w:line="240" w:lineRule="auto"/>
        <w:ind w:left="0" w:right="0" w:firstLine="0"/>
        <w:jc w:val="left"/>
      </w:pPr>
      <w:bookmarkStart w:id="1699" w:name="bookmark1699"/>
      <w:bookmarkStart w:id="1700" w:name="bookmark1700"/>
      <w:bookmarkStart w:id="1701" w:name="bookmark1701"/>
      <w:bookmarkStart w:id="1702" w:name="bookmark1702"/>
      <w:r>
        <w:rPr>
          <w:color w:val="000000"/>
          <w:spacing w:val="0"/>
          <w:w w:val="100"/>
          <w:position w:val="0"/>
        </w:rPr>
        <w:t>6</w:t>
      </w:r>
      <w:bookmarkEnd w:id="1701"/>
      <w:r>
        <w:rPr>
          <w:color w:val="000000"/>
          <w:spacing w:val="0"/>
          <w:w w:val="100"/>
          <w:position w:val="0"/>
        </w:rPr>
        <w:t>1、营业收入和营业成本</w:t>
      </w:r>
      <w:bookmarkEnd w:id="1699"/>
      <w:bookmarkEnd w:id="1700"/>
      <w:bookmarkEnd w:id="1702"/>
    </w:p>
    <w:p>
      <w:pPr>
        <w:pStyle w:val="Style41"/>
        <w:keepNext w:val="0"/>
        <w:keepLines w:val="0"/>
        <w:widowControl w:val="0"/>
        <w:shd w:val="clear" w:color="auto" w:fill="auto"/>
        <w:bidi w:val="0"/>
        <w:spacing w:before="0" w:after="120" w:line="240" w:lineRule="auto"/>
        <w:ind w:left="0" w:right="0" w:firstLine="0"/>
        <w:jc w:val="right"/>
      </w:pPr>
      <w:r>
        <w:rPr>
          <w:color w:val="000000"/>
          <w:spacing w:val="0"/>
          <w:w w:val="100"/>
          <w:position w:val="0"/>
        </w:rPr>
        <w:t>单位：元</w:t>
      </w:r>
    </w:p>
    <w:tbl>
      <w:tblPr>
        <w:tblOverlap w:val="never"/>
        <w:jc w:val="center"/>
        <w:tblLayout w:type="fixed"/>
      </w:tblPr>
      <w:tblGrid>
        <w:gridCol w:w="1915"/>
        <w:gridCol w:w="1920"/>
        <w:gridCol w:w="1920"/>
        <w:gridCol w:w="1906"/>
        <w:gridCol w:w="1925"/>
      </w:tblGrid>
      <w:tr>
        <w:trPr>
          <w:trHeight w:val="403" w:hRule="exact"/>
        </w:trPr>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gridSpan w:val="2"/>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gridSpan w:val="2"/>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403" w:hRule="exact"/>
        </w:trPr>
        <w:tc>
          <w:tcPr>
            <w:vMerge/>
            <w:tcBorders>
              <w:left w:val="single" w:sz="4"/>
            </w:tcBorders>
            <w:shd w:val="clear" w:color="auto" w:fill="D7D7D7"/>
            <w:vAlign w:val="center"/>
          </w:tcPr>
          <w:p>
            <w:pP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收入</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成本</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收入</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760"/>
              <w:jc w:val="left"/>
            </w:pPr>
            <w:r>
              <w:rPr>
                <w:color w:val="000000"/>
                <w:spacing w:val="0"/>
                <w:w w:val="100"/>
                <w:position w:val="0"/>
              </w:rPr>
              <w:t>成本</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主营业务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left"/>
              <w:rPr>
                <w:sz w:val="18"/>
                <w:szCs w:val="18"/>
              </w:rPr>
            </w:pPr>
            <w:r>
              <w:rPr>
                <w:rFonts w:ascii="Times New Roman" w:eastAsia="Times New Roman" w:hAnsi="Times New Roman" w:cs="Times New Roman"/>
                <w:color w:val="000000"/>
                <w:spacing w:val="0"/>
                <w:w w:val="100"/>
                <w:position w:val="0"/>
                <w:sz w:val="18"/>
                <w:szCs w:val="18"/>
              </w:rPr>
              <w:t>3,555,683,135.92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1,417,282,455.60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left"/>
              <w:rPr>
                <w:sz w:val="18"/>
                <w:szCs w:val="18"/>
              </w:rPr>
            </w:pPr>
            <w:r>
              <w:rPr>
                <w:rFonts w:ascii="Times New Roman" w:eastAsia="Times New Roman" w:hAnsi="Times New Roman" w:cs="Times New Roman"/>
                <w:color w:val="000000"/>
                <w:spacing w:val="0"/>
                <w:w w:val="100"/>
                <w:position w:val="0"/>
                <w:sz w:val="18"/>
                <w:szCs w:val="18"/>
              </w:rPr>
              <w:t>1,736,780,267.59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rPr>
                <w:sz w:val="18"/>
                <w:szCs w:val="18"/>
              </w:rPr>
            </w:pPr>
            <w:r>
              <w:rPr>
                <w:rFonts w:ascii="Times New Roman" w:eastAsia="Times New Roman" w:hAnsi="Times New Roman" w:cs="Times New Roman"/>
                <w:color w:val="000000"/>
                <w:spacing w:val="0"/>
                <w:w w:val="100"/>
                <w:position w:val="0"/>
                <w:sz w:val="18"/>
                <w:szCs w:val="18"/>
              </w:rPr>
              <w:t>610,358,840.73</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其他业务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40,111,555.37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12,275,481.72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40,467,973.97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11,700,522.83</w:t>
            </w:r>
          </w:p>
        </w:tc>
      </w:tr>
      <w:tr>
        <w:trPr>
          <w:trHeight w:val="408"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left"/>
              <w:rPr>
                <w:sz w:val="18"/>
                <w:szCs w:val="18"/>
              </w:rPr>
            </w:pPr>
            <w:r>
              <w:rPr>
                <w:rFonts w:ascii="Times New Roman" w:eastAsia="Times New Roman" w:hAnsi="Times New Roman" w:cs="Times New Roman"/>
                <w:color w:val="000000"/>
                <w:spacing w:val="0"/>
                <w:w w:val="100"/>
                <w:position w:val="0"/>
                <w:sz w:val="18"/>
                <w:szCs w:val="18"/>
              </w:rPr>
              <w:t>3,595,794,691.29</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1,429,557,937.32</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left"/>
              <w:rPr>
                <w:sz w:val="18"/>
                <w:szCs w:val="18"/>
              </w:rPr>
            </w:pPr>
            <w:r>
              <w:rPr>
                <w:rFonts w:ascii="Times New Roman" w:eastAsia="Times New Roman" w:hAnsi="Times New Roman" w:cs="Times New Roman"/>
                <w:color w:val="000000"/>
                <w:spacing w:val="0"/>
                <w:w w:val="100"/>
                <w:position w:val="0"/>
                <w:sz w:val="18"/>
                <w:szCs w:val="18"/>
              </w:rPr>
              <w:t>1,777,248,241.56</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rPr>
                <w:sz w:val="18"/>
                <w:szCs w:val="18"/>
              </w:rPr>
            </w:pPr>
            <w:r>
              <w:rPr>
                <w:rFonts w:ascii="Times New Roman" w:eastAsia="Times New Roman" w:hAnsi="Times New Roman" w:cs="Times New Roman"/>
                <w:color w:val="000000"/>
                <w:spacing w:val="0"/>
                <w:w w:val="100"/>
                <w:position w:val="0"/>
                <w:sz w:val="18"/>
                <w:szCs w:val="18"/>
              </w:rPr>
              <w:t>622,059,363.56</w:t>
            </w:r>
          </w:p>
        </w:tc>
      </w:tr>
    </w:tbl>
    <w:p>
      <w:pPr>
        <w:widowControl w:val="0"/>
        <w:spacing w:after="119" w:line="1" w:lineRule="exact"/>
      </w:pPr>
    </w:p>
    <w:p>
      <w:pPr>
        <w:pStyle w:val="Style41"/>
        <w:keepNext w:val="0"/>
        <w:keepLines w:val="0"/>
        <w:widowControl w:val="0"/>
        <w:shd w:val="clear" w:color="auto" w:fill="auto"/>
        <w:bidi w:val="0"/>
        <w:spacing w:before="0" w:after="120" w:line="240" w:lineRule="auto"/>
        <w:ind w:left="0" w:right="0" w:firstLine="0"/>
        <w:jc w:val="left"/>
      </w:pPr>
      <w:r>
        <w:rPr>
          <w:color w:val="000000"/>
          <w:spacing w:val="0"/>
          <w:w w:val="100"/>
          <w:position w:val="0"/>
        </w:rPr>
        <w:t>经审计扣除非经常损益前后净利润孰低是否为负值</w:t>
      </w:r>
    </w:p>
    <w:p>
      <w:pPr>
        <w:pStyle w:val="Style41"/>
        <w:keepNext w:val="0"/>
        <w:keepLines w:val="0"/>
        <w:widowControl w:val="0"/>
        <w:shd w:val="clear" w:color="auto" w:fill="auto"/>
        <w:bidi w:val="0"/>
        <w:spacing w:before="0" w:after="12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是</w:t>
      </w:r>
      <w:r>
        <w:rPr>
          <w:color w:val="000000"/>
          <w:spacing w:val="0"/>
          <w:w w:val="100"/>
          <w:position w:val="0"/>
          <w:sz w:val="18"/>
          <w:szCs w:val="18"/>
        </w:rPr>
        <w:t>寸</w:t>
      </w:r>
      <w:r>
        <w:rPr>
          <w:color w:val="000000"/>
          <w:spacing w:val="0"/>
          <w:w w:val="100"/>
          <w:position w:val="0"/>
        </w:rPr>
        <w:t>否</w:t>
      </w:r>
    </w:p>
    <w:p>
      <w:pPr>
        <w:pStyle w:val="Style41"/>
        <w:keepNext w:val="0"/>
        <w:keepLines w:val="0"/>
        <w:widowControl w:val="0"/>
        <w:shd w:val="clear" w:color="auto" w:fill="auto"/>
        <w:bidi w:val="0"/>
        <w:spacing w:before="0" w:after="120" w:line="240" w:lineRule="auto"/>
        <w:ind w:left="0" w:right="0" w:firstLine="0"/>
        <w:jc w:val="left"/>
      </w:pPr>
      <w:r>
        <w:rPr>
          <w:color w:val="000000"/>
          <w:spacing w:val="0"/>
          <w:w w:val="100"/>
          <w:position w:val="0"/>
        </w:rPr>
        <w:t>收入相关信息：</w:t>
      </w:r>
    </w:p>
    <w:p>
      <w:pPr>
        <w:pStyle w:val="Style20"/>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单位：元</w:t>
      </w:r>
    </w:p>
    <w:tbl>
      <w:tblPr>
        <w:tblOverlap w:val="never"/>
        <w:jc w:val="center"/>
        <w:tblLayout w:type="fixed"/>
      </w:tblPr>
      <w:tblGrid>
        <w:gridCol w:w="1622"/>
        <w:gridCol w:w="1618"/>
        <w:gridCol w:w="1618"/>
        <w:gridCol w:w="1618"/>
        <w:gridCol w:w="1613"/>
        <w:gridCol w:w="1622"/>
      </w:tblGrid>
      <w:tr>
        <w:trPr>
          <w:trHeight w:val="40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440"/>
              <w:jc w:val="left"/>
            </w:pPr>
            <w:r>
              <w:rPr>
                <w:color w:val="000000"/>
                <w:spacing w:val="0"/>
                <w:w w:val="100"/>
                <w:position w:val="0"/>
              </w:rPr>
              <w:t>合同分类</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AI/ICT</w:t>
            </w:r>
            <w:r>
              <w:rPr>
                <w:color w:val="000000"/>
                <w:spacing w:val="0"/>
                <w:w w:val="100"/>
                <w:position w:val="0"/>
              </w:rPr>
              <w:t>运营管理</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游戏</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物联网</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通讯</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440"/>
              <w:jc w:val="left"/>
            </w:pPr>
            <w:r>
              <w:rPr>
                <w:color w:val="000000"/>
                <w:spacing w:val="0"/>
                <w:w w:val="100"/>
                <w:position w:val="0"/>
              </w:rPr>
              <w:t>创新服务</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按经营地区分类：</w:t>
            </w:r>
          </w:p>
        </w:tc>
        <w:tc>
          <w:tcPr>
            <w:tcBorders>
              <w:top w:val="single" w:sz="4"/>
              <w:left w:val="single" w:sz="4"/>
            </w:tcBorders>
            <w:shd w:val="clear" w:color="auto" w:fill="D7D7D7"/>
            <w:vAlign w:val="top"/>
          </w:tcPr>
          <w:p>
            <w:pPr>
              <w:widowControl w:val="0"/>
              <w:rPr>
                <w:sz w:val="10"/>
                <w:szCs w:val="10"/>
              </w:rPr>
            </w:pPr>
          </w:p>
        </w:tc>
        <w:tc>
          <w:tcPr>
            <w:tcBorders>
              <w:top w:val="single" w:sz="4"/>
              <w:left w:val="single" w:sz="4"/>
            </w:tcBorders>
            <w:shd w:val="clear" w:color="auto" w:fill="D7D7D7"/>
            <w:vAlign w:val="top"/>
          </w:tcPr>
          <w:p>
            <w:pPr>
              <w:widowControl w:val="0"/>
              <w:rPr>
                <w:sz w:val="10"/>
                <w:szCs w:val="10"/>
              </w:rPr>
            </w:pPr>
          </w:p>
        </w:tc>
        <w:tc>
          <w:tcPr>
            <w:tcBorders>
              <w:top w:val="single" w:sz="4"/>
              <w:left w:val="single" w:sz="4"/>
            </w:tcBorders>
            <w:shd w:val="clear" w:color="auto" w:fill="D7D7D7"/>
            <w:vAlign w:val="top"/>
          </w:tcPr>
          <w:p>
            <w:pPr>
              <w:widowControl w:val="0"/>
              <w:rPr>
                <w:sz w:val="10"/>
                <w:szCs w:val="10"/>
              </w:rPr>
            </w:pPr>
          </w:p>
        </w:tc>
        <w:tc>
          <w:tcPr>
            <w:tcBorders>
              <w:top w:val="single" w:sz="4"/>
              <w:left w:val="single" w:sz="4"/>
            </w:tcBorders>
            <w:shd w:val="clear" w:color="auto" w:fill="D7D7D7"/>
            <w:vAlign w:val="top"/>
          </w:tcPr>
          <w:p>
            <w:pPr>
              <w:widowControl w:val="0"/>
              <w:rPr>
                <w:sz w:val="10"/>
                <w:szCs w:val="10"/>
              </w:rPr>
            </w:pPr>
          </w:p>
        </w:tc>
        <w:tc>
          <w:tcPr>
            <w:tcBorders>
              <w:top w:val="single" w:sz="4"/>
              <w:left w:val="single" w:sz="4"/>
              <w:right w:val="single" w:sz="4"/>
            </w:tcBorders>
            <w:shd w:val="clear" w:color="auto" w:fill="D7D7D7"/>
            <w:vAlign w:val="top"/>
          </w:tcPr>
          <w:p>
            <w:pPr>
              <w:widowControl w:val="0"/>
              <w:rPr>
                <w:sz w:val="10"/>
                <w:szCs w:val="10"/>
              </w:rPr>
            </w:pP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大陆地区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rPr>
                <w:sz w:val="18"/>
                <w:szCs w:val="18"/>
              </w:rPr>
            </w:pPr>
            <w:r>
              <w:rPr>
                <w:rFonts w:ascii="Times New Roman" w:eastAsia="Times New Roman" w:hAnsi="Times New Roman" w:cs="Times New Roman"/>
                <w:color w:val="000000"/>
                <w:spacing w:val="0"/>
                <w:w w:val="100"/>
                <w:position w:val="0"/>
                <w:sz w:val="18"/>
                <w:szCs w:val="18"/>
              </w:rPr>
              <w:t>1,045,775,793.47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146,579,939.81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both"/>
              <w:rPr>
                <w:sz w:val="18"/>
                <w:szCs w:val="18"/>
              </w:rPr>
            </w:pPr>
            <w:r>
              <w:rPr>
                <w:rFonts w:ascii="Times New Roman" w:eastAsia="Times New Roman" w:hAnsi="Times New Roman" w:cs="Times New Roman"/>
                <w:color w:val="000000"/>
                <w:spacing w:val="0"/>
                <w:w w:val="100"/>
                <w:position w:val="0"/>
                <w:sz w:val="18"/>
                <w:szCs w:val="18"/>
              </w:rPr>
              <w:t>26,707,267.24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both"/>
              <w:rPr>
                <w:sz w:val="18"/>
                <w:szCs w:val="18"/>
              </w:rPr>
            </w:pPr>
            <w:r>
              <w:rPr>
                <w:rFonts w:ascii="Times New Roman" w:eastAsia="Times New Roman" w:hAnsi="Times New Roman" w:cs="Times New Roman"/>
                <w:color w:val="000000"/>
                <w:spacing w:val="0"/>
                <w:w w:val="100"/>
                <w:position w:val="0"/>
                <w:sz w:val="18"/>
                <w:szCs w:val="18"/>
              </w:rPr>
              <w:t>50,968,774.14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both"/>
              <w:rPr>
                <w:sz w:val="18"/>
                <w:szCs w:val="18"/>
              </w:rPr>
            </w:pPr>
            <w:r>
              <w:rPr>
                <w:rFonts w:ascii="Times New Roman" w:eastAsia="Times New Roman" w:hAnsi="Times New Roman" w:cs="Times New Roman"/>
                <w:color w:val="000000"/>
                <w:spacing w:val="0"/>
                <w:w w:val="100"/>
                <w:position w:val="0"/>
                <w:sz w:val="18"/>
                <w:szCs w:val="18"/>
              </w:rPr>
              <w:t>1,270,031,774.66</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海外地区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left"/>
              <w:rPr>
                <w:sz w:val="18"/>
                <w:szCs w:val="18"/>
              </w:rPr>
            </w:pPr>
            <w:r>
              <w:rPr>
                <w:rFonts w:ascii="Times New Roman" w:eastAsia="Times New Roman" w:hAnsi="Times New Roman" w:cs="Times New Roman"/>
                <w:color w:val="000000"/>
                <w:spacing w:val="0"/>
                <w:w w:val="100"/>
                <w:position w:val="0"/>
                <w:sz w:val="18"/>
                <w:szCs w:val="18"/>
              </w:rPr>
              <w:t>51,002,144.67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rPr>
                <w:sz w:val="18"/>
                <w:szCs w:val="18"/>
              </w:rPr>
            </w:pPr>
            <w:r>
              <w:rPr>
                <w:rFonts w:ascii="Times New Roman" w:eastAsia="Times New Roman" w:hAnsi="Times New Roman" w:cs="Times New Roman"/>
                <w:color w:val="000000"/>
                <w:spacing w:val="0"/>
                <w:w w:val="100"/>
                <w:position w:val="0"/>
                <w:sz w:val="18"/>
                <w:szCs w:val="18"/>
              </w:rPr>
              <w:t>2,261,148,382.28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both"/>
              <w:rPr>
                <w:sz w:val="18"/>
                <w:szCs w:val="18"/>
              </w:rPr>
            </w:pPr>
            <w:r>
              <w:rPr>
                <w:rFonts w:ascii="Times New Roman" w:eastAsia="Times New Roman" w:hAnsi="Times New Roman" w:cs="Times New Roman"/>
                <w:color w:val="000000"/>
                <w:spacing w:val="0"/>
                <w:w w:val="100"/>
                <w:position w:val="0"/>
                <w:sz w:val="18"/>
                <w:szCs w:val="18"/>
              </w:rPr>
              <w:t>13,612,389.68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both"/>
              <w:rPr>
                <w:sz w:val="18"/>
                <w:szCs w:val="18"/>
              </w:rPr>
            </w:pPr>
            <w:r>
              <w:rPr>
                <w:rFonts w:ascii="Times New Roman" w:eastAsia="Times New Roman" w:hAnsi="Times New Roman" w:cs="Times New Roman"/>
                <w:color w:val="000000"/>
                <w:spacing w:val="0"/>
                <w:w w:val="100"/>
                <w:position w:val="0"/>
                <w:sz w:val="18"/>
                <w:szCs w:val="18"/>
              </w:rPr>
              <w:t>2,325,762,916.63</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市场或客户类型：</w:t>
            </w:r>
          </w:p>
        </w:tc>
        <w:tc>
          <w:tcPr>
            <w:tcBorders>
              <w:top w:val="single" w:sz="4"/>
              <w:left w:val="single" w:sz="4"/>
            </w:tcBorders>
            <w:shd w:val="clear" w:color="auto" w:fill="D7D7D7"/>
            <w:vAlign w:val="top"/>
          </w:tcPr>
          <w:p>
            <w:pPr>
              <w:widowControl w:val="0"/>
              <w:rPr>
                <w:sz w:val="10"/>
                <w:szCs w:val="10"/>
              </w:rPr>
            </w:pPr>
          </w:p>
        </w:tc>
        <w:tc>
          <w:tcPr>
            <w:tcBorders>
              <w:top w:val="single" w:sz="4"/>
              <w:left w:val="single" w:sz="4"/>
            </w:tcBorders>
            <w:shd w:val="clear" w:color="auto" w:fill="D7D7D7"/>
            <w:vAlign w:val="top"/>
          </w:tcPr>
          <w:p>
            <w:pPr>
              <w:widowControl w:val="0"/>
              <w:rPr>
                <w:sz w:val="10"/>
                <w:szCs w:val="10"/>
              </w:rPr>
            </w:pPr>
          </w:p>
        </w:tc>
        <w:tc>
          <w:tcPr>
            <w:tcBorders>
              <w:top w:val="single" w:sz="4"/>
              <w:left w:val="single" w:sz="4"/>
            </w:tcBorders>
            <w:shd w:val="clear" w:color="auto" w:fill="D7D7D7"/>
            <w:vAlign w:val="top"/>
          </w:tcPr>
          <w:p>
            <w:pPr>
              <w:widowControl w:val="0"/>
              <w:rPr>
                <w:sz w:val="10"/>
                <w:szCs w:val="10"/>
              </w:rPr>
            </w:pPr>
          </w:p>
        </w:tc>
        <w:tc>
          <w:tcPr>
            <w:tcBorders>
              <w:top w:val="single" w:sz="4"/>
              <w:left w:val="single" w:sz="4"/>
            </w:tcBorders>
            <w:shd w:val="clear" w:color="auto" w:fill="D7D7D7"/>
            <w:vAlign w:val="top"/>
          </w:tcPr>
          <w:p>
            <w:pPr>
              <w:widowControl w:val="0"/>
              <w:rPr>
                <w:sz w:val="10"/>
                <w:szCs w:val="10"/>
              </w:rPr>
            </w:pPr>
          </w:p>
        </w:tc>
        <w:tc>
          <w:tcPr>
            <w:tcBorders>
              <w:top w:val="single" w:sz="4"/>
              <w:left w:val="single" w:sz="4"/>
              <w:right w:val="single" w:sz="4"/>
            </w:tcBorders>
            <w:shd w:val="clear" w:color="auto" w:fill="D7D7D7"/>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电信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left"/>
              <w:rPr>
                <w:sz w:val="18"/>
                <w:szCs w:val="18"/>
              </w:rPr>
            </w:pPr>
            <w:r>
              <w:rPr>
                <w:rFonts w:ascii="Times New Roman" w:eastAsia="Times New Roman" w:hAnsi="Times New Roman" w:cs="Times New Roman"/>
                <w:color w:val="000000"/>
                <w:spacing w:val="0"/>
                <w:w w:val="100"/>
                <w:position w:val="0"/>
                <w:sz w:val="18"/>
                <w:szCs w:val="18"/>
              </w:rPr>
              <w:t>722,946,249.22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both"/>
              <w:rPr>
                <w:sz w:val="18"/>
                <w:szCs w:val="18"/>
              </w:rPr>
            </w:pPr>
            <w:r>
              <w:rPr>
                <w:rFonts w:ascii="Times New Roman" w:eastAsia="Times New Roman" w:hAnsi="Times New Roman" w:cs="Times New Roman"/>
                <w:color w:val="000000"/>
                <w:spacing w:val="0"/>
                <w:w w:val="100"/>
                <w:position w:val="0"/>
                <w:sz w:val="18"/>
                <w:szCs w:val="18"/>
              </w:rPr>
              <w:t>722,946,249.22</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政府及事业单位</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left"/>
              <w:rPr>
                <w:sz w:val="18"/>
                <w:szCs w:val="18"/>
              </w:rPr>
            </w:pPr>
            <w:r>
              <w:rPr>
                <w:rFonts w:ascii="Times New Roman" w:eastAsia="Times New Roman" w:hAnsi="Times New Roman" w:cs="Times New Roman"/>
                <w:color w:val="000000"/>
                <w:spacing w:val="0"/>
                <w:w w:val="100"/>
                <w:position w:val="0"/>
                <w:sz w:val="18"/>
                <w:szCs w:val="18"/>
              </w:rPr>
              <w:t>33,173,274.25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3,544,776.62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both"/>
              <w:rPr>
                <w:sz w:val="18"/>
                <w:szCs w:val="18"/>
              </w:rPr>
            </w:pPr>
            <w:r>
              <w:rPr>
                <w:rFonts w:ascii="Times New Roman" w:eastAsia="Times New Roman" w:hAnsi="Times New Roman" w:cs="Times New Roman"/>
                <w:color w:val="000000"/>
                <w:spacing w:val="0"/>
                <w:w w:val="100"/>
                <w:position w:val="0"/>
                <w:sz w:val="18"/>
                <w:szCs w:val="18"/>
              </w:rPr>
              <w:t>36,388,686.26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73,106,737.13</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金融</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left"/>
              <w:rPr>
                <w:sz w:val="18"/>
                <w:szCs w:val="18"/>
              </w:rPr>
            </w:pPr>
            <w:r>
              <w:rPr>
                <w:rFonts w:ascii="Times New Roman" w:eastAsia="Times New Roman" w:hAnsi="Times New Roman" w:cs="Times New Roman"/>
                <w:color w:val="000000"/>
                <w:spacing w:val="0"/>
                <w:w w:val="100"/>
                <w:position w:val="0"/>
                <w:sz w:val="18"/>
                <w:szCs w:val="18"/>
              </w:rPr>
              <w:t>102,405,288.79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both"/>
              <w:rPr>
                <w:sz w:val="18"/>
                <w:szCs w:val="18"/>
              </w:rPr>
            </w:pPr>
            <w:r>
              <w:rPr>
                <w:rFonts w:ascii="Times New Roman" w:eastAsia="Times New Roman" w:hAnsi="Times New Roman" w:cs="Times New Roman"/>
                <w:color w:val="000000"/>
                <w:spacing w:val="0"/>
                <w:w w:val="100"/>
                <w:position w:val="0"/>
                <w:sz w:val="18"/>
                <w:szCs w:val="18"/>
              </w:rPr>
              <w:t>102,405,288.79</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游戏</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rPr>
                <w:sz w:val="18"/>
                <w:szCs w:val="18"/>
              </w:rPr>
            </w:pPr>
            <w:r>
              <w:rPr>
                <w:rFonts w:ascii="Times New Roman" w:eastAsia="Times New Roman" w:hAnsi="Times New Roman" w:cs="Times New Roman"/>
                <w:color w:val="000000"/>
                <w:spacing w:val="0"/>
                <w:w w:val="100"/>
                <w:position w:val="0"/>
                <w:sz w:val="18"/>
                <w:szCs w:val="18"/>
              </w:rPr>
              <w:t>2,407,728,322.09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both"/>
              <w:rPr>
                <w:sz w:val="18"/>
                <w:szCs w:val="18"/>
              </w:rPr>
            </w:pPr>
            <w:r>
              <w:rPr>
                <w:rFonts w:ascii="Times New Roman" w:eastAsia="Times New Roman" w:hAnsi="Times New Roman" w:cs="Times New Roman"/>
                <w:color w:val="000000"/>
                <w:spacing w:val="0"/>
                <w:w w:val="100"/>
                <w:position w:val="0"/>
                <w:sz w:val="18"/>
                <w:szCs w:val="18"/>
              </w:rPr>
              <w:t>2,407,728,322.09</w:t>
            </w: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07" w:lineRule="exact"/>
              <w:ind w:left="0" w:right="0" w:firstLine="0"/>
              <w:jc w:val="left"/>
            </w:pPr>
            <w:r>
              <w:rPr>
                <w:color w:val="000000"/>
                <w:spacing w:val="0"/>
                <w:w w:val="100"/>
                <w:position w:val="0"/>
              </w:rPr>
              <w:t>交通、能源及其他行 业</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left"/>
              <w:rPr>
                <w:sz w:val="18"/>
                <w:szCs w:val="18"/>
              </w:rPr>
            </w:pPr>
            <w:r>
              <w:rPr>
                <w:rFonts w:ascii="Times New Roman" w:eastAsia="Times New Roman" w:hAnsi="Times New Roman" w:cs="Times New Roman"/>
                <w:color w:val="000000"/>
                <w:spacing w:val="0"/>
                <w:w w:val="100"/>
                <w:position w:val="0"/>
                <w:sz w:val="18"/>
                <w:szCs w:val="18"/>
              </w:rPr>
              <w:t>238,253,125.88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both"/>
              <w:rPr>
                <w:sz w:val="18"/>
                <w:szCs w:val="18"/>
              </w:rPr>
            </w:pPr>
            <w:r>
              <w:rPr>
                <w:rFonts w:ascii="Times New Roman" w:eastAsia="Times New Roman" w:hAnsi="Times New Roman" w:cs="Times New Roman"/>
                <w:color w:val="000000"/>
                <w:spacing w:val="0"/>
                <w:w w:val="100"/>
                <w:position w:val="0"/>
                <w:sz w:val="18"/>
                <w:szCs w:val="18"/>
              </w:rPr>
              <w:t>23,162,490.62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both"/>
              <w:rPr>
                <w:sz w:val="18"/>
                <w:szCs w:val="18"/>
              </w:rPr>
            </w:pPr>
            <w:r>
              <w:rPr>
                <w:rFonts w:ascii="Times New Roman" w:eastAsia="Times New Roman" w:hAnsi="Times New Roman" w:cs="Times New Roman"/>
                <w:color w:val="000000"/>
                <w:spacing w:val="0"/>
                <w:w w:val="100"/>
                <w:position w:val="0"/>
                <w:sz w:val="18"/>
                <w:szCs w:val="18"/>
              </w:rPr>
              <w:t>28,192,477.56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both"/>
              <w:rPr>
                <w:sz w:val="18"/>
                <w:szCs w:val="18"/>
              </w:rPr>
            </w:pPr>
            <w:r>
              <w:rPr>
                <w:rFonts w:ascii="Times New Roman" w:eastAsia="Times New Roman" w:hAnsi="Times New Roman" w:cs="Times New Roman"/>
                <w:color w:val="000000"/>
                <w:spacing w:val="0"/>
                <w:w w:val="100"/>
                <w:position w:val="0"/>
                <w:sz w:val="18"/>
                <w:szCs w:val="18"/>
              </w:rPr>
              <w:t>289,608,094.06</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合同类型：</w:t>
            </w:r>
          </w:p>
        </w:tc>
        <w:tc>
          <w:tcPr>
            <w:tcBorders>
              <w:top w:val="single" w:sz="4"/>
              <w:left w:val="single" w:sz="4"/>
            </w:tcBorders>
            <w:shd w:val="clear" w:color="auto" w:fill="D7D7D7"/>
            <w:vAlign w:val="top"/>
          </w:tcPr>
          <w:p>
            <w:pPr>
              <w:widowControl w:val="0"/>
              <w:rPr>
                <w:sz w:val="10"/>
                <w:szCs w:val="10"/>
              </w:rPr>
            </w:pPr>
          </w:p>
        </w:tc>
        <w:tc>
          <w:tcPr>
            <w:tcBorders>
              <w:top w:val="single" w:sz="4"/>
              <w:left w:val="single" w:sz="4"/>
            </w:tcBorders>
            <w:shd w:val="clear" w:color="auto" w:fill="D7D7D7"/>
            <w:vAlign w:val="top"/>
          </w:tcPr>
          <w:p>
            <w:pPr>
              <w:widowControl w:val="0"/>
              <w:rPr>
                <w:sz w:val="10"/>
                <w:szCs w:val="10"/>
              </w:rPr>
            </w:pPr>
          </w:p>
        </w:tc>
        <w:tc>
          <w:tcPr>
            <w:tcBorders>
              <w:top w:val="single" w:sz="4"/>
              <w:left w:val="single" w:sz="4"/>
            </w:tcBorders>
            <w:shd w:val="clear" w:color="auto" w:fill="D7D7D7"/>
            <w:vAlign w:val="top"/>
          </w:tcPr>
          <w:p>
            <w:pPr>
              <w:widowControl w:val="0"/>
              <w:rPr>
                <w:sz w:val="10"/>
                <w:szCs w:val="10"/>
              </w:rPr>
            </w:pPr>
          </w:p>
        </w:tc>
        <w:tc>
          <w:tcPr>
            <w:tcBorders>
              <w:top w:val="single" w:sz="4"/>
              <w:left w:val="single" w:sz="4"/>
            </w:tcBorders>
            <w:shd w:val="clear" w:color="auto" w:fill="D7D7D7"/>
            <w:vAlign w:val="top"/>
          </w:tcPr>
          <w:p>
            <w:pPr>
              <w:widowControl w:val="0"/>
              <w:rPr>
                <w:sz w:val="10"/>
                <w:szCs w:val="10"/>
              </w:rPr>
            </w:pPr>
          </w:p>
        </w:tc>
        <w:tc>
          <w:tcPr>
            <w:tcBorders>
              <w:top w:val="single" w:sz="4"/>
              <w:left w:val="single" w:sz="4"/>
              <w:right w:val="single" w:sz="4"/>
            </w:tcBorders>
            <w:shd w:val="clear" w:color="auto" w:fill="D7D7D7"/>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商品</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left"/>
              <w:rPr>
                <w:sz w:val="18"/>
                <w:szCs w:val="18"/>
              </w:rPr>
            </w:pPr>
            <w:r>
              <w:rPr>
                <w:rFonts w:ascii="Times New Roman" w:eastAsia="Times New Roman" w:hAnsi="Times New Roman" w:cs="Times New Roman"/>
                <w:color w:val="000000"/>
                <w:spacing w:val="0"/>
                <w:w w:val="100"/>
                <w:position w:val="0"/>
                <w:sz w:val="18"/>
                <w:szCs w:val="18"/>
              </w:rPr>
              <w:t>277,796,780.41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both"/>
              <w:rPr>
                <w:sz w:val="18"/>
                <w:szCs w:val="18"/>
              </w:rPr>
            </w:pPr>
            <w:r>
              <w:rPr>
                <w:rFonts w:ascii="Times New Roman" w:eastAsia="Times New Roman" w:hAnsi="Times New Roman" w:cs="Times New Roman"/>
                <w:color w:val="000000"/>
                <w:spacing w:val="0"/>
                <w:w w:val="100"/>
                <w:position w:val="0"/>
                <w:sz w:val="18"/>
                <w:szCs w:val="18"/>
              </w:rPr>
              <w:t>26,707,267.24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both"/>
              <w:rPr>
                <w:sz w:val="18"/>
                <w:szCs w:val="18"/>
              </w:rPr>
            </w:pPr>
            <w:r>
              <w:rPr>
                <w:rFonts w:ascii="Times New Roman" w:eastAsia="Times New Roman" w:hAnsi="Times New Roman" w:cs="Times New Roman"/>
                <w:color w:val="000000"/>
                <w:spacing w:val="0"/>
                <w:w w:val="100"/>
                <w:position w:val="0"/>
                <w:sz w:val="18"/>
                <w:szCs w:val="18"/>
              </w:rPr>
              <w:t>27,611,095.78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both"/>
              <w:rPr>
                <w:sz w:val="18"/>
                <w:szCs w:val="18"/>
              </w:rPr>
            </w:pPr>
            <w:r>
              <w:rPr>
                <w:rFonts w:ascii="Times New Roman" w:eastAsia="Times New Roman" w:hAnsi="Times New Roman" w:cs="Times New Roman"/>
                <w:color w:val="000000"/>
                <w:spacing w:val="0"/>
                <w:w w:val="100"/>
                <w:position w:val="0"/>
                <w:sz w:val="18"/>
                <w:szCs w:val="18"/>
              </w:rPr>
              <w:t>332,115,143.43</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服务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left"/>
              <w:rPr>
                <w:sz w:val="18"/>
                <w:szCs w:val="18"/>
              </w:rPr>
            </w:pPr>
            <w:r>
              <w:rPr>
                <w:rFonts w:ascii="Times New Roman" w:eastAsia="Times New Roman" w:hAnsi="Times New Roman" w:cs="Times New Roman"/>
                <w:color w:val="000000"/>
                <w:spacing w:val="0"/>
                <w:w w:val="100"/>
                <w:position w:val="0"/>
                <w:sz w:val="18"/>
                <w:szCs w:val="18"/>
              </w:rPr>
              <w:t>818,981,157.73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rPr>
                <w:sz w:val="18"/>
                <w:szCs w:val="18"/>
              </w:rPr>
            </w:pPr>
            <w:r>
              <w:rPr>
                <w:rFonts w:ascii="Times New Roman" w:eastAsia="Times New Roman" w:hAnsi="Times New Roman" w:cs="Times New Roman"/>
                <w:color w:val="000000"/>
                <w:spacing w:val="0"/>
                <w:w w:val="100"/>
                <w:position w:val="0"/>
                <w:sz w:val="18"/>
                <w:szCs w:val="18"/>
              </w:rPr>
              <w:t>2,407,728,322.09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both"/>
              <w:rPr>
                <w:sz w:val="18"/>
                <w:szCs w:val="18"/>
              </w:rPr>
            </w:pPr>
            <w:r>
              <w:rPr>
                <w:rFonts w:ascii="Times New Roman" w:eastAsia="Times New Roman" w:hAnsi="Times New Roman" w:cs="Times New Roman"/>
                <w:color w:val="000000"/>
                <w:spacing w:val="0"/>
                <w:w w:val="100"/>
                <w:position w:val="0"/>
                <w:sz w:val="18"/>
                <w:szCs w:val="18"/>
              </w:rPr>
              <w:t>36,970,068.04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both"/>
              <w:rPr>
                <w:sz w:val="18"/>
                <w:szCs w:val="18"/>
              </w:rPr>
            </w:pPr>
            <w:r>
              <w:rPr>
                <w:rFonts w:ascii="Times New Roman" w:eastAsia="Times New Roman" w:hAnsi="Times New Roman" w:cs="Times New Roman"/>
                <w:color w:val="000000"/>
                <w:spacing w:val="0"/>
                <w:w w:val="100"/>
                <w:position w:val="0"/>
                <w:sz w:val="18"/>
                <w:szCs w:val="18"/>
              </w:rPr>
              <w:t>3,263,679,547.86</w:t>
            </w: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按商品转让的时间 分类：</w:t>
            </w:r>
          </w:p>
        </w:tc>
        <w:tc>
          <w:tcPr>
            <w:tcBorders>
              <w:top w:val="single" w:sz="4"/>
              <w:left w:val="single" w:sz="4"/>
            </w:tcBorders>
            <w:shd w:val="clear" w:color="auto" w:fill="D7D7D7"/>
            <w:vAlign w:val="top"/>
          </w:tcPr>
          <w:p>
            <w:pPr>
              <w:widowControl w:val="0"/>
              <w:rPr>
                <w:sz w:val="10"/>
                <w:szCs w:val="10"/>
              </w:rPr>
            </w:pPr>
          </w:p>
        </w:tc>
        <w:tc>
          <w:tcPr>
            <w:tcBorders>
              <w:top w:val="single" w:sz="4"/>
              <w:left w:val="single" w:sz="4"/>
            </w:tcBorders>
            <w:shd w:val="clear" w:color="auto" w:fill="D7D7D7"/>
            <w:vAlign w:val="top"/>
          </w:tcPr>
          <w:p>
            <w:pPr>
              <w:widowControl w:val="0"/>
              <w:rPr>
                <w:sz w:val="10"/>
                <w:szCs w:val="10"/>
              </w:rPr>
            </w:pPr>
          </w:p>
        </w:tc>
        <w:tc>
          <w:tcPr>
            <w:tcBorders>
              <w:top w:val="single" w:sz="4"/>
              <w:left w:val="single" w:sz="4"/>
            </w:tcBorders>
            <w:shd w:val="clear" w:color="auto" w:fill="D7D7D7"/>
            <w:vAlign w:val="top"/>
          </w:tcPr>
          <w:p>
            <w:pPr>
              <w:widowControl w:val="0"/>
              <w:rPr>
                <w:sz w:val="10"/>
                <w:szCs w:val="10"/>
              </w:rPr>
            </w:pPr>
          </w:p>
        </w:tc>
        <w:tc>
          <w:tcPr>
            <w:tcBorders>
              <w:top w:val="single" w:sz="4"/>
              <w:left w:val="single" w:sz="4"/>
            </w:tcBorders>
            <w:shd w:val="clear" w:color="auto" w:fill="D7D7D7"/>
            <w:vAlign w:val="top"/>
          </w:tcPr>
          <w:p>
            <w:pPr>
              <w:widowControl w:val="0"/>
              <w:rPr>
                <w:sz w:val="10"/>
                <w:szCs w:val="10"/>
              </w:rPr>
            </w:pPr>
          </w:p>
        </w:tc>
        <w:tc>
          <w:tcPr>
            <w:tcBorders>
              <w:top w:val="single" w:sz="4"/>
              <w:left w:val="single" w:sz="4"/>
              <w:right w:val="single" w:sz="4"/>
            </w:tcBorders>
            <w:shd w:val="clear" w:color="auto" w:fill="D7D7D7"/>
            <w:vAlign w:val="top"/>
          </w:tcPr>
          <w:p>
            <w:pPr>
              <w:widowControl w:val="0"/>
              <w:rPr>
                <w:sz w:val="10"/>
                <w:szCs w:val="10"/>
              </w:rPr>
            </w:pP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在某一时段内确认</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left"/>
              <w:rPr>
                <w:sz w:val="18"/>
                <w:szCs w:val="18"/>
              </w:rPr>
            </w:pPr>
            <w:r>
              <w:rPr>
                <w:rFonts w:ascii="Times New Roman" w:eastAsia="Times New Roman" w:hAnsi="Times New Roman" w:cs="Times New Roman"/>
                <w:color w:val="000000"/>
                <w:spacing w:val="0"/>
                <w:w w:val="100"/>
                <w:position w:val="0"/>
                <w:sz w:val="18"/>
                <w:szCs w:val="18"/>
              </w:rPr>
              <w:t>382,677,201.47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rPr>
                <w:sz w:val="18"/>
                <w:szCs w:val="18"/>
              </w:rPr>
            </w:pPr>
            <w:r>
              <w:rPr>
                <w:rFonts w:ascii="Times New Roman" w:eastAsia="Times New Roman" w:hAnsi="Times New Roman" w:cs="Times New Roman"/>
                <w:color w:val="000000"/>
                <w:spacing w:val="0"/>
                <w:w w:val="100"/>
                <w:position w:val="0"/>
                <w:sz w:val="18"/>
                <w:szCs w:val="18"/>
              </w:rPr>
              <w:t>2,407,728,322.09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364,171.08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both"/>
              <w:rPr>
                <w:sz w:val="18"/>
                <w:szCs w:val="18"/>
              </w:rPr>
            </w:pPr>
            <w:r>
              <w:rPr>
                <w:rFonts w:ascii="Times New Roman" w:eastAsia="Times New Roman" w:hAnsi="Times New Roman" w:cs="Times New Roman"/>
                <w:color w:val="000000"/>
                <w:spacing w:val="0"/>
                <w:w w:val="100"/>
                <w:position w:val="0"/>
                <w:sz w:val="18"/>
                <w:szCs w:val="18"/>
              </w:rPr>
              <w:t>16,340,335.68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both"/>
              <w:rPr>
                <w:sz w:val="18"/>
                <w:szCs w:val="18"/>
              </w:rPr>
            </w:pPr>
            <w:r>
              <w:rPr>
                <w:rFonts w:ascii="Times New Roman" w:eastAsia="Times New Roman" w:hAnsi="Times New Roman" w:cs="Times New Roman"/>
                <w:color w:val="000000"/>
                <w:spacing w:val="0"/>
                <w:w w:val="100"/>
                <w:position w:val="0"/>
                <w:sz w:val="18"/>
                <w:szCs w:val="18"/>
              </w:rPr>
              <w:t>2,807,110,030.32</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在某一时点确认</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left"/>
              <w:rPr>
                <w:sz w:val="18"/>
                <w:szCs w:val="18"/>
              </w:rPr>
            </w:pPr>
            <w:r>
              <w:rPr>
                <w:rFonts w:ascii="Times New Roman" w:eastAsia="Times New Roman" w:hAnsi="Times New Roman" w:cs="Times New Roman"/>
                <w:color w:val="000000"/>
                <w:spacing w:val="0"/>
                <w:w w:val="100"/>
                <w:position w:val="0"/>
                <w:sz w:val="18"/>
                <w:szCs w:val="18"/>
              </w:rPr>
              <w:t>714,100,736.67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both"/>
              <w:rPr>
                <w:sz w:val="18"/>
                <w:szCs w:val="18"/>
              </w:rPr>
            </w:pPr>
            <w:r>
              <w:rPr>
                <w:rFonts w:ascii="Times New Roman" w:eastAsia="Times New Roman" w:hAnsi="Times New Roman" w:cs="Times New Roman"/>
                <w:color w:val="000000"/>
                <w:spacing w:val="0"/>
                <w:w w:val="100"/>
                <w:position w:val="0"/>
                <w:sz w:val="18"/>
                <w:szCs w:val="18"/>
              </w:rPr>
              <w:t>26,343,096.16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both"/>
              <w:rPr>
                <w:sz w:val="18"/>
                <w:szCs w:val="18"/>
              </w:rPr>
            </w:pPr>
            <w:r>
              <w:rPr>
                <w:rFonts w:ascii="Times New Roman" w:eastAsia="Times New Roman" w:hAnsi="Times New Roman" w:cs="Times New Roman"/>
                <w:color w:val="000000"/>
                <w:spacing w:val="0"/>
                <w:w w:val="100"/>
                <w:position w:val="0"/>
                <w:sz w:val="18"/>
                <w:szCs w:val="18"/>
              </w:rPr>
              <w:t>48,240,828.14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both"/>
              <w:rPr>
                <w:sz w:val="18"/>
                <w:szCs w:val="18"/>
              </w:rPr>
            </w:pPr>
            <w:r>
              <w:rPr>
                <w:rFonts w:ascii="Times New Roman" w:eastAsia="Times New Roman" w:hAnsi="Times New Roman" w:cs="Times New Roman"/>
                <w:color w:val="000000"/>
                <w:spacing w:val="0"/>
                <w:w w:val="100"/>
                <w:position w:val="0"/>
                <w:sz w:val="18"/>
                <w:szCs w:val="18"/>
              </w:rPr>
              <w:t>788,684,660.97</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rPr>
                <w:sz w:val="18"/>
                <w:szCs w:val="18"/>
              </w:rPr>
            </w:pPr>
            <w:r>
              <w:rPr>
                <w:rFonts w:ascii="Times New Roman" w:eastAsia="Times New Roman" w:hAnsi="Times New Roman" w:cs="Times New Roman"/>
                <w:color w:val="000000"/>
                <w:spacing w:val="0"/>
                <w:w w:val="100"/>
                <w:position w:val="0"/>
                <w:sz w:val="18"/>
                <w:szCs w:val="18"/>
              </w:rPr>
              <w:t>1,096,777,938.14</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left"/>
              <w:rPr>
                <w:sz w:val="18"/>
                <w:szCs w:val="18"/>
              </w:rPr>
            </w:pPr>
            <w:r>
              <w:rPr>
                <w:rFonts w:ascii="Times New Roman" w:eastAsia="Times New Roman" w:hAnsi="Times New Roman" w:cs="Times New Roman"/>
                <w:color w:val="000000"/>
                <w:spacing w:val="0"/>
                <w:w w:val="100"/>
                <w:position w:val="0"/>
                <w:sz w:val="18"/>
                <w:szCs w:val="18"/>
              </w:rPr>
              <w:t>2,407,728,322.09</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both"/>
              <w:rPr>
                <w:sz w:val="18"/>
                <w:szCs w:val="18"/>
              </w:rPr>
            </w:pPr>
            <w:r>
              <w:rPr>
                <w:rFonts w:ascii="Times New Roman" w:eastAsia="Times New Roman" w:hAnsi="Times New Roman" w:cs="Times New Roman"/>
                <w:color w:val="000000"/>
                <w:spacing w:val="0"/>
                <w:w w:val="100"/>
                <w:position w:val="0"/>
                <w:sz w:val="18"/>
                <w:szCs w:val="18"/>
              </w:rPr>
              <w:t>26,707,267.24</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40"/>
              <w:jc w:val="both"/>
              <w:rPr>
                <w:sz w:val="18"/>
                <w:szCs w:val="18"/>
              </w:rPr>
            </w:pPr>
            <w:r>
              <w:rPr>
                <w:rFonts w:ascii="Times New Roman" w:eastAsia="Times New Roman" w:hAnsi="Times New Roman" w:cs="Times New Roman"/>
                <w:color w:val="000000"/>
                <w:spacing w:val="0"/>
                <w:w w:val="100"/>
                <w:position w:val="0"/>
                <w:sz w:val="18"/>
                <w:szCs w:val="18"/>
              </w:rPr>
              <w:t>64,581,163.82</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20"/>
              <w:jc w:val="both"/>
              <w:rPr>
                <w:sz w:val="18"/>
                <w:szCs w:val="18"/>
              </w:rPr>
            </w:pPr>
            <w:r>
              <w:rPr>
                <w:rFonts w:ascii="Times New Roman" w:eastAsia="Times New Roman" w:hAnsi="Times New Roman" w:cs="Times New Roman"/>
                <w:color w:val="000000"/>
                <w:spacing w:val="0"/>
                <w:w w:val="100"/>
                <w:position w:val="0"/>
                <w:sz w:val="18"/>
                <w:szCs w:val="18"/>
              </w:rPr>
              <w:t>3,595,794,691.29</w:t>
            </w:r>
          </w:p>
        </w:tc>
      </w:tr>
    </w:tbl>
    <w:p>
      <w:pPr>
        <w:widowControl w:val="0"/>
        <w:spacing w:after="339" w:line="1" w:lineRule="exact"/>
      </w:pPr>
    </w:p>
    <w:p>
      <w:pPr>
        <w:pStyle w:val="Style47"/>
        <w:keepNext/>
        <w:keepLines/>
        <w:widowControl w:val="0"/>
        <w:shd w:val="clear" w:color="auto" w:fill="auto"/>
        <w:bidi w:val="0"/>
        <w:spacing w:before="0" w:after="400" w:line="240" w:lineRule="auto"/>
        <w:ind w:left="0" w:right="0" w:firstLine="0"/>
        <w:jc w:val="left"/>
      </w:pPr>
      <w:bookmarkStart w:id="1703" w:name="bookmark1703"/>
      <w:bookmarkStart w:id="1704" w:name="bookmark1704"/>
      <w:bookmarkStart w:id="1705" w:name="bookmark1705"/>
      <w:bookmarkStart w:id="1706" w:name="bookmark1706"/>
      <w:r>
        <w:rPr>
          <w:color w:val="000000"/>
          <w:spacing w:val="0"/>
          <w:w w:val="100"/>
          <w:position w:val="0"/>
        </w:rPr>
        <w:t>6</w:t>
      </w:r>
      <w:bookmarkEnd w:id="1705"/>
      <w:r>
        <w:rPr>
          <w:color w:val="000000"/>
          <w:spacing w:val="0"/>
          <w:w w:val="100"/>
          <w:position w:val="0"/>
        </w:rPr>
        <w:t>2、税金及附加</w:t>
      </w:r>
      <w:bookmarkEnd w:id="1703"/>
      <w:bookmarkEnd w:id="1704"/>
      <w:bookmarkEnd w:id="1706"/>
    </w:p>
    <w:p>
      <w:pPr>
        <w:pStyle w:val="Style41"/>
        <w:keepNext w:val="0"/>
        <w:keepLines w:val="0"/>
        <w:widowControl w:val="0"/>
        <w:shd w:val="clear" w:color="auto" w:fill="auto"/>
        <w:bidi w:val="0"/>
        <w:spacing w:before="0" w:after="220" w:line="240" w:lineRule="auto"/>
        <w:ind w:left="0" w:right="0" w:firstLine="0"/>
        <w:jc w:val="right"/>
      </w:pPr>
      <w:r>
        <w:rPr>
          <w:color w:val="000000"/>
          <w:spacing w:val="0"/>
          <w:w w:val="100"/>
          <w:position w:val="0"/>
        </w:rPr>
        <w:t>单位：元</w:t>
      </w:r>
      <w:r>
        <w:br w:type="page"/>
      </w:r>
    </w:p>
    <w:tbl>
      <w:tblPr>
        <w:tblOverlap w:val="never"/>
        <w:jc w:val="center"/>
        <w:tblLayout w:type="fixed"/>
      </w:tblPr>
      <w:tblGrid>
        <w:gridCol w:w="3192"/>
        <w:gridCol w:w="3192"/>
        <w:gridCol w:w="3202"/>
      </w:tblGrid>
      <w:tr>
        <w:trPr>
          <w:trHeight w:val="480"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1400" w:right="0" w:firstLine="0"/>
              <w:jc w:val="left"/>
            </w:pPr>
            <w:r>
              <w:rPr>
                <w:color w:val="000000"/>
                <w:spacing w:val="0"/>
                <w:w w:val="100"/>
                <w:position w:val="0"/>
              </w:rPr>
              <w:t>项目</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1140" w:right="0" w:firstLine="0"/>
              <w:jc w:val="left"/>
            </w:pPr>
            <w:r>
              <w:rPr>
                <w:color w:val="000000"/>
                <w:spacing w:val="0"/>
                <w:w w:val="100"/>
                <w:position w:val="0"/>
              </w:rPr>
              <w:t>上期发生额</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城市维护建设税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rPr>
                <w:sz w:val="18"/>
                <w:szCs w:val="18"/>
              </w:rPr>
            </w:pPr>
            <w:r>
              <w:rPr>
                <w:rFonts w:ascii="Times New Roman" w:eastAsia="Times New Roman" w:hAnsi="Times New Roman" w:cs="Times New Roman"/>
                <w:color w:val="000000"/>
                <w:spacing w:val="0"/>
                <w:w w:val="100"/>
                <w:position w:val="0"/>
                <w:sz w:val="18"/>
                <w:szCs w:val="18"/>
              </w:rPr>
              <w:t>3,384,203.75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both"/>
              <w:rPr>
                <w:sz w:val="18"/>
                <w:szCs w:val="18"/>
              </w:rPr>
            </w:pPr>
            <w:r>
              <w:rPr>
                <w:rFonts w:ascii="Times New Roman" w:eastAsia="Times New Roman" w:hAnsi="Times New Roman" w:cs="Times New Roman"/>
                <w:color w:val="000000"/>
                <w:spacing w:val="0"/>
                <w:w w:val="100"/>
                <w:position w:val="0"/>
                <w:sz w:val="18"/>
                <w:szCs w:val="18"/>
              </w:rPr>
              <w:t>4,180,282.86</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教育费附加</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rPr>
                <w:sz w:val="18"/>
                <w:szCs w:val="18"/>
              </w:rPr>
            </w:pPr>
            <w:r>
              <w:rPr>
                <w:rFonts w:ascii="Times New Roman" w:eastAsia="Times New Roman" w:hAnsi="Times New Roman" w:cs="Times New Roman"/>
                <w:color w:val="000000"/>
                <w:spacing w:val="0"/>
                <w:w w:val="100"/>
                <w:position w:val="0"/>
                <w:sz w:val="18"/>
                <w:szCs w:val="18"/>
              </w:rPr>
              <w:t>2,416,370.23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both"/>
              <w:rPr>
                <w:sz w:val="18"/>
                <w:szCs w:val="18"/>
              </w:rPr>
            </w:pPr>
            <w:r>
              <w:rPr>
                <w:rFonts w:ascii="Times New Roman" w:eastAsia="Times New Roman" w:hAnsi="Times New Roman" w:cs="Times New Roman"/>
                <w:color w:val="000000"/>
                <w:spacing w:val="0"/>
                <w:w w:val="100"/>
                <w:position w:val="0"/>
                <w:sz w:val="18"/>
                <w:szCs w:val="18"/>
              </w:rPr>
              <w:t>2,985,460.60</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印花税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40" w:right="0" w:firstLine="0"/>
              <w:jc w:val="both"/>
              <w:rPr>
                <w:sz w:val="18"/>
                <w:szCs w:val="18"/>
              </w:rPr>
            </w:pPr>
            <w:r>
              <w:rPr>
                <w:rFonts w:ascii="Times New Roman" w:eastAsia="Times New Roman" w:hAnsi="Times New Roman" w:cs="Times New Roman"/>
                <w:color w:val="000000"/>
                <w:spacing w:val="0"/>
                <w:w w:val="100"/>
                <w:position w:val="0"/>
                <w:sz w:val="18"/>
                <w:szCs w:val="18"/>
              </w:rPr>
              <w:t>741,352.69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937,949.33</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房产税及土地使用税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rPr>
                <w:sz w:val="18"/>
                <w:szCs w:val="18"/>
              </w:rPr>
            </w:pPr>
            <w:r>
              <w:rPr>
                <w:rFonts w:ascii="Times New Roman" w:eastAsia="Times New Roman" w:hAnsi="Times New Roman" w:cs="Times New Roman"/>
                <w:color w:val="000000"/>
                <w:spacing w:val="0"/>
                <w:w w:val="100"/>
                <w:position w:val="0"/>
                <w:sz w:val="18"/>
                <w:szCs w:val="18"/>
              </w:rPr>
              <w:t>8,129,390.58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10,146,373.88</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40" w:right="0" w:firstLine="0"/>
              <w:jc w:val="both"/>
              <w:rPr>
                <w:sz w:val="18"/>
                <w:szCs w:val="18"/>
              </w:rPr>
            </w:pPr>
            <w:r>
              <w:rPr>
                <w:rFonts w:ascii="Times New Roman" w:eastAsia="Times New Roman" w:hAnsi="Times New Roman" w:cs="Times New Roman"/>
                <w:color w:val="000000"/>
                <w:spacing w:val="0"/>
                <w:w w:val="100"/>
                <w:position w:val="0"/>
                <w:sz w:val="18"/>
                <w:szCs w:val="18"/>
              </w:rPr>
              <w:t>358,259.38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791,409.79</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15,029,576.63</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19,041,476.46</w:t>
            </w:r>
          </w:p>
        </w:tc>
      </w:tr>
    </w:tbl>
    <w:p>
      <w:pPr>
        <w:widowControl w:val="0"/>
        <w:spacing w:after="319" w:line="1" w:lineRule="exact"/>
      </w:pPr>
    </w:p>
    <w:p>
      <w:pPr>
        <w:pStyle w:val="Style47"/>
        <w:keepNext/>
        <w:keepLines/>
        <w:widowControl w:val="0"/>
        <w:shd w:val="clear" w:color="auto" w:fill="auto"/>
        <w:bidi w:val="0"/>
        <w:spacing w:before="0" w:after="420" w:line="240" w:lineRule="auto"/>
        <w:ind w:left="0" w:right="0" w:firstLine="0"/>
        <w:jc w:val="left"/>
      </w:pPr>
      <w:bookmarkStart w:id="1707" w:name="bookmark1707"/>
      <w:bookmarkStart w:id="1708" w:name="bookmark1708"/>
      <w:bookmarkStart w:id="1709" w:name="bookmark1709"/>
      <w:bookmarkStart w:id="1710" w:name="bookmark1710"/>
      <w:r>
        <w:rPr>
          <w:color w:val="000000"/>
          <w:spacing w:val="0"/>
          <w:w w:val="100"/>
          <w:position w:val="0"/>
        </w:rPr>
        <w:t>6</w:t>
      </w:r>
      <w:bookmarkEnd w:id="1709"/>
      <w:r>
        <w:rPr>
          <w:color w:val="000000"/>
          <w:spacing w:val="0"/>
          <w:w w:val="100"/>
          <w:position w:val="0"/>
        </w:rPr>
        <w:t>3、销售费用</w:t>
      </w:r>
      <w:bookmarkEnd w:id="1707"/>
      <w:bookmarkEnd w:id="1708"/>
      <w:bookmarkEnd w:id="1710"/>
    </w:p>
    <w:p>
      <w:pPr>
        <w:pStyle w:val="Style41"/>
        <w:keepNext w:val="0"/>
        <w:keepLines w:val="0"/>
        <w:widowControl w:val="0"/>
        <w:shd w:val="clear" w:color="auto" w:fill="auto"/>
        <w:bidi w:val="0"/>
        <w:spacing w:before="0" w:after="80" w:line="240" w:lineRule="auto"/>
        <w:ind w:left="8920" w:right="0" w:firstLine="0"/>
        <w:jc w:val="left"/>
      </w:pPr>
      <w:r>
        <w:rPr>
          <w:color w:val="000000"/>
          <w:spacing w:val="0"/>
          <w:w w:val="100"/>
          <w:position w:val="0"/>
        </w:rPr>
        <w:t>单位：元</w:t>
      </w:r>
    </w:p>
    <w:tbl>
      <w:tblPr>
        <w:tblOverlap w:val="never"/>
        <w:jc w:val="center"/>
        <w:tblLayout w:type="fixed"/>
      </w:tblPr>
      <w:tblGrid>
        <w:gridCol w:w="3192"/>
        <w:gridCol w:w="3192"/>
        <w:gridCol w:w="3202"/>
      </w:tblGrid>
      <w:tr>
        <w:trPr>
          <w:trHeight w:val="40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1400" w:right="0" w:firstLine="0"/>
              <w:jc w:val="left"/>
            </w:pPr>
            <w:r>
              <w:rPr>
                <w:color w:val="000000"/>
                <w:spacing w:val="0"/>
                <w:w w:val="100"/>
                <w:position w:val="0"/>
              </w:rPr>
              <w:t>项目</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1140" w:right="0" w:firstLine="0"/>
              <w:jc w:val="left"/>
            </w:pPr>
            <w:r>
              <w:rPr>
                <w:color w:val="000000"/>
                <w:spacing w:val="0"/>
                <w:w w:val="100"/>
                <w:position w:val="0"/>
              </w:rPr>
              <w:t>上期发生额</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职工薪酬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76,800,710.42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67,606,682.96</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折旧费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40" w:right="0" w:firstLine="0"/>
              <w:jc w:val="both"/>
              <w:rPr>
                <w:sz w:val="18"/>
                <w:szCs w:val="18"/>
              </w:rPr>
            </w:pPr>
            <w:r>
              <w:rPr>
                <w:rFonts w:ascii="Times New Roman" w:eastAsia="Times New Roman" w:hAnsi="Times New Roman" w:cs="Times New Roman"/>
                <w:color w:val="000000"/>
                <w:spacing w:val="0"/>
                <w:w w:val="100"/>
                <w:position w:val="0"/>
                <w:sz w:val="18"/>
                <w:szCs w:val="18"/>
              </w:rPr>
              <w:t>108,726.16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140,751.14</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业务招待费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21,332,340.73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21,240,681.51</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差旅费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rPr>
                <w:sz w:val="18"/>
                <w:szCs w:val="18"/>
              </w:rPr>
            </w:pPr>
            <w:r>
              <w:rPr>
                <w:rFonts w:ascii="Times New Roman" w:eastAsia="Times New Roman" w:hAnsi="Times New Roman" w:cs="Times New Roman"/>
                <w:color w:val="000000"/>
                <w:spacing w:val="0"/>
                <w:w w:val="100"/>
                <w:position w:val="0"/>
                <w:sz w:val="18"/>
                <w:szCs w:val="18"/>
              </w:rPr>
              <w:t>3,893,406.97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both"/>
              <w:rPr>
                <w:sz w:val="18"/>
                <w:szCs w:val="18"/>
              </w:rPr>
            </w:pPr>
            <w:r>
              <w:rPr>
                <w:rFonts w:ascii="Times New Roman" w:eastAsia="Times New Roman" w:hAnsi="Times New Roman" w:cs="Times New Roman"/>
                <w:color w:val="000000"/>
                <w:spacing w:val="0"/>
                <w:w w:val="100"/>
                <w:position w:val="0"/>
                <w:sz w:val="18"/>
                <w:szCs w:val="18"/>
              </w:rPr>
              <w:t>6,073,412.54</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运输费、汽车车辆使用费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rPr>
                <w:sz w:val="18"/>
                <w:szCs w:val="18"/>
              </w:rPr>
            </w:pPr>
            <w:r>
              <w:rPr>
                <w:rFonts w:ascii="Times New Roman" w:eastAsia="Times New Roman" w:hAnsi="Times New Roman" w:cs="Times New Roman"/>
                <w:color w:val="000000"/>
                <w:spacing w:val="0"/>
                <w:w w:val="100"/>
                <w:position w:val="0"/>
                <w:sz w:val="18"/>
                <w:szCs w:val="18"/>
              </w:rPr>
              <w:t>2,283,222.16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both"/>
              <w:rPr>
                <w:sz w:val="18"/>
                <w:szCs w:val="18"/>
              </w:rPr>
            </w:pPr>
            <w:r>
              <w:rPr>
                <w:rFonts w:ascii="Times New Roman" w:eastAsia="Times New Roman" w:hAnsi="Times New Roman" w:cs="Times New Roman"/>
                <w:color w:val="000000"/>
                <w:spacing w:val="0"/>
                <w:w w:val="100"/>
                <w:position w:val="0"/>
                <w:sz w:val="18"/>
                <w:szCs w:val="18"/>
              </w:rPr>
              <w:t>4,895,639.58</w:t>
            </w: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广告费、推广费、展览费、宣传费、样 品、样件拍摄费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both"/>
              <w:rPr>
                <w:sz w:val="18"/>
                <w:szCs w:val="18"/>
              </w:rPr>
            </w:pPr>
            <w:r>
              <w:rPr>
                <w:rFonts w:ascii="Times New Roman" w:eastAsia="Times New Roman" w:hAnsi="Times New Roman" w:cs="Times New Roman"/>
                <w:color w:val="000000"/>
                <w:spacing w:val="0"/>
                <w:w w:val="100"/>
                <w:position w:val="0"/>
                <w:sz w:val="18"/>
                <w:szCs w:val="18"/>
              </w:rPr>
              <w:t>833,534,767.09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496,675,921.45</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租赁费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71,770.00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1,191.15</w:t>
            </w: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办公费、电信费、水电费、通讯费、会 务费、董事会费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rPr>
                <w:sz w:val="18"/>
                <w:szCs w:val="18"/>
              </w:rPr>
            </w:pPr>
            <w:r>
              <w:rPr>
                <w:rFonts w:ascii="Times New Roman" w:eastAsia="Times New Roman" w:hAnsi="Times New Roman" w:cs="Times New Roman"/>
                <w:color w:val="000000"/>
                <w:spacing w:val="0"/>
                <w:w w:val="100"/>
                <w:position w:val="0"/>
                <w:sz w:val="18"/>
                <w:szCs w:val="18"/>
              </w:rPr>
              <w:t>3,651,689.13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both"/>
              <w:rPr>
                <w:sz w:val="18"/>
                <w:szCs w:val="18"/>
              </w:rPr>
            </w:pPr>
            <w:r>
              <w:rPr>
                <w:rFonts w:ascii="Times New Roman" w:eastAsia="Times New Roman" w:hAnsi="Times New Roman" w:cs="Times New Roman"/>
                <w:color w:val="000000"/>
                <w:spacing w:val="0"/>
                <w:w w:val="100"/>
                <w:position w:val="0"/>
                <w:sz w:val="18"/>
                <w:szCs w:val="18"/>
              </w:rPr>
              <w:t>3,944,054.43</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修理费、维修费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12,268.22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101,093.70</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预计质保费用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rPr>
                <w:sz w:val="18"/>
                <w:szCs w:val="18"/>
              </w:rPr>
            </w:pPr>
            <w:r>
              <w:rPr>
                <w:rFonts w:ascii="Times New Roman" w:eastAsia="Times New Roman" w:hAnsi="Times New Roman" w:cs="Times New Roman"/>
                <w:color w:val="000000"/>
                <w:spacing w:val="0"/>
                <w:w w:val="100"/>
                <w:position w:val="0"/>
                <w:sz w:val="18"/>
                <w:szCs w:val="18"/>
              </w:rPr>
              <w:t>2,549,957.19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-6,555,508.35</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rPr>
                <w:sz w:val="18"/>
                <w:szCs w:val="18"/>
              </w:rPr>
            </w:pPr>
            <w:r>
              <w:rPr>
                <w:rFonts w:ascii="Times New Roman" w:eastAsia="Times New Roman" w:hAnsi="Times New Roman" w:cs="Times New Roman"/>
                <w:color w:val="000000"/>
                <w:spacing w:val="0"/>
                <w:w w:val="100"/>
                <w:position w:val="0"/>
                <w:sz w:val="18"/>
                <w:szCs w:val="18"/>
              </w:rPr>
              <w:t>2,852,655.46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both"/>
              <w:rPr>
                <w:sz w:val="18"/>
                <w:szCs w:val="18"/>
              </w:rPr>
            </w:pPr>
            <w:r>
              <w:rPr>
                <w:rFonts w:ascii="Times New Roman" w:eastAsia="Times New Roman" w:hAnsi="Times New Roman" w:cs="Times New Roman"/>
                <w:color w:val="000000"/>
                <w:spacing w:val="0"/>
                <w:w w:val="100"/>
                <w:position w:val="0"/>
                <w:sz w:val="18"/>
                <w:szCs w:val="18"/>
              </w:rPr>
              <w:t>6,322,872.48</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both"/>
              <w:rPr>
                <w:sz w:val="18"/>
                <w:szCs w:val="18"/>
              </w:rPr>
            </w:pPr>
            <w:r>
              <w:rPr>
                <w:rFonts w:ascii="Times New Roman" w:eastAsia="Times New Roman" w:hAnsi="Times New Roman" w:cs="Times New Roman"/>
                <w:color w:val="000000"/>
                <w:spacing w:val="0"/>
                <w:w w:val="100"/>
                <w:position w:val="0"/>
                <w:sz w:val="18"/>
                <w:szCs w:val="18"/>
              </w:rPr>
              <w:t>947,091,513.53</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600,446,792.59</w:t>
            </w:r>
          </w:p>
        </w:tc>
      </w:tr>
    </w:tbl>
    <w:p>
      <w:pPr>
        <w:widowControl w:val="0"/>
        <w:spacing w:after="319" w:line="1" w:lineRule="exact"/>
      </w:pPr>
    </w:p>
    <w:p>
      <w:pPr>
        <w:pStyle w:val="Style47"/>
        <w:keepNext/>
        <w:keepLines/>
        <w:widowControl w:val="0"/>
        <w:shd w:val="clear" w:color="auto" w:fill="auto"/>
        <w:bidi w:val="0"/>
        <w:spacing w:before="0" w:after="420" w:line="240" w:lineRule="auto"/>
        <w:ind w:left="0" w:right="0" w:firstLine="0"/>
        <w:jc w:val="left"/>
      </w:pPr>
      <w:bookmarkStart w:id="1711" w:name="bookmark1711"/>
      <w:bookmarkStart w:id="1712" w:name="bookmark1712"/>
      <w:bookmarkStart w:id="1713" w:name="bookmark1713"/>
      <w:bookmarkStart w:id="1714" w:name="bookmark1714"/>
      <w:r>
        <w:rPr>
          <w:color w:val="000000"/>
          <w:spacing w:val="0"/>
          <w:w w:val="100"/>
          <w:position w:val="0"/>
        </w:rPr>
        <w:t>6</w:t>
      </w:r>
      <w:bookmarkEnd w:id="1713"/>
      <w:r>
        <w:rPr>
          <w:color w:val="000000"/>
          <w:spacing w:val="0"/>
          <w:w w:val="100"/>
          <w:position w:val="0"/>
        </w:rPr>
        <w:t>4、管理费用</w:t>
      </w:r>
      <w:bookmarkEnd w:id="1711"/>
      <w:bookmarkEnd w:id="1712"/>
      <w:bookmarkEnd w:id="1714"/>
    </w:p>
    <w:p>
      <w:pPr>
        <w:pStyle w:val="Style41"/>
        <w:keepNext w:val="0"/>
        <w:keepLines w:val="0"/>
        <w:widowControl w:val="0"/>
        <w:shd w:val="clear" w:color="auto" w:fill="auto"/>
        <w:bidi w:val="0"/>
        <w:spacing w:before="0" w:after="80" w:line="240" w:lineRule="auto"/>
        <w:ind w:left="8920" w:right="0" w:firstLine="0"/>
        <w:jc w:val="left"/>
      </w:pPr>
      <w:r>
        <w:rPr>
          <w:color w:val="000000"/>
          <w:spacing w:val="0"/>
          <w:w w:val="100"/>
          <w:position w:val="0"/>
        </w:rPr>
        <w:t>单位：元</w:t>
      </w:r>
    </w:p>
    <w:tbl>
      <w:tblPr>
        <w:tblOverlap w:val="never"/>
        <w:jc w:val="center"/>
        <w:tblLayout w:type="fixed"/>
      </w:tblPr>
      <w:tblGrid>
        <w:gridCol w:w="3192"/>
        <w:gridCol w:w="3192"/>
        <w:gridCol w:w="3202"/>
      </w:tblGrid>
      <w:tr>
        <w:trPr>
          <w:trHeight w:val="40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1400" w:right="0" w:firstLine="0"/>
              <w:jc w:val="left"/>
            </w:pPr>
            <w:r>
              <w:rPr>
                <w:color w:val="000000"/>
                <w:spacing w:val="0"/>
                <w:w w:val="100"/>
                <w:position w:val="0"/>
              </w:rPr>
              <w:t>项目</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1140" w:right="0" w:firstLine="0"/>
              <w:jc w:val="left"/>
            </w:pPr>
            <w:r>
              <w:rPr>
                <w:color w:val="000000"/>
                <w:spacing w:val="0"/>
                <w:w w:val="100"/>
                <w:position w:val="0"/>
              </w:rPr>
              <w:t>上期发生额</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职工薪酬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both"/>
              <w:rPr>
                <w:sz w:val="18"/>
                <w:szCs w:val="18"/>
              </w:rPr>
            </w:pPr>
            <w:r>
              <w:rPr>
                <w:rFonts w:ascii="Times New Roman" w:eastAsia="Times New Roman" w:hAnsi="Times New Roman" w:cs="Times New Roman"/>
                <w:color w:val="000000"/>
                <w:spacing w:val="0"/>
                <w:w w:val="100"/>
                <w:position w:val="0"/>
                <w:sz w:val="18"/>
                <w:szCs w:val="18"/>
              </w:rPr>
              <w:t>371,587,281.87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493,429,463.21</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折旧费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17,854,115.45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19,688,312.31</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无形资产摊销</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rPr>
                <w:sz w:val="18"/>
                <w:szCs w:val="18"/>
              </w:rPr>
            </w:pPr>
            <w:r>
              <w:rPr>
                <w:rFonts w:ascii="Times New Roman" w:eastAsia="Times New Roman" w:hAnsi="Times New Roman" w:cs="Times New Roman"/>
                <w:color w:val="000000"/>
                <w:spacing w:val="0"/>
                <w:w w:val="100"/>
                <w:position w:val="0"/>
                <w:sz w:val="18"/>
                <w:szCs w:val="18"/>
              </w:rPr>
              <w:t>4,344,934.99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both"/>
              <w:rPr>
                <w:sz w:val="18"/>
                <w:szCs w:val="18"/>
              </w:rPr>
            </w:pPr>
            <w:r>
              <w:rPr>
                <w:rFonts w:ascii="Times New Roman" w:eastAsia="Times New Roman" w:hAnsi="Times New Roman" w:cs="Times New Roman"/>
                <w:color w:val="000000"/>
                <w:spacing w:val="0"/>
                <w:w w:val="100"/>
                <w:position w:val="0"/>
                <w:sz w:val="18"/>
                <w:szCs w:val="18"/>
              </w:rPr>
              <w:t>4,508,940.95</w:t>
            </w: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22" w:lineRule="exact"/>
              <w:ind w:left="0" w:right="0" w:firstLine="0"/>
              <w:jc w:val="left"/>
            </w:pPr>
            <w:r>
              <w:rPr>
                <w:color w:val="000000"/>
                <w:spacing w:val="0"/>
                <w:w w:val="100"/>
                <w:position w:val="0"/>
              </w:rPr>
              <w:t>办公费、电信费、水电费、通讯费、会 务费、董事会费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13,266,626.69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16,452,701.10</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差旅费</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rPr>
                <w:sz w:val="18"/>
                <w:szCs w:val="18"/>
              </w:rPr>
            </w:pPr>
            <w:r>
              <w:rPr>
                <w:rFonts w:ascii="Times New Roman" w:eastAsia="Times New Roman" w:hAnsi="Times New Roman" w:cs="Times New Roman"/>
                <w:color w:val="000000"/>
                <w:spacing w:val="0"/>
                <w:w w:val="100"/>
                <w:position w:val="0"/>
                <w:sz w:val="18"/>
                <w:szCs w:val="18"/>
              </w:rPr>
              <w:t>9,410,089.13</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23,930,721.72</w:t>
            </w:r>
          </w:p>
        </w:tc>
      </w:tr>
    </w:tbl>
    <w:p>
      <w:pPr>
        <w:widowControl w:val="0"/>
        <w:spacing w:line="1" w:lineRule="exact"/>
      </w:pPr>
      <w:r>
        <w:br w:type="page"/>
      </w:r>
    </w:p>
    <w:tbl>
      <w:tblPr>
        <w:tblOverlap w:val="never"/>
        <w:jc w:val="center"/>
        <w:tblLayout w:type="fixed"/>
      </w:tblPr>
      <w:tblGrid>
        <w:gridCol w:w="3192"/>
        <w:gridCol w:w="3192"/>
        <w:gridCol w:w="3202"/>
      </w:tblGrid>
      <w:tr>
        <w:trPr>
          <w:trHeight w:val="480"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运输费、汽车车辆使用费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rPr>
                <w:sz w:val="18"/>
                <w:szCs w:val="18"/>
              </w:rPr>
            </w:pPr>
            <w:r>
              <w:rPr>
                <w:rFonts w:ascii="Times New Roman" w:eastAsia="Times New Roman" w:hAnsi="Times New Roman" w:cs="Times New Roman"/>
                <w:color w:val="000000"/>
                <w:spacing w:val="0"/>
                <w:w w:val="100"/>
                <w:position w:val="0"/>
                <w:sz w:val="18"/>
                <w:szCs w:val="18"/>
              </w:rPr>
              <w:t>4,837,921.17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both"/>
              <w:rPr>
                <w:sz w:val="18"/>
                <w:szCs w:val="18"/>
              </w:rPr>
            </w:pPr>
            <w:r>
              <w:rPr>
                <w:rFonts w:ascii="Times New Roman" w:eastAsia="Times New Roman" w:hAnsi="Times New Roman" w:cs="Times New Roman"/>
                <w:color w:val="000000"/>
                <w:spacing w:val="0"/>
                <w:w w:val="100"/>
                <w:position w:val="0"/>
                <w:sz w:val="18"/>
                <w:szCs w:val="18"/>
              </w:rPr>
              <w:t>6,723,916.85</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中介机构费用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rPr>
                <w:sz w:val="18"/>
                <w:szCs w:val="18"/>
              </w:rPr>
            </w:pPr>
            <w:r>
              <w:rPr>
                <w:rFonts w:ascii="Times New Roman" w:eastAsia="Times New Roman" w:hAnsi="Times New Roman" w:cs="Times New Roman"/>
                <w:color w:val="000000"/>
                <w:spacing w:val="0"/>
                <w:w w:val="100"/>
                <w:position w:val="0"/>
                <w:sz w:val="18"/>
                <w:szCs w:val="18"/>
              </w:rPr>
              <w:t>9,094,680.97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both"/>
              <w:rPr>
                <w:sz w:val="18"/>
                <w:szCs w:val="18"/>
              </w:rPr>
            </w:pPr>
            <w:r>
              <w:rPr>
                <w:rFonts w:ascii="Times New Roman" w:eastAsia="Times New Roman" w:hAnsi="Times New Roman" w:cs="Times New Roman"/>
                <w:color w:val="000000"/>
                <w:spacing w:val="0"/>
                <w:w w:val="100"/>
                <w:position w:val="0"/>
                <w:sz w:val="18"/>
                <w:szCs w:val="18"/>
              </w:rPr>
              <w:t>9,146,644.88</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劳动保护费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rPr>
                <w:sz w:val="18"/>
                <w:szCs w:val="18"/>
              </w:rPr>
            </w:pPr>
            <w:r>
              <w:rPr>
                <w:rFonts w:ascii="Times New Roman" w:eastAsia="Times New Roman" w:hAnsi="Times New Roman" w:cs="Times New Roman"/>
                <w:color w:val="000000"/>
                <w:spacing w:val="0"/>
                <w:w w:val="100"/>
                <w:position w:val="0"/>
                <w:sz w:val="18"/>
                <w:szCs w:val="18"/>
              </w:rPr>
              <w:t>1,239,707.90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租赁费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30,980,254.09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23,063,008.23</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装修费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rPr>
                <w:sz w:val="18"/>
                <w:szCs w:val="18"/>
              </w:rPr>
            </w:pPr>
            <w:r>
              <w:rPr>
                <w:rFonts w:ascii="Times New Roman" w:eastAsia="Times New Roman" w:hAnsi="Times New Roman" w:cs="Times New Roman"/>
                <w:color w:val="000000"/>
                <w:spacing w:val="0"/>
                <w:w w:val="100"/>
                <w:position w:val="0"/>
                <w:sz w:val="18"/>
                <w:szCs w:val="18"/>
              </w:rPr>
              <w:t>4,688,714.84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both"/>
              <w:rPr>
                <w:sz w:val="18"/>
                <w:szCs w:val="18"/>
              </w:rPr>
            </w:pPr>
            <w:r>
              <w:rPr>
                <w:rFonts w:ascii="Times New Roman" w:eastAsia="Times New Roman" w:hAnsi="Times New Roman" w:cs="Times New Roman"/>
                <w:color w:val="000000"/>
                <w:spacing w:val="0"/>
                <w:w w:val="100"/>
                <w:position w:val="0"/>
                <w:sz w:val="18"/>
                <w:szCs w:val="18"/>
              </w:rPr>
              <w:t>4,875,847.60</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业务招待费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17,368,811.55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23,483,236.80</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修理费、维修费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40" w:right="0" w:firstLine="0"/>
              <w:jc w:val="both"/>
              <w:rPr>
                <w:sz w:val="18"/>
                <w:szCs w:val="18"/>
              </w:rPr>
            </w:pPr>
            <w:r>
              <w:rPr>
                <w:rFonts w:ascii="Times New Roman" w:eastAsia="Times New Roman" w:hAnsi="Times New Roman" w:cs="Times New Roman"/>
                <w:color w:val="000000"/>
                <w:spacing w:val="0"/>
                <w:w w:val="100"/>
                <w:position w:val="0"/>
                <w:sz w:val="18"/>
                <w:szCs w:val="18"/>
              </w:rPr>
              <w:t>689,571.24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79,463.26</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诉讼费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40" w:right="0" w:firstLine="0"/>
              <w:jc w:val="both"/>
              <w:rPr>
                <w:sz w:val="18"/>
                <w:szCs w:val="18"/>
              </w:rPr>
            </w:pPr>
            <w:r>
              <w:rPr>
                <w:rFonts w:ascii="Times New Roman" w:eastAsia="Times New Roman" w:hAnsi="Times New Roman" w:cs="Times New Roman"/>
                <w:color w:val="000000"/>
                <w:spacing w:val="0"/>
                <w:w w:val="100"/>
                <w:position w:val="0"/>
                <w:sz w:val="18"/>
                <w:szCs w:val="18"/>
              </w:rPr>
              <w:t>120,824.84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both"/>
              <w:rPr>
                <w:sz w:val="18"/>
                <w:szCs w:val="18"/>
              </w:rPr>
            </w:pPr>
            <w:r>
              <w:rPr>
                <w:rFonts w:ascii="Times New Roman" w:eastAsia="Times New Roman" w:hAnsi="Times New Roman" w:cs="Times New Roman"/>
                <w:color w:val="000000"/>
                <w:spacing w:val="0"/>
                <w:w w:val="100"/>
                <w:position w:val="0"/>
                <w:sz w:val="18"/>
                <w:szCs w:val="18"/>
              </w:rPr>
              <w:t>2,217,545.77</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物料消耗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97,569.14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425,793.13</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咨询及服务费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28,425,238.53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35,426,889.88</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低值易耗品摊销</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rPr>
                <w:sz w:val="18"/>
                <w:szCs w:val="18"/>
              </w:rPr>
            </w:pPr>
            <w:r>
              <w:rPr>
                <w:rFonts w:ascii="Times New Roman" w:eastAsia="Times New Roman" w:hAnsi="Times New Roman" w:cs="Times New Roman"/>
                <w:color w:val="000000"/>
                <w:spacing w:val="0"/>
                <w:w w:val="100"/>
                <w:position w:val="0"/>
                <w:sz w:val="18"/>
                <w:szCs w:val="18"/>
              </w:rPr>
              <w:t>1,688,051.44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both"/>
              <w:rPr>
                <w:sz w:val="18"/>
                <w:szCs w:val="18"/>
              </w:rPr>
            </w:pPr>
            <w:r>
              <w:rPr>
                <w:rFonts w:ascii="Times New Roman" w:eastAsia="Times New Roman" w:hAnsi="Times New Roman" w:cs="Times New Roman"/>
                <w:color w:val="000000"/>
                <w:spacing w:val="0"/>
                <w:w w:val="100"/>
                <w:position w:val="0"/>
                <w:sz w:val="18"/>
                <w:szCs w:val="18"/>
              </w:rPr>
              <w:t>1,444,224.98</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检验费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40" w:right="0" w:firstLine="0"/>
              <w:jc w:val="both"/>
              <w:rPr>
                <w:sz w:val="18"/>
                <w:szCs w:val="18"/>
              </w:rPr>
            </w:pPr>
            <w:r>
              <w:rPr>
                <w:rFonts w:ascii="Times New Roman" w:eastAsia="Times New Roman" w:hAnsi="Times New Roman" w:cs="Times New Roman"/>
                <w:color w:val="000000"/>
                <w:spacing w:val="0"/>
                <w:w w:val="100"/>
                <w:position w:val="0"/>
                <w:sz w:val="18"/>
                <w:szCs w:val="18"/>
              </w:rPr>
              <w:t>291,872.85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585,819.67</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rPr>
                <w:sz w:val="18"/>
                <w:szCs w:val="18"/>
              </w:rPr>
            </w:pPr>
            <w:r>
              <w:rPr>
                <w:rFonts w:ascii="Times New Roman" w:eastAsia="Times New Roman" w:hAnsi="Times New Roman" w:cs="Times New Roman"/>
                <w:color w:val="000000"/>
                <w:spacing w:val="0"/>
                <w:w w:val="100"/>
                <w:position w:val="0"/>
                <w:sz w:val="18"/>
                <w:szCs w:val="18"/>
              </w:rPr>
              <w:t>4,729,242.47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both"/>
              <w:rPr>
                <w:sz w:val="18"/>
                <w:szCs w:val="18"/>
              </w:rPr>
            </w:pPr>
            <w:r>
              <w:rPr>
                <w:rFonts w:ascii="Times New Roman" w:eastAsia="Times New Roman" w:hAnsi="Times New Roman" w:cs="Times New Roman"/>
                <w:color w:val="000000"/>
                <w:spacing w:val="0"/>
                <w:w w:val="100"/>
                <w:position w:val="0"/>
                <w:sz w:val="18"/>
                <w:szCs w:val="18"/>
              </w:rPr>
              <w:t>1,989,596.77</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both"/>
              <w:rPr>
                <w:sz w:val="18"/>
                <w:szCs w:val="18"/>
              </w:rPr>
            </w:pPr>
            <w:r>
              <w:rPr>
                <w:rFonts w:ascii="Times New Roman" w:eastAsia="Times New Roman" w:hAnsi="Times New Roman" w:cs="Times New Roman"/>
                <w:color w:val="000000"/>
                <w:spacing w:val="0"/>
                <w:w w:val="100"/>
                <w:position w:val="0"/>
                <w:sz w:val="18"/>
                <w:szCs w:val="18"/>
              </w:rPr>
              <w:t>520,715,509.16</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667,472,127.11</w:t>
            </w:r>
          </w:p>
        </w:tc>
      </w:tr>
    </w:tbl>
    <w:p>
      <w:pPr>
        <w:widowControl w:val="0"/>
        <w:spacing w:after="319" w:line="1" w:lineRule="exact"/>
      </w:pPr>
    </w:p>
    <w:p>
      <w:pPr>
        <w:pStyle w:val="Style47"/>
        <w:keepNext/>
        <w:keepLines/>
        <w:widowControl w:val="0"/>
        <w:shd w:val="clear" w:color="auto" w:fill="auto"/>
        <w:bidi w:val="0"/>
        <w:spacing w:before="0" w:after="400" w:line="240" w:lineRule="auto"/>
        <w:ind w:left="0" w:right="0" w:firstLine="0"/>
        <w:jc w:val="left"/>
      </w:pPr>
      <w:bookmarkStart w:id="1715" w:name="bookmark1715"/>
      <w:bookmarkStart w:id="1716" w:name="bookmark1716"/>
      <w:bookmarkStart w:id="1717" w:name="bookmark1717"/>
      <w:bookmarkStart w:id="1718" w:name="bookmark1718"/>
      <w:r>
        <w:rPr>
          <w:color w:val="000000"/>
          <w:spacing w:val="0"/>
          <w:w w:val="100"/>
          <w:position w:val="0"/>
        </w:rPr>
        <w:t>6</w:t>
      </w:r>
      <w:bookmarkEnd w:id="1717"/>
      <w:r>
        <w:rPr>
          <w:color w:val="000000"/>
          <w:spacing w:val="0"/>
          <w:w w:val="100"/>
          <w:position w:val="0"/>
        </w:rPr>
        <w:t>5、研发费用</w:t>
      </w:r>
      <w:bookmarkEnd w:id="1715"/>
      <w:bookmarkEnd w:id="1716"/>
      <w:bookmarkEnd w:id="1718"/>
    </w:p>
    <w:p>
      <w:pPr>
        <w:pStyle w:val="Style41"/>
        <w:keepNext w:val="0"/>
        <w:keepLines w:val="0"/>
        <w:widowControl w:val="0"/>
        <w:shd w:val="clear" w:color="auto" w:fill="auto"/>
        <w:bidi w:val="0"/>
        <w:spacing w:before="0" w:after="80" w:line="240" w:lineRule="auto"/>
        <w:ind w:left="8920" w:right="0" w:firstLine="0"/>
        <w:jc w:val="left"/>
      </w:pPr>
      <w:r>
        <w:rPr>
          <w:color w:val="000000"/>
          <w:spacing w:val="0"/>
          <w:w w:val="100"/>
          <w:position w:val="0"/>
        </w:rPr>
        <w:t>单位：元</w:t>
      </w:r>
    </w:p>
    <w:tbl>
      <w:tblPr>
        <w:tblOverlap w:val="never"/>
        <w:jc w:val="center"/>
        <w:tblLayout w:type="fixed"/>
      </w:tblPr>
      <w:tblGrid>
        <w:gridCol w:w="3192"/>
        <w:gridCol w:w="3192"/>
        <w:gridCol w:w="3202"/>
      </w:tblGrid>
      <w:tr>
        <w:trPr>
          <w:trHeight w:val="40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1420" w:right="0" w:firstLine="0"/>
              <w:jc w:val="left"/>
            </w:pPr>
            <w:r>
              <w:rPr>
                <w:color w:val="000000"/>
                <w:spacing w:val="0"/>
                <w:w w:val="100"/>
                <w:position w:val="0"/>
              </w:rPr>
              <w:t>项目</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工资性支出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both"/>
              <w:rPr>
                <w:sz w:val="18"/>
                <w:szCs w:val="18"/>
              </w:rPr>
            </w:pPr>
            <w:r>
              <w:rPr>
                <w:rFonts w:ascii="Times New Roman" w:eastAsia="Times New Roman" w:hAnsi="Times New Roman" w:cs="Times New Roman"/>
                <w:color w:val="000000"/>
                <w:spacing w:val="0"/>
                <w:w w:val="100"/>
                <w:position w:val="0"/>
                <w:sz w:val="18"/>
                <w:szCs w:val="18"/>
              </w:rPr>
              <w:t>128,089,756.24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140,262,027.43</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折旧费用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340" w:right="0" w:firstLine="0"/>
              <w:jc w:val="both"/>
              <w:rPr>
                <w:sz w:val="18"/>
                <w:szCs w:val="18"/>
              </w:rPr>
            </w:pPr>
            <w:r>
              <w:rPr>
                <w:rFonts w:ascii="Times New Roman" w:eastAsia="Times New Roman" w:hAnsi="Times New Roman" w:cs="Times New Roman"/>
                <w:color w:val="000000"/>
                <w:spacing w:val="0"/>
                <w:w w:val="100"/>
                <w:position w:val="0"/>
                <w:sz w:val="18"/>
                <w:szCs w:val="18"/>
              </w:rPr>
              <w:t>278,605.30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94,267.91</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无形资产摊销</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75,264,668.29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76,645,408.75</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rPr>
                <w:sz w:val="18"/>
                <w:szCs w:val="18"/>
              </w:rPr>
            </w:pPr>
            <w:r>
              <w:rPr>
                <w:rFonts w:ascii="Times New Roman" w:eastAsia="Times New Roman" w:hAnsi="Times New Roman" w:cs="Times New Roman"/>
                <w:color w:val="000000"/>
                <w:spacing w:val="0"/>
                <w:w w:val="100"/>
                <w:position w:val="0"/>
                <w:sz w:val="18"/>
                <w:szCs w:val="18"/>
              </w:rPr>
              <w:t>9,023,058.71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14,564,922.45</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both"/>
              <w:rPr>
                <w:sz w:val="18"/>
                <w:szCs w:val="18"/>
              </w:rPr>
            </w:pPr>
            <w:r>
              <w:rPr>
                <w:rFonts w:ascii="Times New Roman" w:eastAsia="Times New Roman" w:hAnsi="Times New Roman" w:cs="Times New Roman"/>
                <w:color w:val="000000"/>
                <w:spacing w:val="0"/>
                <w:w w:val="100"/>
                <w:position w:val="0"/>
                <w:sz w:val="18"/>
                <w:szCs w:val="18"/>
              </w:rPr>
              <w:t>212,656,088.54</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231,566,626.54</w:t>
            </w:r>
          </w:p>
        </w:tc>
      </w:tr>
    </w:tbl>
    <w:p>
      <w:pPr>
        <w:widowControl w:val="0"/>
        <w:spacing w:after="319" w:line="1" w:lineRule="exact"/>
      </w:pPr>
    </w:p>
    <w:p>
      <w:pPr>
        <w:pStyle w:val="Style47"/>
        <w:keepNext/>
        <w:keepLines/>
        <w:widowControl w:val="0"/>
        <w:shd w:val="clear" w:color="auto" w:fill="auto"/>
        <w:bidi w:val="0"/>
        <w:spacing w:before="0" w:after="400" w:line="240" w:lineRule="auto"/>
        <w:ind w:left="0" w:right="0" w:firstLine="0"/>
        <w:jc w:val="left"/>
      </w:pPr>
      <w:bookmarkStart w:id="1719" w:name="bookmark1719"/>
      <w:bookmarkStart w:id="1720" w:name="bookmark1720"/>
      <w:bookmarkStart w:id="1721" w:name="bookmark1721"/>
      <w:bookmarkStart w:id="1722" w:name="bookmark1722"/>
      <w:r>
        <w:rPr>
          <w:color w:val="000000"/>
          <w:spacing w:val="0"/>
          <w:w w:val="100"/>
          <w:position w:val="0"/>
        </w:rPr>
        <w:t>6</w:t>
      </w:r>
      <w:bookmarkEnd w:id="1721"/>
      <w:r>
        <w:rPr>
          <w:color w:val="000000"/>
          <w:spacing w:val="0"/>
          <w:w w:val="100"/>
          <w:position w:val="0"/>
        </w:rPr>
        <w:t>6、财务费用</w:t>
      </w:r>
      <w:bookmarkEnd w:id="1719"/>
      <w:bookmarkEnd w:id="1720"/>
      <w:bookmarkEnd w:id="1722"/>
    </w:p>
    <w:p>
      <w:pPr>
        <w:pStyle w:val="Style41"/>
        <w:keepNext w:val="0"/>
        <w:keepLines w:val="0"/>
        <w:widowControl w:val="0"/>
        <w:shd w:val="clear" w:color="auto" w:fill="auto"/>
        <w:bidi w:val="0"/>
        <w:spacing w:before="0" w:after="80" w:line="240" w:lineRule="auto"/>
        <w:ind w:left="8920" w:right="0" w:firstLine="0"/>
        <w:jc w:val="left"/>
      </w:pPr>
      <w:r>
        <w:rPr>
          <w:color w:val="000000"/>
          <w:spacing w:val="0"/>
          <w:w w:val="100"/>
          <w:position w:val="0"/>
        </w:rPr>
        <w:t>单位：元</w:t>
      </w:r>
    </w:p>
    <w:tbl>
      <w:tblPr>
        <w:tblOverlap w:val="never"/>
        <w:jc w:val="center"/>
        <w:tblLayout w:type="fixed"/>
      </w:tblPr>
      <w:tblGrid>
        <w:gridCol w:w="3192"/>
        <w:gridCol w:w="3192"/>
        <w:gridCol w:w="3202"/>
      </w:tblGrid>
      <w:tr>
        <w:trPr>
          <w:trHeight w:val="40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1420" w:right="0" w:firstLine="0"/>
              <w:jc w:val="left"/>
            </w:pPr>
            <w:r>
              <w:rPr>
                <w:color w:val="000000"/>
                <w:spacing w:val="0"/>
                <w:w w:val="100"/>
                <w:position w:val="0"/>
              </w:rPr>
              <w:t>项目</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利息费用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40,499,436.39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42,690,085.52</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减：利息收入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rPr>
                <w:sz w:val="18"/>
                <w:szCs w:val="18"/>
              </w:rPr>
            </w:pPr>
            <w:r>
              <w:rPr>
                <w:rFonts w:ascii="Times New Roman" w:eastAsia="Times New Roman" w:hAnsi="Times New Roman" w:cs="Times New Roman"/>
                <w:color w:val="000000"/>
                <w:spacing w:val="0"/>
                <w:w w:val="100"/>
                <w:position w:val="0"/>
                <w:sz w:val="18"/>
                <w:szCs w:val="18"/>
              </w:rPr>
              <w:t>8,447,419.38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both"/>
              <w:rPr>
                <w:sz w:val="18"/>
                <w:szCs w:val="18"/>
              </w:rPr>
            </w:pPr>
            <w:r>
              <w:rPr>
                <w:rFonts w:ascii="Times New Roman" w:eastAsia="Times New Roman" w:hAnsi="Times New Roman" w:cs="Times New Roman"/>
                <w:color w:val="000000"/>
                <w:spacing w:val="0"/>
                <w:w w:val="100"/>
                <w:position w:val="0"/>
                <w:sz w:val="18"/>
                <w:szCs w:val="18"/>
              </w:rPr>
              <w:t>4,033,755.21</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汇兑损益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13,636,967.37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-3,974,035.19</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both"/>
              <w:rPr>
                <w:sz w:val="18"/>
                <w:szCs w:val="18"/>
              </w:rPr>
            </w:pPr>
            <w:r>
              <w:rPr>
                <w:rFonts w:ascii="Times New Roman" w:eastAsia="Times New Roman" w:hAnsi="Times New Roman" w:cs="Times New Roman"/>
                <w:color w:val="000000"/>
                <w:spacing w:val="0"/>
                <w:w w:val="100"/>
                <w:position w:val="0"/>
                <w:sz w:val="18"/>
                <w:szCs w:val="18"/>
              </w:rPr>
              <w:t>1,644,076.31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both"/>
              <w:rPr>
                <w:sz w:val="18"/>
                <w:szCs w:val="18"/>
              </w:rPr>
            </w:pPr>
            <w:r>
              <w:rPr>
                <w:rFonts w:ascii="Times New Roman" w:eastAsia="Times New Roman" w:hAnsi="Times New Roman" w:cs="Times New Roman"/>
                <w:color w:val="000000"/>
                <w:spacing w:val="0"/>
                <w:w w:val="100"/>
                <w:position w:val="0"/>
                <w:sz w:val="18"/>
                <w:szCs w:val="18"/>
              </w:rPr>
              <w:t>1,569,456.50</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47,333,060.69</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36,251,751.62</w:t>
            </w:r>
          </w:p>
        </w:tc>
      </w:tr>
    </w:tbl>
    <w:p>
      <w:pPr>
        <w:spacing w:lineRule="exact" w:line="1"/>
        <w:rPr>
          <w:sz w:val="2"/>
          <w:szCs w:val="2"/>
        </w:rPr>
      </w:pPr>
      <w:r>
        <w:br w:type="page"/>
      </w:r>
    </w:p>
    <w:p>
      <w:pPr>
        <w:pStyle w:val="Style47"/>
        <w:keepNext/>
        <w:keepLines/>
        <w:widowControl w:val="0"/>
        <w:shd w:val="clear" w:color="auto" w:fill="auto"/>
        <w:bidi w:val="0"/>
        <w:spacing w:before="0" w:after="400" w:line="240" w:lineRule="auto"/>
        <w:ind w:left="0" w:right="0" w:firstLine="0"/>
        <w:jc w:val="left"/>
      </w:pPr>
      <w:bookmarkStart w:id="1723" w:name="bookmark1723"/>
      <w:bookmarkStart w:id="1724" w:name="bookmark1724"/>
      <w:bookmarkStart w:id="1725" w:name="bookmark1725"/>
      <w:bookmarkStart w:id="1726" w:name="bookmark1726"/>
      <w:r>
        <w:rPr>
          <w:color w:val="000000"/>
          <w:spacing w:val="0"/>
          <w:w w:val="100"/>
          <w:position w:val="0"/>
        </w:rPr>
        <w:t>6</w:t>
      </w:r>
      <w:bookmarkEnd w:id="1725"/>
      <w:r>
        <w:rPr>
          <w:color w:val="000000"/>
          <w:spacing w:val="0"/>
          <w:w w:val="100"/>
          <w:position w:val="0"/>
        </w:rPr>
        <w:t>7、其他收益</w:t>
      </w:r>
      <w:bookmarkEnd w:id="1723"/>
      <w:bookmarkEnd w:id="1724"/>
      <w:bookmarkEnd w:id="1726"/>
    </w:p>
    <w:p>
      <w:pPr>
        <w:pStyle w:val="Style41"/>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center"/>
        <w:tblLayout w:type="fixed"/>
      </w:tblPr>
      <w:tblGrid>
        <w:gridCol w:w="3192"/>
        <w:gridCol w:w="3192"/>
        <w:gridCol w:w="3202"/>
      </w:tblGrid>
      <w:tr>
        <w:trPr>
          <w:trHeight w:val="40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产生其他收益的来源</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政府补助</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17,943,684.49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16,566,330.67</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进项税加计抵减</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left"/>
              <w:rPr>
                <w:sz w:val="18"/>
                <w:szCs w:val="18"/>
              </w:rPr>
            </w:pPr>
            <w:r>
              <w:rPr>
                <w:rFonts w:ascii="Times New Roman" w:eastAsia="Times New Roman" w:hAnsi="Times New Roman" w:cs="Times New Roman"/>
                <w:color w:val="000000"/>
                <w:spacing w:val="0"/>
                <w:w w:val="100"/>
                <w:position w:val="0"/>
                <w:sz w:val="18"/>
                <w:szCs w:val="18"/>
              </w:rPr>
              <w:t>4,526,332.54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2,940,995.02</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代扣个人所得税手续费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left"/>
              <w:rPr>
                <w:sz w:val="18"/>
                <w:szCs w:val="18"/>
              </w:rPr>
            </w:pPr>
            <w:r>
              <w:rPr>
                <w:rFonts w:ascii="Times New Roman" w:eastAsia="Times New Roman" w:hAnsi="Times New Roman" w:cs="Times New Roman"/>
                <w:color w:val="000000"/>
                <w:spacing w:val="0"/>
                <w:w w:val="100"/>
                <w:position w:val="0"/>
                <w:sz w:val="18"/>
                <w:szCs w:val="18"/>
              </w:rPr>
              <w:t>1,912,830.35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264,381.03</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449.85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990.45</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24,383,297.23</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19,772,697.17</w:t>
            </w:r>
          </w:p>
        </w:tc>
      </w:tr>
    </w:tbl>
    <w:p>
      <w:pPr>
        <w:widowControl w:val="0"/>
        <w:spacing w:after="319" w:line="1" w:lineRule="exact"/>
      </w:pPr>
    </w:p>
    <w:p>
      <w:pPr>
        <w:pStyle w:val="Style47"/>
        <w:keepNext/>
        <w:keepLines/>
        <w:widowControl w:val="0"/>
        <w:shd w:val="clear" w:color="auto" w:fill="auto"/>
        <w:bidi w:val="0"/>
        <w:spacing w:before="0" w:after="400" w:line="240" w:lineRule="auto"/>
        <w:ind w:left="0" w:right="0" w:firstLine="0"/>
        <w:jc w:val="left"/>
      </w:pPr>
      <w:bookmarkStart w:id="1727" w:name="bookmark1727"/>
      <w:bookmarkStart w:id="1728" w:name="bookmark1728"/>
      <w:bookmarkStart w:id="1729" w:name="bookmark1729"/>
      <w:bookmarkStart w:id="1730" w:name="bookmark1730"/>
      <w:r>
        <w:rPr>
          <w:color w:val="000000"/>
          <w:spacing w:val="0"/>
          <w:w w:val="100"/>
          <w:position w:val="0"/>
        </w:rPr>
        <w:t>6</w:t>
      </w:r>
      <w:bookmarkEnd w:id="1729"/>
      <w:r>
        <w:rPr>
          <w:color w:val="000000"/>
          <w:spacing w:val="0"/>
          <w:w w:val="100"/>
          <w:position w:val="0"/>
        </w:rPr>
        <w:t>8、投资收益</w:t>
      </w:r>
      <w:bookmarkEnd w:id="1727"/>
      <w:bookmarkEnd w:id="1728"/>
      <w:bookmarkEnd w:id="1730"/>
    </w:p>
    <w:p>
      <w:pPr>
        <w:pStyle w:val="Style41"/>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center"/>
        <w:tblLayout w:type="fixed"/>
      </w:tblPr>
      <w:tblGrid>
        <w:gridCol w:w="3456"/>
        <w:gridCol w:w="3197"/>
        <w:gridCol w:w="2928"/>
      </w:tblGrid>
      <w:tr>
        <w:trPr>
          <w:trHeight w:val="40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权益法核算的长期股权投资收益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-35,173,258.69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40" w:right="0" w:firstLine="0"/>
              <w:jc w:val="left"/>
              <w:rPr>
                <w:sz w:val="18"/>
                <w:szCs w:val="18"/>
              </w:rPr>
            </w:pPr>
            <w:r>
              <w:rPr>
                <w:rFonts w:ascii="Times New Roman" w:eastAsia="Times New Roman" w:hAnsi="Times New Roman" w:cs="Times New Roman"/>
                <w:color w:val="000000"/>
                <w:spacing w:val="0"/>
                <w:w w:val="100"/>
                <w:position w:val="0"/>
                <w:sz w:val="18"/>
                <w:szCs w:val="18"/>
              </w:rPr>
              <w:t>4,370,707.89</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处置长期股权投资产生的投资收益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-1,169,386.49</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处置交易性金融资产取得的投资收益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1,046,822.51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40" w:right="0" w:firstLine="0"/>
              <w:jc w:val="left"/>
              <w:rPr>
                <w:sz w:val="18"/>
                <w:szCs w:val="18"/>
              </w:rPr>
            </w:pPr>
            <w:r>
              <w:rPr>
                <w:rFonts w:ascii="Times New Roman" w:eastAsia="Times New Roman" w:hAnsi="Times New Roman" w:cs="Times New Roman"/>
                <w:color w:val="000000"/>
                <w:spacing w:val="0"/>
                <w:w w:val="100"/>
                <w:position w:val="0"/>
                <w:sz w:val="18"/>
                <w:szCs w:val="18"/>
              </w:rPr>
              <w:t>1,158,641.94</w:t>
            </w: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丧失控制权后，剩余股权按公允价值重新计 量产生的利得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41,967,730.49</w:t>
            </w: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其他非流动金融资产在持有期间的投资收</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u w:val="single"/>
              </w:rPr>
              <w:t>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3,785,995.50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40" w:right="0" w:firstLine="0"/>
              <w:jc w:val="left"/>
              <w:rPr>
                <w:sz w:val="18"/>
                <w:szCs w:val="18"/>
              </w:rPr>
            </w:pPr>
            <w:r>
              <w:rPr>
                <w:rFonts w:ascii="Times New Roman" w:eastAsia="Times New Roman" w:hAnsi="Times New Roman" w:cs="Times New Roman"/>
                <w:color w:val="000000"/>
                <w:spacing w:val="0"/>
                <w:w w:val="100"/>
                <w:position w:val="0"/>
                <w:sz w:val="18"/>
                <w:szCs w:val="18"/>
              </w:rPr>
              <w:t>3,072,692.00</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处置其他非流动金融资产取得的投资收益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135.73</w:t>
            </w:r>
          </w:p>
        </w:tc>
      </w:tr>
      <w:tr>
        <w:trPr>
          <w:trHeight w:val="408"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11,627,289.81</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40" w:right="0" w:firstLine="0"/>
              <w:jc w:val="left"/>
              <w:rPr>
                <w:sz w:val="18"/>
                <w:szCs w:val="18"/>
              </w:rPr>
            </w:pPr>
            <w:r>
              <w:rPr>
                <w:rFonts w:ascii="Times New Roman" w:eastAsia="Times New Roman" w:hAnsi="Times New Roman" w:cs="Times New Roman"/>
                <w:color w:val="000000"/>
                <w:spacing w:val="0"/>
                <w:w w:val="100"/>
                <w:position w:val="0"/>
                <w:sz w:val="18"/>
                <w:szCs w:val="18"/>
              </w:rPr>
              <w:t>7,432,791.07</w:t>
            </w:r>
          </w:p>
        </w:tc>
      </w:tr>
    </w:tbl>
    <w:p>
      <w:pPr>
        <w:widowControl w:val="0"/>
        <w:spacing w:after="319" w:line="1" w:lineRule="exact"/>
      </w:pPr>
    </w:p>
    <w:p>
      <w:pPr>
        <w:pStyle w:val="Style47"/>
        <w:keepNext/>
        <w:keepLines/>
        <w:widowControl w:val="0"/>
        <w:shd w:val="clear" w:color="auto" w:fill="auto"/>
        <w:bidi w:val="0"/>
        <w:spacing w:before="0" w:after="400" w:line="240" w:lineRule="auto"/>
        <w:ind w:left="0" w:right="0" w:firstLine="0"/>
        <w:jc w:val="left"/>
      </w:pPr>
      <w:bookmarkStart w:id="1731" w:name="bookmark1731"/>
      <w:bookmarkStart w:id="1732" w:name="bookmark1732"/>
      <w:bookmarkStart w:id="1733" w:name="bookmark1733"/>
      <w:bookmarkStart w:id="1734" w:name="bookmark1734"/>
      <w:r>
        <w:rPr>
          <w:color w:val="000000"/>
          <w:spacing w:val="0"/>
          <w:w w:val="100"/>
          <w:position w:val="0"/>
        </w:rPr>
        <w:t>6</w:t>
      </w:r>
      <w:bookmarkEnd w:id="1733"/>
      <w:r>
        <w:rPr>
          <w:color w:val="000000"/>
          <w:spacing w:val="0"/>
          <w:w w:val="100"/>
          <w:position w:val="0"/>
        </w:rPr>
        <w:t>9、净敞口套期收益</w:t>
      </w:r>
      <w:bookmarkEnd w:id="1731"/>
      <w:bookmarkEnd w:id="1732"/>
      <w:bookmarkEnd w:id="1734"/>
    </w:p>
    <w:p>
      <w:pPr>
        <w:pStyle w:val="Style41"/>
        <w:keepNext w:val="0"/>
        <w:keepLines w:val="0"/>
        <w:widowControl w:val="0"/>
        <w:shd w:val="clear" w:color="auto" w:fill="auto"/>
        <w:bidi w:val="0"/>
        <w:spacing w:before="0" w:after="400" w:line="240" w:lineRule="auto"/>
        <w:ind w:left="0" w:right="0" w:firstLine="360"/>
        <w:jc w:val="left"/>
      </w:pPr>
      <w:r>
        <w:rPr>
          <w:color w:val="000000"/>
          <w:spacing w:val="0"/>
          <w:w w:val="100"/>
          <w:position w:val="0"/>
        </w:rPr>
        <w:t>无。</w:t>
      </w:r>
    </w:p>
    <w:p>
      <w:pPr>
        <w:pStyle w:val="Style47"/>
        <w:keepNext/>
        <w:keepLines/>
        <w:widowControl w:val="0"/>
        <w:shd w:val="clear" w:color="auto" w:fill="auto"/>
        <w:bidi w:val="0"/>
        <w:spacing w:before="0" w:after="400" w:line="240" w:lineRule="auto"/>
        <w:ind w:left="0" w:right="0" w:firstLine="0"/>
        <w:jc w:val="left"/>
      </w:pPr>
      <w:bookmarkStart w:id="1735" w:name="bookmark1735"/>
      <w:bookmarkStart w:id="1736" w:name="bookmark1736"/>
      <w:bookmarkStart w:id="1737" w:name="bookmark1737"/>
      <w:bookmarkStart w:id="1738" w:name="bookmark1738"/>
      <w:r>
        <w:rPr>
          <w:color w:val="000000"/>
          <w:spacing w:val="0"/>
          <w:w w:val="100"/>
          <w:position w:val="0"/>
        </w:rPr>
        <w:t>7</w:t>
      </w:r>
      <w:bookmarkEnd w:id="1737"/>
      <w:r>
        <w:rPr>
          <w:color w:val="000000"/>
          <w:spacing w:val="0"/>
          <w:w w:val="100"/>
          <w:position w:val="0"/>
        </w:rPr>
        <w:t>0、公允价值变动收益</w:t>
      </w:r>
      <w:bookmarkEnd w:id="1735"/>
      <w:bookmarkEnd w:id="1736"/>
      <w:bookmarkEnd w:id="1738"/>
    </w:p>
    <w:p>
      <w:pPr>
        <w:pStyle w:val="Style41"/>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center"/>
        <w:tblLayout w:type="fixed"/>
      </w:tblPr>
      <w:tblGrid>
        <w:gridCol w:w="3192"/>
        <w:gridCol w:w="3192"/>
        <w:gridCol w:w="3202"/>
      </w:tblGrid>
      <w:tr>
        <w:trPr>
          <w:trHeight w:val="40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420"/>
              <w:jc w:val="left"/>
            </w:pPr>
            <w:r>
              <w:rPr>
                <w:color w:val="000000"/>
                <w:spacing w:val="0"/>
                <w:w w:val="100"/>
                <w:position w:val="0"/>
              </w:rPr>
              <w:t>产生公允价值变动收益的来源</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交易性金融资产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891,819.22</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其他非流动金融资产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left"/>
              <w:rPr>
                <w:sz w:val="18"/>
                <w:szCs w:val="18"/>
              </w:rPr>
            </w:pPr>
            <w:r>
              <w:rPr>
                <w:rFonts w:ascii="Times New Roman" w:eastAsia="Times New Roman" w:hAnsi="Times New Roman" w:cs="Times New Roman"/>
                <w:color w:val="000000"/>
                <w:spacing w:val="0"/>
                <w:w w:val="100"/>
                <w:position w:val="0"/>
                <w:sz w:val="18"/>
                <w:szCs w:val="18"/>
              </w:rPr>
              <w:t>8,618,349.13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-135,892,059.21</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left"/>
              <w:rPr>
                <w:sz w:val="18"/>
                <w:szCs w:val="18"/>
              </w:rPr>
            </w:pPr>
            <w:r>
              <w:rPr>
                <w:rFonts w:ascii="Times New Roman" w:eastAsia="Times New Roman" w:hAnsi="Times New Roman" w:cs="Times New Roman"/>
                <w:color w:val="000000"/>
                <w:spacing w:val="0"/>
                <w:w w:val="100"/>
                <w:position w:val="0"/>
                <w:sz w:val="18"/>
                <w:szCs w:val="18"/>
              </w:rPr>
              <w:t>9,510,168.35</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-135,892,059.21</w:t>
            </w:r>
          </w:p>
        </w:tc>
      </w:tr>
    </w:tbl>
    <w:p>
      <w:pPr>
        <w:widowControl w:val="0"/>
        <w:spacing w:after="319" w:line="1" w:lineRule="exact"/>
      </w:pPr>
    </w:p>
    <w:p>
      <w:pPr>
        <w:pStyle w:val="Style47"/>
        <w:keepNext/>
        <w:keepLines/>
        <w:widowControl w:val="0"/>
        <w:shd w:val="clear" w:color="auto" w:fill="auto"/>
        <w:bidi w:val="0"/>
        <w:spacing w:before="0" w:after="400" w:line="240" w:lineRule="auto"/>
        <w:ind w:left="0" w:right="0" w:firstLine="0"/>
        <w:jc w:val="left"/>
      </w:pPr>
      <w:bookmarkStart w:id="1739" w:name="bookmark1739"/>
      <w:bookmarkStart w:id="1740" w:name="bookmark1740"/>
      <w:bookmarkStart w:id="1741" w:name="bookmark1741"/>
      <w:bookmarkStart w:id="1742" w:name="bookmark1742"/>
      <w:r>
        <w:rPr>
          <w:color w:val="000000"/>
          <w:spacing w:val="0"/>
          <w:w w:val="100"/>
          <w:position w:val="0"/>
        </w:rPr>
        <w:t>7</w:t>
      </w:r>
      <w:bookmarkEnd w:id="1741"/>
      <w:r>
        <w:rPr>
          <w:color w:val="000000"/>
          <w:spacing w:val="0"/>
          <w:w w:val="100"/>
          <w:position w:val="0"/>
        </w:rPr>
        <w:t>1、信用减值损失</w:t>
      </w:r>
      <w:bookmarkEnd w:id="1739"/>
      <w:bookmarkEnd w:id="1740"/>
      <w:bookmarkEnd w:id="1742"/>
    </w:p>
    <w:p>
      <w:pPr>
        <w:pStyle w:val="Style41"/>
        <w:keepNext w:val="0"/>
        <w:keepLines w:val="0"/>
        <w:widowControl w:val="0"/>
        <w:shd w:val="clear" w:color="auto" w:fill="auto"/>
        <w:bidi w:val="0"/>
        <w:spacing w:before="0" w:after="360" w:line="240" w:lineRule="auto"/>
        <w:ind w:left="8940" w:right="0" w:firstLine="0"/>
        <w:jc w:val="left"/>
      </w:pPr>
      <w:r>
        <w:rPr>
          <w:color w:val="000000"/>
          <w:spacing w:val="0"/>
          <w:w w:val="100"/>
          <w:position w:val="0"/>
        </w:rPr>
        <w:t>单位：元</w:t>
      </w:r>
      <w:r>
        <w:br w:type="page"/>
      </w:r>
    </w:p>
    <w:tbl>
      <w:tblPr>
        <w:tblOverlap w:val="never"/>
        <w:jc w:val="center"/>
        <w:tblLayout w:type="fixed"/>
      </w:tblPr>
      <w:tblGrid>
        <w:gridCol w:w="3192"/>
        <w:gridCol w:w="3192"/>
        <w:gridCol w:w="3202"/>
      </w:tblGrid>
      <w:tr>
        <w:trPr>
          <w:trHeight w:val="40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其他应收款坏账损失</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-6,445,336.97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-325,274,627.64</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应收票据坏账损失</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204,060.60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-112,026.10</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应收账款坏账损失</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-38,318,929.33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-20,991,500.16</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-44,560,205.70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-346,378,153.90</w:t>
            </w:r>
          </w:p>
        </w:tc>
      </w:tr>
    </w:tbl>
    <w:p>
      <w:pPr>
        <w:widowControl w:val="0"/>
        <w:spacing w:after="319" w:line="1" w:lineRule="exact"/>
      </w:pPr>
    </w:p>
    <w:p>
      <w:pPr>
        <w:pStyle w:val="Style47"/>
        <w:keepNext/>
        <w:keepLines/>
        <w:widowControl w:val="0"/>
        <w:shd w:val="clear" w:color="auto" w:fill="auto"/>
        <w:bidi w:val="0"/>
        <w:spacing w:before="0" w:after="400" w:line="240" w:lineRule="auto"/>
        <w:ind w:left="0" w:right="0" w:firstLine="0"/>
        <w:jc w:val="left"/>
      </w:pPr>
      <w:bookmarkStart w:id="1743" w:name="bookmark1743"/>
      <w:bookmarkStart w:id="1744" w:name="bookmark1744"/>
      <w:bookmarkStart w:id="1745" w:name="bookmark1745"/>
      <w:bookmarkStart w:id="1746" w:name="bookmark1746"/>
      <w:r>
        <w:rPr>
          <w:color w:val="000000"/>
          <w:spacing w:val="0"/>
          <w:w w:val="100"/>
          <w:position w:val="0"/>
        </w:rPr>
        <w:t>7</w:t>
      </w:r>
      <w:bookmarkEnd w:id="1745"/>
      <w:r>
        <w:rPr>
          <w:color w:val="000000"/>
          <w:spacing w:val="0"/>
          <w:w w:val="100"/>
          <w:position w:val="0"/>
        </w:rPr>
        <w:t>2、资产减值损失</w:t>
      </w:r>
      <w:bookmarkEnd w:id="1743"/>
      <w:bookmarkEnd w:id="1744"/>
      <w:bookmarkEnd w:id="1746"/>
    </w:p>
    <w:p>
      <w:pPr>
        <w:pStyle w:val="Style41"/>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center"/>
        <w:tblLayout w:type="fixed"/>
      </w:tblPr>
      <w:tblGrid>
        <w:gridCol w:w="3547"/>
        <w:gridCol w:w="3014"/>
        <w:gridCol w:w="3024"/>
      </w:tblGrid>
      <w:tr>
        <w:trPr>
          <w:trHeight w:val="40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一、存货跌价损失及合同履约成本减值损失</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-2,024,656.42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-615,384.62</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二、长期股权投资减值损失</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-61,532,111.30</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三、无形资产减值损失</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-70,668,706.39</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四、商誉减值损失</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-468,693,784.54</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-2,024,656.42</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-601,509,986.85</w:t>
            </w:r>
          </w:p>
        </w:tc>
      </w:tr>
    </w:tbl>
    <w:p>
      <w:pPr>
        <w:widowControl w:val="0"/>
        <w:spacing w:after="319" w:line="1" w:lineRule="exact"/>
      </w:pPr>
    </w:p>
    <w:p>
      <w:pPr>
        <w:pStyle w:val="Style47"/>
        <w:keepNext/>
        <w:keepLines/>
        <w:widowControl w:val="0"/>
        <w:shd w:val="clear" w:color="auto" w:fill="auto"/>
        <w:bidi w:val="0"/>
        <w:spacing w:before="0" w:after="400" w:line="240" w:lineRule="auto"/>
        <w:ind w:left="0" w:right="0" w:firstLine="0"/>
        <w:jc w:val="left"/>
      </w:pPr>
      <w:bookmarkStart w:id="1747" w:name="bookmark1747"/>
      <w:bookmarkStart w:id="1748" w:name="bookmark1748"/>
      <w:bookmarkStart w:id="1749" w:name="bookmark1749"/>
      <w:bookmarkStart w:id="1750" w:name="bookmark1750"/>
      <w:r>
        <w:rPr>
          <w:color w:val="000000"/>
          <w:spacing w:val="0"/>
          <w:w w:val="100"/>
          <w:position w:val="0"/>
        </w:rPr>
        <w:t>7</w:t>
      </w:r>
      <w:bookmarkEnd w:id="1749"/>
      <w:r>
        <w:rPr>
          <w:color w:val="000000"/>
          <w:spacing w:val="0"/>
          <w:w w:val="100"/>
          <w:position w:val="0"/>
        </w:rPr>
        <w:t>3、资产处置收益</w:t>
      </w:r>
      <w:bookmarkEnd w:id="1747"/>
      <w:bookmarkEnd w:id="1748"/>
      <w:bookmarkEnd w:id="1750"/>
    </w:p>
    <w:p>
      <w:pPr>
        <w:pStyle w:val="Style41"/>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center"/>
        <w:tblLayout w:type="fixed"/>
      </w:tblPr>
      <w:tblGrid>
        <w:gridCol w:w="3192"/>
        <w:gridCol w:w="3192"/>
        <w:gridCol w:w="3202"/>
      </w:tblGrid>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资产处置收益的来源</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非流动资产处置利得</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27,099.18</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87,739.53</w:t>
            </w:r>
          </w:p>
        </w:tc>
      </w:tr>
    </w:tbl>
    <w:p>
      <w:pPr>
        <w:widowControl w:val="0"/>
        <w:spacing w:after="319" w:line="1" w:lineRule="exact"/>
      </w:pPr>
    </w:p>
    <w:p>
      <w:pPr>
        <w:pStyle w:val="Style47"/>
        <w:keepNext/>
        <w:keepLines/>
        <w:widowControl w:val="0"/>
        <w:shd w:val="clear" w:color="auto" w:fill="auto"/>
        <w:bidi w:val="0"/>
        <w:spacing w:before="0" w:after="400" w:line="240" w:lineRule="auto"/>
        <w:ind w:left="0" w:right="0" w:firstLine="0"/>
        <w:jc w:val="left"/>
      </w:pPr>
      <w:bookmarkStart w:id="1751" w:name="bookmark1751"/>
      <w:bookmarkStart w:id="1752" w:name="bookmark1752"/>
      <w:bookmarkStart w:id="1753" w:name="bookmark1753"/>
      <w:bookmarkStart w:id="1754" w:name="bookmark1754"/>
      <w:r>
        <w:rPr>
          <w:color w:val="000000"/>
          <w:spacing w:val="0"/>
          <w:w w:val="100"/>
          <w:position w:val="0"/>
        </w:rPr>
        <w:t>7</w:t>
      </w:r>
      <w:bookmarkEnd w:id="1753"/>
      <w:r>
        <w:rPr>
          <w:color w:val="000000"/>
          <w:spacing w:val="0"/>
          <w:w w:val="100"/>
          <w:position w:val="0"/>
        </w:rPr>
        <w:t>4、营业外收入</w:t>
      </w:r>
      <w:bookmarkEnd w:id="1751"/>
      <w:bookmarkEnd w:id="1752"/>
      <w:bookmarkEnd w:id="1754"/>
    </w:p>
    <w:p>
      <w:pPr>
        <w:pStyle w:val="Style41"/>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center"/>
        <w:tblLayout w:type="fixed"/>
      </w:tblPr>
      <w:tblGrid>
        <w:gridCol w:w="2395"/>
        <w:gridCol w:w="2395"/>
        <w:gridCol w:w="2390"/>
        <w:gridCol w:w="2400"/>
      </w:tblGrid>
      <w:tr>
        <w:trPr>
          <w:trHeight w:val="720"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1000"/>
              <w:jc w:val="left"/>
            </w:pPr>
            <w:r>
              <w:rPr>
                <w:color w:val="000000"/>
                <w:spacing w:val="0"/>
                <w:w w:val="100"/>
                <w:position w:val="0"/>
              </w:rPr>
              <w:t>项目</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计入当期非经常性损益的金 额</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赔款收入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540" w:right="0" w:firstLine="0"/>
              <w:jc w:val="left"/>
              <w:rPr>
                <w:sz w:val="18"/>
                <w:szCs w:val="18"/>
              </w:rPr>
            </w:pPr>
            <w:r>
              <w:rPr>
                <w:rFonts w:ascii="Times New Roman" w:eastAsia="Times New Roman" w:hAnsi="Times New Roman" w:cs="Times New Roman"/>
                <w:color w:val="000000"/>
                <w:spacing w:val="0"/>
                <w:w w:val="100"/>
                <w:position w:val="0"/>
                <w:sz w:val="18"/>
                <w:szCs w:val="18"/>
              </w:rPr>
              <w:t>216,000.00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88,745.00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560" w:right="0" w:firstLine="0"/>
              <w:jc w:val="left"/>
              <w:rPr>
                <w:sz w:val="18"/>
                <w:szCs w:val="18"/>
              </w:rPr>
            </w:pPr>
            <w:r>
              <w:rPr>
                <w:rFonts w:ascii="Times New Roman" w:eastAsia="Times New Roman" w:hAnsi="Times New Roman" w:cs="Times New Roman"/>
                <w:color w:val="000000"/>
                <w:spacing w:val="0"/>
                <w:w w:val="100"/>
                <w:position w:val="0"/>
                <w:sz w:val="18"/>
                <w:szCs w:val="18"/>
              </w:rPr>
              <w:t>216,000.00</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540" w:right="0" w:firstLine="0"/>
              <w:jc w:val="left"/>
              <w:rPr>
                <w:sz w:val="18"/>
                <w:szCs w:val="18"/>
              </w:rPr>
            </w:pPr>
            <w:r>
              <w:rPr>
                <w:rFonts w:ascii="Times New Roman" w:eastAsia="Times New Roman" w:hAnsi="Times New Roman" w:cs="Times New Roman"/>
                <w:color w:val="000000"/>
                <w:spacing w:val="0"/>
                <w:w w:val="100"/>
                <w:position w:val="0"/>
                <w:sz w:val="18"/>
                <w:szCs w:val="18"/>
              </w:rPr>
              <w:t>127,297.29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162,969.41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560" w:right="0" w:firstLine="0"/>
              <w:jc w:val="left"/>
              <w:rPr>
                <w:sz w:val="18"/>
                <w:szCs w:val="18"/>
              </w:rPr>
            </w:pPr>
            <w:r>
              <w:rPr>
                <w:rFonts w:ascii="Times New Roman" w:eastAsia="Times New Roman" w:hAnsi="Times New Roman" w:cs="Times New Roman"/>
                <w:color w:val="000000"/>
                <w:spacing w:val="0"/>
                <w:w w:val="100"/>
                <w:position w:val="0"/>
                <w:sz w:val="18"/>
                <w:szCs w:val="18"/>
              </w:rPr>
              <w:t>127,297.29</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540" w:right="0" w:firstLine="0"/>
              <w:jc w:val="left"/>
              <w:rPr>
                <w:sz w:val="18"/>
                <w:szCs w:val="18"/>
              </w:rPr>
            </w:pPr>
            <w:r>
              <w:rPr>
                <w:rFonts w:ascii="Times New Roman" w:eastAsia="Times New Roman" w:hAnsi="Times New Roman" w:cs="Times New Roman"/>
                <w:color w:val="000000"/>
                <w:spacing w:val="0"/>
                <w:w w:val="100"/>
                <w:position w:val="0"/>
                <w:sz w:val="18"/>
                <w:szCs w:val="18"/>
              </w:rPr>
              <w:t>343,297.29</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251,714.41</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560" w:right="0" w:firstLine="0"/>
              <w:jc w:val="left"/>
              <w:rPr>
                <w:sz w:val="18"/>
                <w:szCs w:val="18"/>
              </w:rPr>
            </w:pPr>
            <w:r>
              <w:rPr>
                <w:rFonts w:ascii="Times New Roman" w:eastAsia="Times New Roman" w:hAnsi="Times New Roman" w:cs="Times New Roman"/>
                <w:color w:val="000000"/>
                <w:spacing w:val="0"/>
                <w:w w:val="100"/>
                <w:position w:val="0"/>
                <w:sz w:val="18"/>
                <w:szCs w:val="18"/>
              </w:rPr>
              <w:t>343,297.29</w:t>
            </w:r>
          </w:p>
        </w:tc>
      </w:tr>
    </w:tbl>
    <w:p>
      <w:pPr>
        <w:widowControl w:val="0"/>
        <w:spacing w:after="319" w:line="1" w:lineRule="exact"/>
      </w:pPr>
    </w:p>
    <w:p>
      <w:pPr>
        <w:pStyle w:val="Style47"/>
        <w:keepNext/>
        <w:keepLines/>
        <w:widowControl w:val="0"/>
        <w:shd w:val="clear" w:color="auto" w:fill="auto"/>
        <w:bidi w:val="0"/>
        <w:spacing w:before="0" w:after="400" w:line="240" w:lineRule="auto"/>
        <w:ind w:left="0" w:right="0" w:firstLine="0"/>
        <w:jc w:val="left"/>
      </w:pPr>
      <w:bookmarkStart w:id="1755" w:name="bookmark1755"/>
      <w:bookmarkStart w:id="1756" w:name="bookmark1756"/>
      <w:bookmarkStart w:id="1757" w:name="bookmark1757"/>
      <w:bookmarkStart w:id="1758" w:name="bookmark1758"/>
      <w:r>
        <w:rPr>
          <w:color w:val="000000"/>
          <w:spacing w:val="0"/>
          <w:w w:val="100"/>
          <w:position w:val="0"/>
        </w:rPr>
        <w:t>7</w:t>
      </w:r>
      <w:bookmarkEnd w:id="1757"/>
      <w:r>
        <w:rPr>
          <w:color w:val="000000"/>
          <w:spacing w:val="0"/>
          <w:w w:val="100"/>
          <w:position w:val="0"/>
        </w:rPr>
        <w:t>5、营业外支出</w:t>
      </w:r>
      <w:bookmarkEnd w:id="1755"/>
      <w:bookmarkEnd w:id="1756"/>
      <w:bookmarkEnd w:id="1758"/>
    </w:p>
    <w:p>
      <w:pPr>
        <w:pStyle w:val="Style41"/>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center"/>
        <w:tblLayout w:type="fixed"/>
      </w:tblPr>
      <w:tblGrid>
        <w:gridCol w:w="2395"/>
        <w:gridCol w:w="2290"/>
        <w:gridCol w:w="2410"/>
        <w:gridCol w:w="2486"/>
      </w:tblGrid>
      <w:tr>
        <w:trPr>
          <w:trHeight w:val="40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1000"/>
              <w:jc w:val="left"/>
            </w:pPr>
            <w:r>
              <w:rPr>
                <w:color w:val="000000"/>
                <w:spacing w:val="0"/>
                <w:w w:val="100"/>
                <w:position w:val="0"/>
              </w:rPr>
              <w:t>项目</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计入当期非经常性损益的金额</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非流动资产毁损报废损失</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40" w:right="0" w:firstLine="0"/>
              <w:jc w:val="left"/>
              <w:rPr>
                <w:sz w:val="18"/>
                <w:szCs w:val="18"/>
              </w:rPr>
            </w:pPr>
            <w:r>
              <w:rPr>
                <w:rFonts w:ascii="Times New Roman" w:eastAsia="Times New Roman" w:hAnsi="Times New Roman" w:cs="Times New Roman"/>
                <w:color w:val="000000"/>
                <w:spacing w:val="0"/>
                <w:w w:val="100"/>
                <w:position w:val="0"/>
                <w:sz w:val="18"/>
                <w:szCs w:val="18"/>
              </w:rPr>
              <w:t>146,588.23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1,231,492.10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146,588.23</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非常损失【注】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9,779,372.92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9,779,372.92</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40" w:right="0" w:firstLine="0"/>
              <w:jc w:val="left"/>
              <w:rPr>
                <w:sz w:val="18"/>
                <w:szCs w:val="18"/>
              </w:rPr>
            </w:pPr>
            <w:r>
              <w:rPr>
                <w:rFonts w:ascii="Times New Roman" w:eastAsia="Times New Roman" w:hAnsi="Times New Roman" w:cs="Times New Roman"/>
                <w:color w:val="000000"/>
                <w:spacing w:val="0"/>
                <w:w w:val="100"/>
                <w:position w:val="0"/>
                <w:sz w:val="18"/>
                <w:szCs w:val="18"/>
              </w:rPr>
              <w:t>390,062.40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1,698,617.57</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390,062.40</w:t>
            </w:r>
          </w:p>
        </w:tc>
      </w:tr>
    </w:tbl>
    <w:p>
      <w:pPr>
        <w:widowControl w:val="0"/>
        <w:spacing w:line="1" w:lineRule="exact"/>
        <w:sectPr>
          <w:headerReference w:type="default" r:id="rId417"/>
          <w:footerReference w:type="default" r:id="rId418"/>
          <w:headerReference w:type="even" r:id="rId419"/>
          <w:footerReference w:type="even" r:id="rId420"/>
          <w:headerReference w:type="first" r:id="rId421"/>
          <w:footerReference w:type="first" r:id="rId422"/>
          <w:footnotePr>
            <w:pos w:val="pageBottom"/>
            <w:numFmt w:val="decimal"/>
            <w:numRestart w:val="continuous"/>
          </w:footnotePr>
          <w:pgSz w:w="11904" w:h="17375"/>
          <w:pgMar w:top="1676" w:right="1022" w:bottom="1674" w:left="1004" w:header="0" w:footer="3" w:gutter="0"/>
          <w:cols w:space="720"/>
          <w:noEndnote/>
          <w:titlePg/>
          <w:rtlGutter w:val="0"/>
          <w:docGrid w:linePitch="360"/>
        </w:sectPr>
      </w:pPr>
    </w:p>
    <w:tbl>
      <w:tblPr>
        <w:tblOverlap w:val="never"/>
        <w:jc w:val="center"/>
        <w:tblLayout w:type="fixed"/>
      </w:tblPr>
      <w:tblGrid>
        <w:gridCol w:w="2395"/>
        <w:gridCol w:w="2290"/>
        <w:gridCol w:w="2410"/>
        <w:gridCol w:w="2486"/>
      </w:tblGrid>
      <w:tr>
        <w:trPr>
          <w:trHeight w:val="418"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10,316,023.55</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2,930,109.67</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10,316,023.55</w:t>
            </w:r>
          </w:p>
        </w:tc>
      </w:tr>
    </w:tbl>
    <w:p>
      <w:pPr>
        <w:pStyle w:val="Style41"/>
        <w:keepNext w:val="0"/>
        <w:keepLines w:val="0"/>
        <w:widowControl w:val="0"/>
        <w:shd w:val="clear" w:color="auto" w:fill="auto"/>
        <w:bidi w:val="0"/>
        <w:spacing w:before="0" w:after="460" w:line="466" w:lineRule="exact"/>
        <w:ind w:left="0" w:right="0" w:firstLine="0"/>
        <w:jc w:val="both"/>
      </w:pPr>
      <w:r>
        <w:rPr>
          <w:color w:val="000000"/>
          <w:spacing w:val="0"/>
          <w:w w:val="100"/>
          <w:position w:val="0"/>
        </w:rPr>
        <w:t>注：本期，中国证券监督管理委员会北京监管局在对辖区内上市公司的现场检查工作中，通过对公司和大唐电信科技股份有 限公司（以下简称</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大唐电信</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）历史业务资料的比对，及对公安机关掌握的卷宗的查证后，认为公司从北京实利通和科技发 展有限公司及其关联方采购，销售给大唐电信及其关联方的购销业务客观上构成三方循环贸易。根据现场检查中得知的新情 况及结果认定和处理意见，公司将上述购销业务作为整体，消除由于上述历史交易产生的累积影响。公司根据上述最新情况， 将以前年度开展的相关计算机硬件购销业务已累计确认的毛利形成的应收款项净值</w:t>
      </w:r>
      <w:r>
        <w:rPr>
          <w:rFonts w:ascii="Times New Roman" w:eastAsia="Times New Roman" w:hAnsi="Times New Roman" w:cs="Times New Roman"/>
          <w:color w:val="000000"/>
          <w:spacing w:val="0"/>
          <w:w w:val="100"/>
          <w:position w:val="0"/>
          <w:sz w:val="18"/>
          <w:szCs w:val="18"/>
        </w:rPr>
        <w:t>977.94</w:t>
      </w:r>
      <w:r>
        <w:rPr>
          <w:color w:val="000000"/>
          <w:spacing w:val="0"/>
          <w:w w:val="100"/>
          <w:position w:val="0"/>
        </w:rPr>
        <w:t>万元（原值</w:t>
      </w:r>
      <w:r>
        <w:rPr>
          <w:rFonts w:ascii="Times New Roman" w:eastAsia="Times New Roman" w:hAnsi="Times New Roman" w:cs="Times New Roman"/>
          <w:color w:val="000000"/>
          <w:spacing w:val="0"/>
          <w:w w:val="100"/>
          <w:position w:val="0"/>
          <w:sz w:val="18"/>
          <w:szCs w:val="18"/>
        </w:rPr>
        <w:t>9,779.37</w:t>
      </w:r>
      <w:r>
        <w:rPr>
          <w:color w:val="000000"/>
          <w:spacing w:val="0"/>
          <w:w w:val="100"/>
          <w:position w:val="0"/>
        </w:rPr>
        <w:t>万元，坏账准 备</w:t>
      </w:r>
      <w:r>
        <w:rPr>
          <w:rFonts w:ascii="Times New Roman" w:eastAsia="Times New Roman" w:hAnsi="Times New Roman" w:cs="Times New Roman"/>
          <w:color w:val="000000"/>
          <w:spacing w:val="0"/>
          <w:w w:val="100"/>
          <w:position w:val="0"/>
          <w:sz w:val="18"/>
          <w:szCs w:val="18"/>
        </w:rPr>
        <w:t>8,801.43</w:t>
      </w:r>
      <w:r>
        <w:rPr>
          <w:color w:val="000000"/>
          <w:spacing w:val="0"/>
          <w:w w:val="100"/>
          <w:position w:val="0"/>
        </w:rPr>
        <w:t>万元）作为非常损失在当年进行确认。</w:t>
      </w:r>
    </w:p>
    <w:p>
      <w:pPr>
        <w:pStyle w:val="Style47"/>
        <w:keepNext/>
        <w:keepLines/>
        <w:widowControl w:val="0"/>
        <w:shd w:val="clear" w:color="auto" w:fill="auto"/>
        <w:bidi w:val="0"/>
        <w:spacing w:before="0" w:after="400" w:line="240" w:lineRule="auto"/>
        <w:ind w:left="0" w:right="0" w:firstLine="0"/>
        <w:jc w:val="both"/>
      </w:pPr>
      <w:bookmarkStart w:id="1759" w:name="bookmark1759"/>
      <w:bookmarkStart w:id="1760" w:name="bookmark1760"/>
      <w:bookmarkStart w:id="1761" w:name="bookmark1761"/>
      <w:bookmarkStart w:id="1762" w:name="bookmark1762"/>
      <w:r>
        <w:rPr>
          <w:color w:val="000000"/>
          <w:spacing w:val="0"/>
          <w:w w:val="100"/>
          <w:position w:val="0"/>
        </w:rPr>
        <w:t>7</w:t>
      </w:r>
      <w:bookmarkEnd w:id="1761"/>
      <w:r>
        <w:rPr>
          <w:color w:val="000000"/>
          <w:spacing w:val="0"/>
          <w:w w:val="100"/>
          <w:position w:val="0"/>
        </w:rPr>
        <w:t>6、所得税费用</w:t>
      </w:r>
      <w:bookmarkEnd w:id="1759"/>
      <w:bookmarkEnd w:id="1760"/>
      <w:bookmarkEnd w:id="1762"/>
    </w:p>
    <w:p>
      <w:pPr>
        <w:pStyle w:val="Style58"/>
        <w:keepNext/>
        <w:keepLines/>
        <w:widowControl w:val="0"/>
        <w:shd w:val="clear" w:color="auto" w:fill="auto"/>
        <w:bidi w:val="0"/>
        <w:spacing w:before="0" w:after="400" w:line="240" w:lineRule="auto"/>
        <w:ind w:left="0" w:right="0" w:firstLine="0"/>
        <w:jc w:val="both"/>
        <w:rPr>
          <w:sz w:val="20"/>
          <w:szCs w:val="20"/>
        </w:rPr>
      </w:pPr>
      <w:bookmarkStart w:id="1763" w:name="bookmark1763"/>
      <w:bookmarkStart w:id="1764" w:name="bookmark1764"/>
      <w:bookmarkStart w:id="1765" w:name="bookmark1765"/>
      <w:r>
        <w:rPr>
          <w:b/>
          <w:bCs/>
          <w:color w:val="000000"/>
          <w:spacing w:val="0"/>
          <w:w w:val="100"/>
          <w:position w:val="0"/>
          <w:sz w:val="20"/>
          <w:szCs w:val="20"/>
        </w:rPr>
        <w:t>（1）所得税费用表</w:t>
      </w:r>
      <w:bookmarkEnd w:id="1763"/>
      <w:bookmarkEnd w:id="1764"/>
      <w:bookmarkEnd w:id="1765"/>
    </w:p>
    <w:p>
      <w:pPr>
        <w:pStyle w:val="Style41"/>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3192"/>
        <w:gridCol w:w="3192"/>
        <w:gridCol w:w="3202"/>
      </w:tblGrid>
      <w:tr>
        <w:trPr>
          <w:trHeight w:val="40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当期所得税费用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83,793,120.12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-1,234,702.37</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递延所得税费用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1,260,715.63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11,958,797.00</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85,053,835.75</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10,724,094.63</w:t>
            </w:r>
          </w:p>
        </w:tc>
      </w:tr>
    </w:tbl>
    <w:p>
      <w:pPr>
        <w:widowControl w:val="0"/>
        <w:spacing w:after="319" w:line="1" w:lineRule="exact"/>
      </w:pPr>
    </w:p>
    <w:p>
      <w:pPr>
        <w:pStyle w:val="Style58"/>
        <w:keepNext/>
        <w:keepLines/>
        <w:widowControl w:val="0"/>
        <w:shd w:val="clear" w:color="auto" w:fill="auto"/>
        <w:bidi w:val="0"/>
        <w:spacing w:before="0" w:after="400" w:line="240" w:lineRule="auto"/>
        <w:ind w:left="0" w:right="0" w:firstLine="0"/>
        <w:jc w:val="both"/>
        <w:rPr>
          <w:sz w:val="20"/>
          <w:szCs w:val="20"/>
        </w:rPr>
      </w:pPr>
      <w:bookmarkStart w:id="1766" w:name="bookmark1766"/>
      <w:bookmarkStart w:id="1767" w:name="bookmark1767"/>
      <w:bookmarkStart w:id="1768" w:name="bookmark1768"/>
      <w:r>
        <w:rPr>
          <w:b/>
          <w:bCs/>
          <w:color w:val="000000"/>
          <w:spacing w:val="0"/>
          <w:w w:val="100"/>
          <w:position w:val="0"/>
          <w:sz w:val="20"/>
          <w:szCs w:val="20"/>
        </w:rPr>
        <w:t>（2）会计利润与所得税费用调整过程</w:t>
      </w:r>
      <w:bookmarkEnd w:id="1766"/>
      <w:bookmarkEnd w:id="1767"/>
      <w:bookmarkEnd w:id="1768"/>
    </w:p>
    <w:p>
      <w:pPr>
        <w:pStyle w:val="Style41"/>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4786"/>
        <w:gridCol w:w="4795"/>
      </w:tblGrid>
      <w:tr>
        <w:trPr>
          <w:trHeight w:val="40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利润总额</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412,401,271.61</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按法定</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适用税率计算的所得税费用</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720" w:right="0" w:firstLine="0"/>
              <w:jc w:val="left"/>
              <w:rPr>
                <w:sz w:val="18"/>
                <w:szCs w:val="18"/>
              </w:rPr>
            </w:pPr>
            <w:r>
              <w:rPr>
                <w:rFonts w:ascii="Times New Roman" w:eastAsia="Times New Roman" w:hAnsi="Times New Roman" w:cs="Times New Roman"/>
                <w:color w:val="000000"/>
                <w:spacing w:val="0"/>
                <w:w w:val="100"/>
                <w:position w:val="0"/>
                <w:sz w:val="18"/>
                <w:szCs w:val="18"/>
              </w:rPr>
              <w:t>61,860,190.74</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子公司适用不同税率的影响</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720" w:right="0" w:firstLine="0"/>
              <w:jc w:val="both"/>
              <w:rPr>
                <w:sz w:val="18"/>
                <w:szCs w:val="18"/>
              </w:rPr>
            </w:pPr>
            <w:r>
              <w:rPr>
                <w:rFonts w:ascii="Times New Roman" w:eastAsia="Times New Roman" w:hAnsi="Times New Roman" w:cs="Times New Roman"/>
                <w:color w:val="000000"/>
                <w:spacing w:val="0"/>
                <w:w w:val="100"/>
                <w:position w:val="0"/>
                <w:sz w:val="18"/>
                <w:szCs w:val="18"/>
              </w:rPr>
              <w:t>-6,127,768.89</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调整以前期间所得税的影响</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720" w:right="0" w:firstLine="0"/>
              <w:jc w:val="both"/>
              <w:rPr>
                <w:sz w:val="18"/>
                <w:szCs w:val="18"/>
              </w:rPr>
            </w:pPr>
            <w:r>
              <w:rPr>
                <w:rFonts w:ascii="Times New Roman" w:eastAsia="Times New Roman" w:hAnsi="Times New Roman" w:cs="Times New Roman"/>
                <w:color w:val="000000"/>
                <w:spacing w:val="0"/>
                <w:w w:val="100"/>
                <w:position w:val="0"/>
                <w:sz w:val="18"/>
                <w:szCs w:val="18"/>
              </w:rPr>
              <w:t>-2,876,951.84</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非应税收入的影响</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720" w:right="0" w:firstLine="0"/>
              <w:jc w:val="both"/>
              <w:rPr>
                <w:sz w:val="18"/>
                <w:szCs w:val="18"/>
              </w:rPr>
            </w:pPr>
            <w:r>
              <w:rPr>
                <w:rFonts w:ascii="Times New Roman" w:eastAsia="Times New Roman" w:hAnsi="Times New Roman" w:cs="Times New Roman"/>
                <w:color w:val="000000"/>
                <w:spacing w:val="0"/>
                <w:w w:val="100"/>
                <w:position w:val="0"/>
                <w:sz w:val="18"/>
                <w:szCs w:val="18"/>
              </w:rPr>
              <w:t>-2,001,720.53</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不可抵扣的成本、费用和损失的影响</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9,279,621.76</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使用前期未确认递延所得税资产的可抵扣亏损的影响</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720" w:right="0" w:firstLine="0"/>
              <w:jc w:val="both"/>
              <w:rPr>
                <w:sz w:val="18"/>
                <w:szCs w:val="18"/>
              </w:rPr>
            </w:pPr>
            <w:r>
              <w:rPr>
                <w:rFonts w:ascii="Times New Roman" w:eastAsia="Times New Roman" w:hAnsi="Times New Roman" w:cs="Times New Roman"/>
                <w:color w:val="000000"/>
                <w:spacing w:val="0"/>
                <w:w w:val="100"/>
                <w:position w:val="0"/>
                <w:sz w:val="18"/>
                <w:szCs w:val="18"/>
              </w:rPr>
              <w:t>-4,622,716.10</w:t>
            </w: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本期未确认递延所得税资产的可抵扣暂时性差异或可抵扣亏 损的影响</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720" w:right="0" w:firstLine="0"/>
              <w:jc w:val="left"/>
              <w:rPr>
                <w:sz w:val="18"/>
                <w:szCs w:val="18"/>
              </w:rPr>
            </w:pPr>
            <w:r>
              <w:rPr>
                <w:rFonts w:ascii="Times New Roman" w:eastAsia="Times New Roman" w:hAnsi="Times New Roman" w:cs="Times New Roman"/>
                <w:color w:val="000000"/>
                <w:spacing w:val="0"/>
                <w:w w:val="100"/>
                <w:position w:val="0"/>
                <w:sz w:val="18"/>
                <w:szCs w:val="18"/>
              </w:rPr>
              <w:t>48,630,675.69</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新收入准则本期确认影响</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-19,087,495.08</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所得税费用</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720" w:right="0" w:firstLine="0"/>
              <w:jc w:val="left"/>
              <w:rPr>
                <w:sz w:val="18"/>
                <w:szCs w:val="18"/>
              </w:rPr>
            </w:pPr>
            <w:r>
              <w:rPr>
                <w:rFonts w:ascii="Times New Roman" w:eastAsia="Times New Roman" w:hAnsi="Times New Roman" w:cs="Times New Roman"/>
                <w:color w:val="000000"/>
                <w:spacing w:val="0"/>
                <w:w w:val="100"/>
                <w:position w:val="0"/>
                <w:sz w:val="18"/>
                <w:szCs w:val="18"/>
              </w:rPr>
              <w:t>85,053,835.75</w:t>
            </w:r>
          </w:p>
        </w:tc>
      </w:tr>
    </w:tbl>
    <w:p>
      <w:pPr>
        <w:widowControl w:val="0"/>
        <w:spacing w:after="319" w:line="1" w:lineRule="exact"/>
      </w:pPr>
    </w:p>
    <w:p>
      <w:pPr>
        <w:pStyle w:val="Style47"/>
        <w:keepNext/>
        <w:keepLines/>
        <w:widowControl w:val="0"/>
        <w:shd w:val="clear" w:color="auto" w:fill="auto"/>
        <w:bidi w:val="0"/>
        <w:spacing w:before="0" w:after="400" w:line="240" w:lineRule="auto"/>
        <w:ind w:left="0" w:right="0" w:firstLine="0"/>
        <w:jc w:val="both"/>
      </w:pPr>
      <w:bookmarkStart w:id="1769" w:name="bookmark1769"/>
      <w:bookmarkStart w:id="1770" w:name="bookmark1770"/>
      <w:bookmarkStart w:id="1771" w:name="bookmark1771"/>
      <w:bookmarkStart w:id="1772" w:name="bookmark1772"/>
      <w:r>
        <w:rPr>
          <w:color w:val="000000"/>
          <w:spacing w:val="0"/>
          <w:w w:val="100"/>
          <w:position w:val="0"/>
        </w:rPr>
        <w:t>7</w:t>
      </w:r>
      <w:bookmarkEnd w:id="1771"/>
      <w:r>
        <w:rPr>
          <w:color w:val="000000"/>
          <w:spacing w:val="0"/>
          <w:w w:val="100"/>
          <w:position w:val="0"/>
        </w:rPr>
        <w:t>7、其他综合收益</w:t>
      </w:r>
      <w:bookmarkEnd w:id="1769"/>
      <w:bookmarkEnd w:id="1770"/>
      <w:bookmarkEnd w:id="1772"/>
    </w:p>
    <w:p>
      <w:pPr>
        <w:pStyle w:val="Style41"/>
        <w:keepNext w:val="0"/>
        <w:keepLines w:val="0"/>
        <w:widowControl w:val="0"/>
        <w:shd w:val="clear" w:color="auto" w:fill="auto"/>
        <w:bidi w:val="0"/>
        <w:spacing w:before="0" w:after="400" w:line="240" w:lineRule="auto"/>
        <w:ind w:left="0" w:right="0" w:firstLine="0"/>
        <w:jc w:val="both"/>
      </w:pPr>
      <w:r>
        <w:rPr>
          <w:color w:val="000000"/>
          <w:spacing w:val="0"/>
          <w:w w:val="100"/>
          <w:position w:val="0"/>
        </w:rPr>
        <w:t>详见附注七、</w:t>
      </w:r>
      <w:r>
        <w:rPr>
          <w:rFonts w:ascii="Times New Roman" w:eastAsia="Times New Roman" w:hAnsi="Times New Roman" w:cs="Times New Roman"/>
          <w:color w:val="000000"/>
          <w:spacing w:val="0"/>
          <w:w w:val="100"/>
          <w:position w:val="0"/>
          <w:sz w:val="18"/>
          <w:szCs w:val="18"/>
        </w:rPr>
        <w:t>57</w:t>
      </w:r>
      <w:r>
        <w:rPr>
          <w:color w:val="000000"/>
          <w:spacing w:val="0"/>
          <w:w w:val="100"/>
          <w:position w:val="0"/>
        </w:rPr>
        <w:t>。</w:t>
      </w:r>
      <w:r>
        <w:br w:type="page"/>
      </w:r>
    </w:p>
    <w:p>
      <w:pPr>
        <w:pStyle w:val="Style47"/>
        <w:keepNext/>
        <w:keepLines/>
        <w:widowControl w:val="0"/>
        <w:shd w:val="clear" w:color="auto" w:fill="auto"/>
        <w:bidi w:val="0"/>
        <w:spacing w:before="0" w:after="400" w:line="240" w:lineRule="auto"/>
        <w:ind w:left="0" w:right="0" w:firstLine="0"/>
        <w:jc w:val="left"/>
      </w:pPr>
      <w:bookmarkStart w:id="1773" w:name="bookmark1773"/>
      <w:bookmarkStart w:id="1774" w:name="bookmark1774"/>
      <w:bookmarkStart w:id="1775" w:name="bookmark1775"/>
      <w:bookmarkStart w:id="1776" w:name="bookmark1776"/>
      <w:r>
        <w:rPr>
          <w:color w:val="000000"/>
          <w:spacing w:val="0"/>
          <w:w w:val="100"/>
          <w:position w:val="0"/>
        </w:rPr>
        <w:t>7</w:t>
      </w:r>
      <w:bookmarkEnd w:id="1775"/>
      <w:r>
        <w:rPr>
          <w:color w:val="000000"/>
          <w:spacing w:val="0"/>
          <w:w w:val="100"/>
          <w:position w:val="0"/>
        </w:rPr>
        <w:t>8、现金流量表项目</w:t>
      </w:r>
      <w:bookmarkEnd w:id="1773"/>
      <w:bookmarkEnd w:id="1774"/>
      <w:bookmarkEnd w:id="1776"/>
    </w:p>
    <w:p>
      <w:pPr>
        <w:pStyle w:val="Style58"/>
        <w:keepNext/>
        <w:keepLines/>
        <w:widowControl w:val="0"/>
        <w:shd w:val="clear" w:color="auto" w:fill="auto"/>
        <w:bidi w:val="0"/>
        <w:spacing w:before="0" w:after="400" w:line="240" w:lineRule="auto"/>
        <w:ind w:left="0" w:right="0" w:firstLine="0"/>
        <w:jc w:val="left"/>
        <w:rPr>
          <w:sz w:val="20"/>
          <w:szCs w:val="20"/>
        </w:rPr>
      </w:pPr>
      <w:bookmarkStart w:id="1777" w:name="bookmark1777"/>
      <w:bookmarkStart w:id="1778" w:name="bookmark1778"/>
      <w:bookmarkStart w:id="1779" w:name="bookmark1779"/>
      <w:r>
        <w:rPr>
          <w:b/>
          <w:bCs/>
          <w:color w:val="000000"/>
          <w:spacing w:val="0"/>
          <w:w w:val="100"/>
          <w:position w:val="0"/>
          <w:sz w:val="20"/>
          <w:szCs w:val="20"/>
        </w:rPr>
        <w:t>（1）收到的其他与经营活动有关的现金</w:t>
      </w:r>
      <w:bookmarkEnd w:id="1777"/>
      <w:bookmarkEnd w:id="1778"/>
      <w:bookmarkEnd w:id="1779"/>
    </w:p>
    <w:p>
      <w:pPr>
        <w:pStyle w:val="Style41"/>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center"/>
        <w:tblLayout w:type="fixed"/>
      </w:tblPr>
      <w:tblGrid>
        <w:gridCol w:w="3192"/>
        <w:gridCol w:w="3192"/>
        <w:gridCol w:w="3202"/>
      </w:tblGrid>
      <w:tr>
        <w:trPr>
          <w:trHeight w:val="40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1400" w:right="0" w:firstLine="0"/>
              <w:jc w:val="left"/>
            </w:pPr>
            <w:r>
              <w:rPr>
                <w:color w:val="000000"/>
                <w:spacing w:val="0"/>
                <w:w w:val="100"/>
                <w:position w:val="0"/>
              </w:rPr>
              <w:t>项目</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1140" w:right="0" w:firstLine="0"/>
              <w:jc w:val="left"/>
            </w:pPr>
            <w:r>
              <w:rPr>
                <w:color w:val="000000"/>
                <w:spacing w:val="0"/>
                <w:w w:val="100"/>
                <w:position w:val="0"/>
              </w:rPr>
              <w:t>上期发生额</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收到各项政府补助</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left"/>
              <w:rPr>
                <w:sz w:val="18"/>
                <w:szCs w:val="18"/>
              </w:rPr>
            </w:pPr>
            <w:r>
              <w:rPr>
                <w:rFonts w:ascii="Times New Roman" w:eastAsia="Times New Roman" w:hAnsi="Times New Roman" w:cs="Times New Roman"/>
                <w:color w:val="000000"/>
                <w:spacing w:val="0"/>
                <w:w w:val="100"/>
                <w:position w:val="0"/>
                <w:sz w:val="18"/>
                <w:szCs w:val="18"/>
              </w:rPr>
              <w:t>6,492,660.54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15,970,649.11</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收到利息收入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left"/>
              <w:rPr>
                <w:sz w:val="18"/>
                <w:szCs w:val="18"/>
              </w:rPr>
            </w:pPr>
            <w:r>
              <w:rPr>
                <w:rFonts w:ascii="Times New Roman" w:eastAsia="Times New Roman" w:hAnsi="Times New Roman" w:cs="Times New Roman"/>
                <w:color w:val="000000"/>
                <w:spacing w:val="0"/>
                <w:w w:val="100"/>
                <w:position w:val="0"/>
                <w:sz w:val="18"/>
                <w:szCs w:val="18"/>
              </w:rPr>
              <w:t>8,447,419.38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4,033,755.21</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收到的押金、保证金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left"/>
              <w:rPr>
                <w:sz w:val="18"/>
                <w:szCs w:val="18"/>
              </w:rPr>
            </w:pPr>
            <w:r>
              <w:rPr>
                <w:rFonts w:ascii="Times New Roman" w:eastAsia="Times New Roman" w:hAnsi="Times New Roman" w:cs="Times New Roman"/>
                <w:color w:val="000000"/>
                <w:spacing w:val="0"/>
                <w:w w:val="100"/>
                <w:position w:val="0"/>
                <w:sz w:val="18"/>
                <w:szCs w:val="18"/>
              </w:rPr>
              <w:t>23,227,866.27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42,653,796.95</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收到个人备用金归还</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20" w:right="0" w:firstLine="0"/>
              <w:jc w:val="left"/>
              <w:rPr>
                <w:sz w:val="18"/>
                <w:szCs w:val="18"/>
              </w:rPr>
            </w:pPr>
            <w:r>
              <w:rPr>
                <w:rFonts w:ascii="Times New Roman" w:eastAsia="Times New Roman" w:hAnsi="Times New Roman" w:cs="Times New Roman"/>
                <w:color w:val="000000"/>
                <w:spacing w:val="0"/>
                <w:w w:val="100"/>
                <w:position w:val="0"/>
                <w:sz w:val="18"/>
                <w:szCs w:val="18"/>
              </w:rPr>
              <w:t>3,822,982.94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5,921,814.21</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收到往来款及零星现金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left"/>
              <w:rPr>
                <w:sz w:val="18"/>
                <w:szCs w:val="18"/>
              </w:rPr>
            </w:pPr>
            <w:r>
              <w:rPr>
                <w:rFonts w:ascii="Times New Roman" w:eastAsia="Times New Roman" w:hAnsi="Times New Roman" w:cs="Times New Roman"/>
                <w:color w:val="000000"/>
                <w:spacing w:val="0"/>
                <w:w w:val="100"/>
                <w:position w:val="0"/>
                <w:sz w:val="18"/>
                <w:szCs w:val="18"/>
              </w:rPr>
              <w:t>17,819,769.56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12,899,315.99</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left"/>
              <w:rPr>
                <w:sz w:val="18"/>
                <w:szCs w:val="18"/>
              </w:rPr>
            </w:pPr>
            <w:r>
              <w:rPr>
                <w:rFonts w:ascii="Times New Roman" w:eastAsia="Times New Roman" w:hAnsi="Times New Roman" w:cs="Times New Roman"/>
                <w:color w:val="000000"/>
                <w:spacing w:val="0"/>
                <w:w w:val="100"/>
                <w:position w:val="0"/>
                <w:sz w:val="18"/>
                <w:szCs w:val="18"/>
              </w:rPr>
              <w:t>59,810,698.69</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81,479,331.47</w:t>
            </w:r>
          </w:p>
        </w:tc>
      </w:tr>
    </w:tbl>
    <w:p>
      <w:pPr>
        <w:widowControl w:val="0"/>
        <w:spacing w:after="339" w:line="1" w:lineRule="exact"/>
      </w:pPr>
    </w:p>
    <w:p>
      <w:pPr>
        <w:pStyle w:val="Style58"/>
        <w:keepNext/>
        <w:keepLines/>
        <w:widowControl w:val="0"/>
        <w:shd w:val="clear" w:color="auto" w:fill="auto"/>
        <w:bidi w:val="0"/>
        <w:spacing w:before="0" w:after="400" w:line="240" w:lineRule="auto"/>
        <w:ind w:left="0" w:right="0" w:firstLine="0"/>
        <w:jc w:val="left"/>
        <w:rPr>
          <w:sz w:val="20"/>
          <w:szCs w:val="20"/>
        </w:rPr>
      </w:pPr>
      <w:bookmarkStart w:id="1780" w:name="bookmark1780"/>
      <w:bookmarkStart w:id="1781" w:name="bookmark1781"/>
      <w:bookmarkStart w:id="1782" w:name="bookmark1782"/>
      <w:r>
        <w:rPr>
          <w:b/>
          <w:bCs/>
          <w:color w:val="000000"/>
          <w:spacing w:val="0"/>
          <w:w w:val="100"/>
          <w:position w:val="0"/>
          <w:sz w:val="20"/>
          <w:szCs w:val="20"/>
        </w:rPr>
        <w:t>（2）支付的其他与经营活动有关的现金</w:t>
      </w:r>
      <w:bookmarkEnd w:id="1780"/>
      <w:bookmarkEnd w:id="1781"/>
      <w:bookmarkEnd w:id="1782"/>
    </w:p>
    <w:p>
      <w:pPr>
        <w:pStyle w:val="Style41"/>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center"/>
        <w:tblLayout w:type="fixed"/>
      </w:tblPr>
      <w:tblGrid>
        <w:gridCol w:w="3192"/>
        <w:gridCol w:w="3192"/>
        <w:gridCol w:w="3202"/>
      </w:tblGrid>
      <w:tr>
        <w:trPr>
          <w:trHeight w:val="40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1400" w:right="0" w:firstLine="0"/>
              <w:jc w:val="left"/>
            </w:pPr>
            <w:r>
              <w:rPr>
                <w:color w:val="000000"/>
                <w:spacing w:val="0"/>
                <w:w w:val="100"/>
                <w:position w:val="0"/>
              </w:rPr>
              <w:t>项目</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1140" w:right="0" w:firstLine="0"/>
              <w:jc w:val="left"/>
            </w:pPr>
            <w:r>
              <w:rPr>
                <w:color w:val="000000"/>
                <w:spacing w:val="0"/>
                <w:w w:val="100"/>
                <w:position w:val="0"/>
              </w:rPr>
              <w:t>上期发生额</w:t>
            </w:r>
          </w:p>
        </w:tc>
      </w:tr>
      <w:tr>
        <w:trPr>
          <w:trHeight w:val="710"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支付游戏推广费、办公、差旅、房租、 招待等费用及往来款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1,005,856,224.74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663,680,193.28</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支付的押金、保证金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left"/>
              <w:rPr>
                <w:sz w:val="18"/>
                <w:szCs w:val="18"/>
              </w:rPr>
            </w:pPr>
            <w:r>
              <w:rPr>
                <w:rFonts w:ascii="Times New Roman" w:eastAsia="Times New Roman" w:hAnsi="Times New Roman" w:cs="Times New Roman"/>
                <w:color w:val="000000"/>
                <w:spacing w:val="0"/>
                <w:w w:val="100"/>
                <w:position w:val="0"/>
                <w:sz w:val="18"/>
                <w:szCs w:val="18"/>
              </w:rPr>
              <w:t>20,147,878.29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56,354,624.42</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1,026,004,103.03</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720,034,817.70</w:t>
            </w:r>
          </w:p>
        </w:tc>
      </w:tr>
    </w:tbl>
    <w:p>
      <w:pPr>
        <w:widowControl w:val="0"/>
        <w:spacing w:after="339" w:line="1" w:lineRule="exact"/>
      </w:pPr>
    </w:p>
    <w:p>
      <w:pPr>
        <w:pStyle w:val="Style58"/>
        <w:keepNext/>
        <w:keepLines/>
        <w:widowControl w:val="0"/>
        <w:shd w:val="clear" w:color="auto" w:fill="auto"/>
        <w:bidi w:val="0"/>
        <w:spacing w:before="0" w:after="400" w:line="240" w:lineRule="auto"/>
        <w:ind w:left="0" w:right="0" w:firstLine="0"/>
        <w:jc w:val="left"/>
        <w:rPr>
          <w:sz w:val="20"/>
          <w:szCs w:val="20"/>
        </w:rPr>
      </w:pPr>
      <w:bookmarkStart w:id="1783" w:name="bookmark1783"/>
      <w:bookmarkStart w:id="1784" w:name="bookmark1784"/>
      <w:bookmarkStart w:id="1785" w:name="bookmark1785"/>
      <w:bookmarkStart w:id="1786" w:name="bookmark1786"/>
      <w:r>
        <w:rPr>
          <w:b/>
          <w:bCs/>
          <w:color w:val="000000"/>
          <w:spacing w:val="0"/>
          <w:w w:val="100"/>
          <w:position w:val="0"/>
          <w:sz w:val="20"/>
          <w:szCs w:val="20"/>
        </w:rPr>
        <w:t>（</w:t>
      </w:r>
      <w:bookmarkEnd w:id="1785"/>
      <w:r>
        <w:rPr>
          <w:b/>
          <w:bCs/>
          <w:color w:val="000000"/>
          <w:spacing w:val="0"/>
          <w:w w:val="100"/>
          <w:position w:val="0"/>
          <w:sz w:val="20"/>
          <w:szCs w:val="20"/>
        </w:rPr>
        <w:t>3）收到的其他与投资活动有关的现金</w:t>
      </w:r>
      <w:bookmarkEnd w:id="1783"/>
      <w:bookmarkEnd w:id="1784"/>
      <w:bookmarkEnd w:id="1786"/>
    </w:p>
    <w:p>
      <w:pPr>
        <w:pStyle w:val="Style41"/>
        <w:keepNext w:val="0"/>
        <w:keepLines w:val="0"/>
        <w:widowControl w:val="0"/>
        <w:shd w:val="clear" w:color="auto" w:fill="auto"/>
        <w:bidi w:val="0"/>
        <w:spacing w:before="0" w:after="400" w:line="240" w:lineRule="auto"/>
        <w:ind w:left="0" w:right="0" w:firstLine="360"/>
        <w:jc w:val="left"/>
      </w:pPr>
      <w:r>
        <w:rPr>
          <w:color w:val="000000"/>
          <w:spacing w:val="0"/>
          <w:w w:val="100"/>
          <w:position w:val="0"/>
        </w:rPr>
        <w:t>无。</w:t>
      </w:r>
    </w:p>
    <w:p>
      <w:pPr>
        <w:pStyle w:val="Style58"/>
        <w:keepNext/>
        <w:keepLines/>
        <w:widowControl w:val="0"/>
        <w:shd w:val="clear" w:color="auto" w:fill="auto"/>
        <w:bidi w:val="0"/>
        <w:spacing w:before="0" w:after="400" w:line="240" w:lineRule="auto"/>
        <w:ind w:left="0" w:right="0" w:firstLine="0"/>
        <w:jc w:val="left"/>
        <w:rPr>
          <w:sz w:val="20"/>
          <w:szCs w:val="20"/>
        </w:rPr>
      </w:pPr>
      <w:bookmarkStart w:id="1787" w:name="bookmark1787"/>
      <w:bookmarkStart w:id="1788" w:name="bookmark1788"/>
      <w:bookmarkStart w:id="1789" w:name="bookmark1789"/>
      <w:bookmarkStart w:id="1790" w:name="bookmark1790"/>
      <w:r>
        <w:rPr>
          <w:b/>
          <w:bCs/>
          <w:color w:val="000000"/>
          <w:spacing w:val="0"/>
          <w:w w:val="100"/>
          <w:position w:val="0"/>
          <w:sz w:val="20"/>
          <w:szCs w:val="20"/>
        </w:rPr>
        <w:t>（</w:t>
      </w:r>
      <w:bookmarkEnd w:id="1789"/>
      <w:r>
        <w:rPr>
          <w:b/>
          <w:bCs/>
          <w:color w:val="000000"/>
          <w:spacing w:val="0"/>
          <w:w w:val="100"/>
          <w:position w:val="0"/>
          <w:sz w:val="20"/>
          <w:szCs w:val="20"/>
        </w:rPr>
        <w:t>4）支付的其他与投资活动有关的现金</w:t>
      </w:r>
      <w:bookmarkEnd w:id="1787"/>
      <w:bookmarkEnd w:id="1788"/>
      <w:bookmarkEnd w:id="1790"/>
    </w:p>
    <w:p>
      <w:pPr>
        <w:pStyle w:val="Style41"/>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center"/>
        <w:tblLayout w:type="fixed"/>
      </w:tblPr>
      <w:tblGrid>
        <w:gridCol w:w="3192"/>
        <w:gridCol w:w="3192"/>
        <w:gridCol w:w="3202"/>
      </w:tblGrid>
      <w:tr>
        <w:trPr>
          <w:trHeight w:val="40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处置子公司支付的现金净额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771,659.27</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子公司退出合并范围现金减少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left"/>
              <w:rPr>
                <w:sz w:val="18"/>
                <w:szCs w:val="18"/>
              </w:rPr>
            </w:pPr>
            <w:r>
              <w:rPr>
                <w:rFonts w:ascii="Times New Roman" w:eastAsia="Times New Roman" w:hAnsi="Times New Roman" w:cs="Times New Roman"/>
                <w:color w:val="000000"/>
                <w:spacing w:val="0"/>
                <w:w w:val="100"/>
                <w:position w:val="0"/>
                <w:sz w:val="18"/>
                <w:szCs w:val="18"/>
              </w:rPr>
              <w:t>48,478,183.33</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left"/>
              <w:rPr>
                <w:sz w:val="18"/>
                <w:szCs w:val="18"/>
              </w:rPr>
            </w:pPr>
            <w:r>
              <w:rPr>
                <w:rFonts w:ascii="Times New Roman" w:eastAsia="Times New Roman" w:hAnsi="Times New Roman" w:cs="Times New Roman"/>
                <w:color w:val="000000"/>
                <w:spacing w:val="0"/>
                <w:w w:val="100"/>
                <w:position w:val="0"/>
                <w:sz w:val="18"/>
                <w:szCs w:val="18"/>
              </w:rPr>
              <w:t>48,478,183.33</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771,659.27</w:t>
            </w:r>
          </w:p>
        </w:tc>
      </w:tr>
    </w:tbl>
    <w:p>
      <w:pPr>
        <w:pStyle w:val="Style20"/>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支付的其他与投资活动有关的现金说明:</w:t>
      </w:r>
    </w:p>
    <w:p>
      <w:pPr>
        <w:widowControl w:val="0"/>
        <w:spacing w:after="339" w:line="1" w:lineRule="exact"/>
      </w:pPr>
    </w:p>
    <w:p>
      <w:pPr>
        <w:pStyle w:val="Style58"/>
        <w:keepNext/>
        <w:keepLines/>
        <w:widowControl w:val="0"/>
        <w:shd w:val="clear" w:color="auto" w:fill="auto"/>
        <w:bidi w:val="0"/>
        <w:spacing w:before="0" w:after="400" w:line="240" w:lineRule="auto"/>
        <w:ind w:left="0" w:right="0" w:firstLine="0"/>
        <w:jc w:val="left"/>
        <w:rPr>
          <w:sz w:val="20"/>
          <w:szCs w:val="20"/>
        </w:rPr>
      </w:pPr>
      <w:bookmarkStart w:id="1791" w:name="bookmark1791"/>
      <w:bookmarkStart w:id="1792" w:name="bookmark1792"/>
      <w:bookmarkStart w:id="1793" w:name="bookmark1793"/>
      <w:bookmarkStart w:id="1794" w:name="bookmark1794"/>
      <w:r>
        <w:rPr>
          <w:b/>
          <w:bCs/>
          <w:color w:val="000000"/>
          <w:spacing w:val="0"/>
          <w:w w:val="100"/>
          <w:position w:val="0"/>
          <w:sz w:val="20"/>
          <w:szCs w:val="20"/>
        </w:rPr>
        <w:t>（</w:t>
      </w:r>
      <w:bookmarkEnd w:id="1793"/>
      <w:r>
        <w:rPr>
          <w:b/>
          <w:bCs/>
          <w:color w:val="000000"/>
          <w:spacing w:val="0"/>
          <w:w w:val="100"/>
          <w:position w:val="0"/>
          <w:sz w:val="20"/>
          <w:szCs w:val="20"/>
        </w:rPr>
        <w:t>5）收到的其他与筹资活动有关的现金</w:t>
      </w:r>
      <w:bookmarkEnd w:id="1791"/>
      <w:bookmarkEnd w:id="1792"/>
      <w:bookmarkEnd w:id="1794"/>
    </w:p>
    <w:p>
      <w:pPr>
        <w:pStyle w:val="Style41"/>
        <w:keepNext w:val="0"/>
        <w:keepLines w:val="0"/>
        <w:widowControl w:val="0"/>
        <w:shd w:val="clear" w:color="auto" w:fill="auto"/>
        <w:bidi w:val="0"/>
        <w:spacing w:before="0" w:after="400" w:line="240" w:lineRule="auto"/>
        <w:ind w:left="8940" w:right="0" w:firstLine="0"/>
        <w:jc w:val="left"/>
      </w:pPr>
      <w:r>
        <w:rPr>
          <w:color w:val="000000"/>
          <w:spacing w:val="0"/>
          <w:w w:val="100"/>
          <w:position w:val="0"/>
        </w:rPr>
        <w:t>单位：元</w:t>
      </w:r>
    </w:p>
    <w:p>
      <w:pPr>
        <w:widowControl w:val="0"/>
        <w:spacing w:line="1" w:lineRule="exact"/>
      </w:pPr>
      <w:r>
        <mc:AlternateContent>
          <mc:Choice Requires="wps">
            <w:drawing>
              <wp:anchor distT="41275" distB="0" distL="0" distR="0" simplePos="0" relativeHeight="125829520" behindDoc="0" locked="0" layoutInCell="1" allowOverlap="1">
                <wp:simplePos x="0" y="0"/>
                <wp:positionH relativeFrom="page">
                  <wp:posOffset>1594485</wp:posOffset>
                </wp:positionH>
                <wp:positionV relativeFrom="paragraph">
                  <wp:posOffset>41275</wp:posOffset>
                </wp:positionV>
                <wp:extent cx="255905" cy="146050"/>
                <wp:wrapTopAndBottom/>
                <wp:docPr id="1111" name="Shape 1111"/>
                <a:graphic xmlns:a="http://schemas.openxmlformats.org/drawingml/2006/main">
                  <a:graphicData uri="http://schemas.microsoft.com/office/word/2010/wordprocessingShape">
                    <wps:wsp>
                      <wps:cNvSpPr txBox="1"/>
                      <wps:spPr>
                        <a:xfrm>
                          <a:ext cx="255905" cy="146050"/>
                        </a:xfrm>
                        <a:prstGeom prst="rect"/>
                        <a:noFill/>
                      </wps:spPr>
                      <wps:txbx>
                        <w:txbxContent>
                          <w:p>
                            <w:pPr>
                              <w:pStyle w:val="Style41"/>
                              <w:keepNext w:val="0"/>
                              <w:keepLines w:val="0"/>
                              <w:widowControl w:val="0"/>
                              <w:pBdr>
                                <w:top w:val="single" w:sz="0" w:space="0" w:color="D3D3D3"/>
                                <w:left w:val="single" w:sz="0" w:space="31" w:color="D3D3D3"/>
                                <w:bottom w:val="single" w:sz="0" w:space="0" w:color="D3D3D3"/>
                                <w:right w:val="single" w:sz="0" w:space="31" w:color="D3D3D3"/>
                              </w:pBdr>
                              <w:shd w:val="clear" w:color="auto" w:fill="D3D3D3"/>
                              <w:bidi w:val="0"/>
                              <w:spacing w:before="0" w:after="0" w:line="240" w:lineRule="auto"/>
                              <w:ind w:left="0" w:right="0" w:firstLine="0"/>
                              <w:jc w:val="left"/>
                            </w:pPr>
                            <w:r>
                              <w:rPr>
                                <w:color w:val="000000"/>
                                <w:spacing w:val="0"/>
                                <w:w w:val="100"/>
                                <w:position w:val="0"/>
                              </w:rPr>
                              <w:t>项目</w:t>
                            </w:r>
                          </w:p>
                        </w:txbxContent>
                      </wps:txbx>
                      <wps:bodyPr wrap="none" lIns="0" tIns="0" rIns="0" bIns="0">
                        <a:noAutoFit/>
                      </wps:bodyPr>
                    </wps:wsp>
                  </a:graphicData>
                </a:graphic>
              </wp:anchor>
            </w:drawing>
          </mc:Choice>
          <mc:Fallback>
            <w:pict>
              <v:shape id="_x0000_s2137" type="#_x0000_t202" style="position:absolute;margin-left:125.55pt;margin-top:3.25pt;width:20.150000000000002pt;height:11.5pt;z-index:-125829233;mso-wrap-distance-left:0;mso-wrap-distance-top:3.25pt;mso-wrap-distance-right:0;mso-position-horizontal-relative:page" filled="f" stroked="f">
                <v:textbox inset="0,0,0,0">
                  <w:txbxContent>
                    <w:p>
                      <w:pPr>
                        <w:pStyle w:val="Style41"/>
                        <w:keepNext w:val="0"/>
                        <w:keepLines w:val="0"/>
                        <w:widowControl w:val="0"/>
                        <w:pBdr>
                          <w:top w:val="single" w:sz="0" w:space="0" w:color="D3D3D3"/>
                          <w:left w:val="single" w:sz="0" w:space="31" w:color="D3D3D3"/>
                          <w:bottom w:val="single" w:sz="0" w:space="0" w:color="D3D3D3"/>
                          <w:right w:val="single" w:sz="0" w:space="31" w:color="D3D3D3"/>
                        </w:pBdr>
                        <w:shd w:val="clear" w:color="auto" w:fill="D3D3D3"/>
                        <w:bidi w:val="0"/>
                        <w:spacing w:before="0" w:after="0" w:line="240" w:lineRule="auto"/>
                        <w:ind w:left="0" w:right="0" w:firstLine="0"/>
                        <w:jc w:val="left"/>
                      </w:pPr>
                      <w:r>
                        <w:rPr>
                          <w:color w:val="000000"/>
                          <w:spacing w:val="0"/>
                          <w:w w:val="100"/>
                          <w:position w:val="0"/>
                        </w:rPr>
                        <w:t>项目</w:t>
                      </w:r>
                    </w:p>
                  </w:txbxContent>
                </v:textbox>
                <w10:wrap type="topAndBottom" anchorx="page"/>
              </v:shape>
            </w:pict>
          </mc:Fallback>
        </mc:AlternateContent>
      </w:r>
      <w:r>
        <mc:AlternateContent>
          <mc:Choice Requires="wps">
            <w:drawing>
              <wp:anchor distT="38100" distB="0" distL="0" distR="0" simplePos="0" relativeHeight="125829522" behindDoc="0" locked="0" layoutInCell="1" allowOverlap="1">
                <wp:simplePos x="0" y="0"/>
                <wp:positionH relativeFrom="page">
                  <wp:posOffset>3450590</wp:posOffset>
                </wp:positionH>
                <wp:positionV relativeFrom="paragraph">
                  <wp:posOffset>38100</wp:posOffset>
                </wp:positionV>
                <wp:extent cx="597535" cy="149225"/>
                <wp:wrapTopAndBottom/>
                <wp:docPr id="1113" name="Shape 1113"/>
                <a:graphic xmlns:a="http://schemas.openxmlformats.org/drawingml/2006/main">
                  <a:graphicData uri="http://schemas.microsoft.com/office/word/2010/wordprocessingShape">
                    <wps:wsp>
                      <wps:cNvSpPr txBox="1"/>
                      <wps:spPr>
                        <a:xfrm>
                          <a:ext cx="597535" cy="149225"/>
                        </a:xfrm>
                        <a:prstGeom prst="rect"/>
                        <a:noFill/>
                      </wps:spPr>
                      <wps:txbx>
                        <w:txbxContent>
                          <w:p>
                            <w:pPr>
                              <w:pStyle w:val="Style41"/>
                              <w:keepNext w:val="0"/>
                              <w:keepLines w:val="0"/>
                              <w:widowControl w:val="0"/>
                              <w:pBdr>
                                <w:top w:val="single" w:sz="4" w:space="0" w:color="D3D3D3"/>
                                <w:left w:val="single" w:sz="4" w:space="31" w:color="D3D3D3"/>
                                <w:bottom w:val="single" w:sz="4" w:space="0" w:color="D3D3D3"/>
                                <w:right w:val="single" w:sz="4" w:space="31" w:color="D3D3D3"/>
                              </w:pBdr>
                              <w:shd w:val="clear" w:color="auto" w:fill="D3D3D3"/>
                              <w:bidi w:val="0"/>
                              <w:spacing w:before="0" w:after="0" w:line="240" w:lineRule="auto"/>
                              <w:ind w:left="0" w:right="0" w:firstLine="0"/>
                              <w:jc w:val="center"/>
                            </w:pPr>
                            <w:r>
                              <w:rPr>
                                <w:color w:val="000000"/>
                                <w:spacing w:val="0"/>
                                <w:w w:val="100"/>
                                <w:position w:val="0"/>
                              </w:rPr>
                              <w:t>本期发生额</w:t>
                            </w:r>
                          </w:p>
                        </w:txbxContent>
                      </wps:txbx>
                      <wps:bodyPr wrap="none" lIns="0" tIns="0" rIns="0" bIns="0">
                        <a:noAutoFit/>
                      </wps:bodyPr>
                    </wps:wsp>
                  </a:graphicData>
                </a:graphic>
              </wp:anchor>
            </w:drawing>
          </mc:Choice>
          <mc:Fallback>
            <w:pict>
              <v:shape id="_x0000_s2139" type="#_x0000_t202" style="position:absolute;margin-left:271.69999999999999pt;margin-top:3.pt;width:47.050000000000004pt;height:11.75pt;z-index:-125829231;mso-wrap-distance-left:0;mso-wrap-distance-top:3.pt;mso-wrap-distance-right:0;mso-position-horizontal-relative:page" filled="f" stroked="f">
                <v:textbox inset="0,0,0,0">
                  <w:txbxContent>
                    <w:p>
                      <w:pPr>
                        <w:pStyle w:val="Style41"/>
                        <w:keepNext w:val="0"/>
                        <w:keepLines w:val="0"/>
                        <w:widowControl w:val="0"/>
                        <w:pBdr>
                          <w:top w:val="single" w:sz="4" w:space="0" w:color="D3D3D3"/>
                          <w:left w:val="single" w:sz="4" w:space="31" w:color="D3D3D3"/>
                          <w:bottom w:val="single" w:sz="4" w:space="0" w:color="D3D3D3"/>
                          <w:right w:val="single" w:sz="4" w:space="31" w:color="D3D3D3"/>
                        </w:pBdr>
                        <w:shd w:val="clear" w:color="auto" w:fill="D3D3D3"/>
                        <w:bidi w:val="0"/>
                        <w:spacing w:before="0" w:after="0" w:line="240" w:lineRule="auto"/>
                        <w:ind w:left="0" w:right="0" w:firstLine="0"/>
                        <w:jc w:val="center"/>
                      </w:pPr>
                      <w:r>
                        <w:rPr>
                          <w:color w:val="000000"/>
                          <w:spacing w:val="0"/>
                          <w:w w:val="100"/>
                          <w:position w:val="0"/>
                        </w:rPr>
                        <w:t>本期发生额</w:t>
                      </w:r>
                    </w:p>
                  </w:txbxContent>
                </v:textbox>
                <w10:wrap type="topAndBottom" anchorx="page"/>
              </v:shape>
            </w:pict>
          </mc:Fallback>
        </mc:AlternateContent>
      </w:r>
      <w:r>
        <mc:AlternateContent>
          <mc:Choice Requires="wps">
            <w:drawing>
              <wp:anchor distT="38100" distB="0" distL="0" distR="0" simplePos="0" relativeHeight="125829524" behindDoc="0" locked="0" layoutInCell="1" allowOverlap="1">
                <wp:simplePos x="0" y="0"/>
                <wp:positionH relativeFrom="page">
                  <wp:posOffset>5480685</wp:posOffset>
                </wp:positionH>
                <wp:positionV relativeFrom="paragraph">
                  <wp:posOffset>38100</wp:posOffset>
                </wp:positionV>
                <wp:extent cx="597535" cy="149225"/>
                <wp:wrapTopAndBottom/>
                <wp:docPr id="1115" name="Shape 1115"/>
                <a:graphic xmlns:a="http://schemas.openxmlformats.org/drawingml/2006/main">
                  <a:graphicData uri="http://schemas.microsoft.com/office/word/2010/wordprocessingShape">
                    <wps:wsp>
                      <wps:cNvSpPr txBox="1"/>
                      <wps:spPr>
                        <a:xfrm>
                          <a:ext cx="597535" cy="149225"/>
                        </a:xfrm>
                        <a:prstGeom prst="rect"/>
                        <a:noFill/>
                      </wps:spPr>
                      <wps:txbx>
                        <w:txbxContent>
                          <w:p>
                            <w:pPr>
                              <w:pStyle w:val="Style41"/>
                              <w:keepNext w:val="0"/>
                              <w:keepLines w:val="0"/>
                              <w:widowControl w:val="0"/>
                              <w:pBdr>
                                <w:top w:val="single" w:sz="0" w:space="0" w:color="D3D3D3"/>
                                <w:left w:val="single" w:sz="0" w:space="31" w:color="D3D3D3"/>
                                <w:bottom w:val="single" w:sz="0" w:space="0" w:color="D3D3D3"/>
                                <w:right w:val="single" w:sz="0" w:space="31" w:color="D3D3D3"/>
                              </w:pBdr>
                              <w:shd w:val="clear" w:color="auto" w:fill="D3D3D3"/>
                              <w:bidi w:val="0"/>
                              <w:spacing w:before="0" w:after="0" w:line="240" w:lineRule="auto"/>
                              <w:ind w:left="0" w:right="0" w:firstLine="0"/>
                              <w:jc w:val="left"/>
                            </w:pPr>
                            <w:r>
                              <w:rPr>
                                <w:color w:val="000000"/>
                                <w:spacing w:val="0"/>
                                <w:w w:val="100"/>
                                <w:position w:val="0"/>
                              </w:rPr>
                              <w:t>上期发生额</w:t>
                            </w:r>
                          </w:p>
                        </w:txbxContent>
                      </wps:txbx>
                      <wps:bodyPr wrap="none" lIns="0" tIns="0" rIns="0" bIns="0">
                        <a:noAutoFit/>
                      </wps:bodyPr>
                    </wps:wsp>
                  </a:graphicData>
                </a:graphic>
              </wp:anchor>
            </w:drawing>
          </mc:Choice>
          <mc:Fallback>
            <w:pict>
              <v:shape id="_x0000_s2141" type="#_x0000_t202" style="position:absolute;margin-left:431.55000000000001pt;margin-top:3.pt;width:47.050000000000004pt;height:11.75pt;z-index:-125829229;mso-wrap-distance-left:0;mso-wrap-distance-top:3.pt;mso-wrap-distance-right:0;mso-position-horizontal-relative:page" filled="f" stroked="f">
                <v:textbox inset="0,0,0,0">
                  <w:txbxContent>
                    <w:p>
                      <w:pPr>
                        <w:pStyle w:val="Style41"/>
                        <w:keepNext w:val="0"/>
                        <w:keepLines w:val="0"/>
                        <w:widowControl w:val="0"/>
                        <w:pBdr>
                          <w:top w:val="single" w:sz="0" w:space="0" w:color="D3D3D3"/>
                          <w:left w:val="single" w:sz="0" w:space="31" w:color="D3D3D3"/>
                          <w:bottom w:val="single" w:sz="0" w:space="0" w:color="D3D3D3"/>
                          <w:right w:val="single" w:sz="0" w:space="31" w:color="D3D3D3"/>
                        </w:pBdr>
                        <w:shd w:val="clear" w:color="auto" w:fill="D3D3D3"/>
                        <w:bidi w:val="0"/>
                        <w:spacing w:before="0" w:after="0" w:line="240" w:lineRule="auto"/>
                        <w:ind w:left="0" w:right="0" w:firstLine="0"/>
                        <w:jc w:val="left"/>
                      </w:pPr>
                      <w:r>
                        <w:rPr>
                          <w:color w:val="000000"/>
                          <w:spacing w:val="0"/>
                          <w:w w:val="100"/>
                          <w:position w:val="0"/>
                        </w:rPr>
                        <w:t>上期发生额</w:t>
                      </w:r>
                    </w:p>
                  </w:txbxContent>
                </v:textbox>
                <w10:wrap type="topAndBottom" anchorx="page"/>
              </v:shape>
            </w:pict>
          </mc:Fallback>
        </mc:AlternateContent>
      </w:r>
      <w:r>
        <w:br w:type="page"/>
      </w:r>
    </w:p>
    <w:tbl>
      <w:tblPr>
        <w:tblOverlap w:val="never"/>
        <w:jc w:val="center"/>
        <w:tblLayout w:type="fixed"/>
      </w:tblPr>
      <w:tblGrid>
        <w:gridCol w:w="3192"/>
        <w:gridCol w:w="3192"/>
        <w:gridCol w:w="3202"/>
      </w:tblGrid>
      <w:tr>
        <w:trPr>
          <w:trHeight w:val="480"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收回保证金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13,865,519.02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2,624,849.43</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处置子公司部分股权收到的现金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left"/>
              <w:rPr>
                <w:sz w:val="18"/>
                <w:szCs w:val="18"/>
              </w:rPr>
            </w:pPr>
            <w:r>
              <w:rPr>
                <w:rFonts w:ascii="Times New Roman" w:eastAsia="Times New Roman" w:hAnsi="Times New Roman" w:cs="Times New Roman"/>
                <w:color w:val="000000"/>
                <w:spacing w:val="0"/>
                <w:w w:val="100"/>
                <w:position w:val="0"/>
                <w:sz w:val="18"/>
                <w:szCs w:val="18"/>
              </w:rPr>
              <w:t>54,000,000.00</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13,865,519.02</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left"/>
              <w:rPr>
                <w:sz w:val="18"/>
                <w:szCs w:val="18"/>
              </w:rPr>
            </w:pPr>
            <w:r>
              <w:rPr>
                <w:rFonts w:ascii="Times New Roman" w:eastAsia="Times New Roman" w:hAnsi="Times New Roman" w:cs="Times New Roman"/>
                <w:color w:val="000000"/>
                <w:spacing w:val="0"/>
                <w:w w:val="100"/>
                <w:position w:val="0"/>
                <w:sz w:val="18"/>
                <w:szCs w:val="18"/>
              </w:rPr>
              <w:t>56,624,849.43</w:t>
            </w:r>
          </w:p>
        </w:tc>
      </w:tr>
    </w:tbl>
    <w:p>
      <w:pPr>
        <w:widowControl w:val="0"/>
        <w:spacing w:after="319" w:line="1" w:lineRule="exact"/>
      </w:pPr>
    </w:p>
    <w:p>
      <w:pPr>
        <w:pStyle w:val="Style58"/>
        <w:keepNext/>
        <w:keepLines/>
        <w:widowControl w:val="0"/>
        <w:shd w:val="clear" w:color="auto" w:fill="auto"/>
        <w:bidi w:val="0"/>
        <w:spacing w:before="0" w:after="400" w:line="240" w:lineRule="auto"/>
        <w:ind w:left="0" w:right="0" w:firstLine="0"/>
        <w:jc w:val="left"/>
        <w:rPr>
          <w:sz w:val="20"/>
          <w:szCs w:val="20"/>
        </w:rPr>
      </w:pPr>
      <w:bookmarkStart w:id="1795" w:name="bookmark1795"/>
      <w:bookmarkStart w:id="1796" w:name="bookmark1796"/>
      <w:bookmarkStart w:id="1797" w:name="bookmark1797"/>
      <w:bookmarkStart w:id="1798" w:name="bookmark1798"/>
      <w:r>
        <w:rPr>
          <w:b/>
          <w:bCs/>
          <w:color w:val="000000"/>
          <w:spacing w:val="0"/>
          <w:w w:val="100"/>
          <w:position w:val="0"/>
          <w:sz w:val="20"/>
          <w:szCs w:val="20"/>
        </w:rPr>
        <w:t>（</w:t>
      </w:r>
      <w:bookmarkEnd w:id="1797"/>
      <w:r>
        <w:rPr>
          <w:b/>
          <w:bCs/>
          <w:color w:val="000000"/>
          <w:spacing w:val="0"/>
          <w:w w:val="100"/>
          <w:position w:val="0"/>
          <w:sz w:val="20"/>
          <w:szCs w:val="20"/>
        </w:rPr>
        <w:t>6）支付的其他与筹资活动有关的现金</w:t>
      </w:r>
      <w:bookmarkEnd w:id="1795"/>
      <w:bookmarkEnd w:id="1796"/>
      <w:bookmarkEnd w:id="1798"/>
    </w:p>
    <w:p>
      <w:pPr>
        <w:pStyle w:val="Style41"/>
        <w:keepNext w:val="0"/>
        <w:keepLines w:val="0"/>
        <w:widowControl w:val="0"/>
        <w:shd w:val="clear" w:color="auto" w:fill="auto"/>
        <w:bidi w:val="0"/>
        <w:spacing w:before="0" w:after="80" w:line="240" w:lineRule="auto"/>
        <w:ind w:left="8920" w:right="0" w:firstLine="0"/>
        <w:jc w:val="left"/>
      </w:pPr>
      <w:r>
        <w:rPr>
          <w:color w:val="000000"/>
          <w:spacing w:val="0"/>
          <w:w w:val="100"/>
          <w:position w:val="0"/>
        </w:rPr>
        <w:t>单位：元</w:t>
      </w:r>
    </w:p>
    <w:tbl>
      <w:tblPr>
        <w:tblOverlap w:val="never"/>
        <w:jc w:val="center"/>
        <w:tblLayout w:type="fixed"/>
      </w:tblPr>
      <w:tblGrid>
        <w:gridCol w:w="3192"/>
        <w:gridCol w:w="3192"/>
        <w:gridCol w:w="3202"/>
      </w:tblGrid>
      <w:tr>
        <w:trPr>
          <w:trHeight w:val="40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回购公司股票所支付的现金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100,973,450.64</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支付保证金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1,319.18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left"/>
              <w:rPr>
                <w:sz w:val="18"/>
                <w:szCs w:val="18"/>
              </w:rPr>
            </w:pPr>
            <w:r>
              <w:rPr>
                <w:rFonts w:ascii="Times New Roman" w:eastAsia="Times New Roman" w:hAnsi="Times New Roman" w:cs="Times New Roman"/>
                <w:color w:val="000000"/>
                <w:spacing w:val="0"/>
                <w:w w:val="100"/>
                <w:position w:val="0"/>
                <w:sz w:val="18"/>
                <w:szCs w:val="18"/>
              </w:rPr>
              <w:t>11,154,456.38</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存放的受限货币资金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6,743.31</w:t>
            </w: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付以前年度已纳入合并范围的子公司原 股东股权收购款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5,199,976.43</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购买非全资子公司部分股权支付的现金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750,001.00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left"/>
              <w:rPr>
                <w:sz w:val="18"/>
                <w:szCs w:val="18"/>
              </w:rPr>
            </w:pPr>
            <w:r>
              <w:rPr>
                <w:rFonts w:ascii="Times New Roman" w:eastAsia="Times New Roman" w:hAnsi="Times New Roman" w:cs="Times New Roman"/>
                <w:color w:val="000000"/>
                <w:spacing w:val="0"/>
                <w:w w:val="100"/>
                <w:position w:val="0"/>
                <w:sz w:val="18"/>
                <w:szCs w:val="18"/>
              </w:rPr>
              <w:t>35,000,000.00</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101,731,514.13</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120" w:right="0" w:firstLine="0"/>
              <w:jc w:val="left"/>
              <w:rPr>
                <w:sz w:val="18"/>
                <w:szCs w:val="18"/>
              </w:rPr>
            </w:pPr>
            <w:r>
              <w:rPr>
                <w:rFonts w:ascii="Times New Roman" w:eastAsia="Times New Roman" w:hAnsi="Times New Roman" w:cs="Times New Roman"/>
                <w:color w:val="000000"/>
                <w:spacing w:val="0"/>
                <w:w w:val="100"/>
                <w:position w:val="0"/>
                <w:sz w:val="18"/>
                <w:szCs w:val="18"/>
              </w:rPr>
              <w:t>51,354,432.81</w:t>
            </w:r>
          </w:p>
        </w:tc>
      </w:tr>
    </w:tbl>
    <w:p>
      <w:pPr>
        <w:widowControl w:val="0"/>
        <w:spacing w:after="319" w:line="1" w:lineRule="exact"/>
      </w:pPr>
    </w:p>
    <w:p>
      <w:pPr>
        <w:pStyle w:val="Style47"/>
        <w:keepNext/>
        <w:keepLines/>
        <w:widowControl w:val="0"/>
        <w:shd w:val="clear" w:color="auto" w:fill="auto"/>
        <w:bidi w:val="0"/>
        <w:spacing w:before="0" w:after="400" w:line="240" w:lineRule="auto"/>
        <w:ind w:left="0" w:right="0" w:firstLine="0"/>
        <w:jc w:val="left"/>
      </w:pPr>
      <w:bookmarkStart w:id="1799" w:name="bookmark1799"/>
      <w:bookmarkStart w:id="1800" w:name="bookmark1800"/>
      <w:bookmarkStart w:id="1801" w:name="bookmark1801"/>
      <w:bookmarkStart w:id="1802" w:name="bookmark1802"/>
      <w:r>
        <w:rPr>
          <w:color w:val="000000"/>
          <w:spacing w:val="0"/>
          <w:w w:val="100"/>
          <w:position w:val="0"/>
        </w:rPr>
        <w:t>7</w:t>
      </w:r>
      <w:bookmarkEnd w:id="1801"/>
      <w:r>
        <w:rPr>
          <w:color w:val="000000"/>
          <w:spacing w:val="0"/>
          <w:w w:val="100"/>
          <w:position w:val="0"/>
        </w:rPr>
        <w:t>9、现金流量表补充资料</w:t>
      </w:r>
      <w:bookmarkEnd w:id="1799"/>
      <w:bookmarkEnd w:id="1800"/>
      <w:bookmarkEnd w:id="1802"/>
    </w:p>
    <w:p>
      <w:pPr>
        <w:pStyle w:val="Style58"/>
        <w:keepNext/>
        <w:keepLines/>
        <w:widowControl w:val="0"/>
        <w:shd w:val="clear" w:color="auto" w:fill="auto"/>
        <w:bidi w:val="0"/>
        <w:spacing w:before="0" w:after="400" w:line="240" w:lineRule="auto"/>
        <w:ind w:left="0" w:right="0" w:firstLine="0"/>
        <w:jc w:val="left"/>
        <w:rPr>
          <w:sz w:val="20"/>
          <w:szCs w:val="20"/>
        </w:rPr>
      </w:pPr>
      <w:bookmarkStart w:id="1803" w:name="bookmark1803"/>
      <w:bookmarkStart w:id="1804" w:name="bookmark1804"/>
      <w:bookmarkStart w:id="1805" w:name="bookmark1805"/>
      <w:r>
        <w:rPr>
          <w:b/>
          <w:bCs/>
          <w:color w:val="000000"/>
          <w:spacing w:val="0"/>
          <w:w w:val="100"/>
          <w:position w:val="0"/>
          <w:sz w:val="20"/>
          <w:szCs w:val="20"/>
        </w:rPr>
        <w:t>（1）现金流量表补充资料</w:t>
      </w:r>
      <w:bookmarkEnd w:id="1803"/>
      <w:bookmarkEnd w:id="1804"/>
      <w:bookmarkEnd w:id="1805"/>
    </w:p>
    <w:p>
      <w:pPr>
        <w:pStyle w:val="Style41"/>
        <w:keepNext w:val="0"/>
        <w:keepLines w:val="0"/>
        <w:widowControl w:val="0"/>
        <w:shd w:val="clear" w:color="auto" w:fill="auto"/>
        <w:bidi w:val="0"/>
        <w:spacing w:before="0" w:after="80" w:line="240" w:lineRule="auto"/>
        <w:ind w:left="8920" w:right="0" w:firstLine="0"/>
        <w:jc w:val="left"/>
      </w:pPr>
      <w:r>
        <w:rPr>
          <w:color w:val="000000"/>
          <w:spacing w:val="0"/>
          <w:w w:val="100"/>
          <w:position w:val="0"/>
        </w:rPr>
        <w:t>单位：元</w:t>
      </w:r>
    </w:p>
    <w:tbl>
      <w:tblPr>
        <w:tblOverlap w:val="never"/>
        <w:jc w:val="center"/>
        <w:tblLayout w:type="fixed"/>
      </w:tblPr>
      <w:tblGrid>
        <w:gridCol w:w="6101"/>
        <w:gridCol w:w="1738"/>
        <w:gridCol w:w="1742"/>
      </w:tblGrid>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补充资料</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本期金额</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500"/>
              <w:jc w:val="left"/>
            </w:pPr>
            <w:r>
              <w:rPr>
                <w:color w:val="000000"/>
                <w:spacing w:val="0"/>
                <w:w w:val="100"/>
                <w:position w:val="0"/>
              </w:rPr>
              <w:t>上期金额</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.将净利润调节为经营活动现金流量：</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760"/>
              <w:jc w:val="left"/>
              <w:rPr>
                <w:sz w:val="18"/>
                <w:szCs w:val="18"/>
              </w:rPr>
            </w:pPr>
            <w:r>
              <w:rPr>
                <w:rFonts w:ascii="Times New Roman" w:eastAsia="Times New Roman" w:hAnsi="Times New Roman" w:cs="Times New Roman"/>
                <w:color w:val="000000"/>
                <w:spacing w:val="0"/>
                <w:w w:val="100"/>
                <w:position w:val="0"/>
                <w:sz w:val="18"/>
                <w:szCs w:val="18"/>
              </w:rPr>
              <w:t>--</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净利润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327,347,435.86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-1,469,479,358.40</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加：信用减值准备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44,560,205.70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both"/>
              <w:rPr>
                <w:sz w:val="18"/>
                <w:szCs w:val="18"/>
              </w:rPr>
            </w:pPr>
            <w:r>
              <w:rPr>
                <w:rFonts w:ascii="Times New Roman" w:eastAsia="Times New Roman" w:hAnsi="Times New Roman" w:cs="Times New Roman"/>
                <w:color w:val="000000"/>
                <w:spacing w:val="0"/>
                <w:w w:val="100"/>
                <w:position w:val="0"/>
                <w:sz w:val="18"/>
                <w:szCs w:val="18"/>
              </w:rPr>
              <w:t>346,378,153.90</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740"/>
              <w:jc w:val="left"/>
            </w:pPr>
            <w:r>
              <w:rPr>
                <w:color w:val="000000"/>
                <w:spacing w:val="0"/>
                <w:w w:val="100"/>
                <w:position w:val="0"/>
              </w:rPr>
              <w:t>资产减值准备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both"/>
              <w:rPr>
                <w:sz w:val="18"/>
                <w:szCs w:val="18"/>
              </w:rPr>
            </w:pPr>
            <w:r>
              <w:rPr>
                <w:rFonts w:ascii="Times New Roman" w:eastAsia="Times New Roman" w:hAnsi="Times New Roman" w:cs="Times New Roman"/>
                <w:color w:val="000000"/>
                <w:spacing w:val="0"/>
                <w:w w:val="100"/>
                <w:position w:val="0"/>
                <w:sz w:val="18"/>
                <w:szCs w:val="18"/>
              </w:rPr>
              <w:t>2,024,656.42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both"/>
              <w:rPr>
                <w:sz w:val="18"/>
                <w:szCs w:val="18"/>
              </w:rPr>
            </w:pPr>
            <w:r>
              <w:rPr>
                <w:rFonts w:ascii="Times New Roman" w:eastAsia="Times New Roman" w:hAnsi="Times New Roman" w:cs="Times New Roman"/>
                <w:color w:val="000000"/>
                <w:spacing w:val="0"/>
                <w:w w:val="100"/>
                <w:position w:val="0"/>
                <w:sz w:val="18"/>
                <w:szCs w:val="18"/>
              </w:rPr>
              <w:t>601,509,986.85</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740"/>
              <w:jc w:val="left"/>
            </w:pPr>
            <w:r>
              <w:rPr>
                <w:color w:val="000000"/>
                <w:spacing w:val="0"/>
                <w:w w:val="100"/>
                <w:position w:val="0"/>
              </w:rPr>
              <w:t>固定资产折旧、油气资产折耗、生产性生物资产折旧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25,678,177.57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28,938,057.34</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740"/>
              <w:jc w:val="left"/>
            </w:pPr>
            <w:r>
              <w:rPr>
                <w:color w:val="000000"/>
                <w:spacing w:val="0"/>
                <w:w w:val="100"/>
                <w:position w:val="0"/>
              </w:rPr>
              <w:t>使用权资产折旧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740"/>
              <w:jc w:val="left"/>
            </w:pPr>
            <w:r>
              <w:rPr>
                <w:color w:val="000000"/>
                <w:spacing w:val="0"/>
                <w:w w:val="100"/>
                <w:position w:val="0"/>
              </w:rPr>
              <w:t>无形资产摊销</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79,609,603.46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81,154,349.70</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740"/>
              <w:jc w:val="left"/>
            </w:pPr>
            <w:r>
              <w:rPr>
                <w:color w:val="000000"/>
                <w:spacing w:val="0"/>
                <w:w w:val="100"/>
                <w:position w:val="0"/>
              </w:rPr>
              <w:t>长期待摊费用摊销</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both"/>
              <w:rPr>
                <w:sz w:val="18"/>
                <w:szCs w:val="18"/>
              </w:rPr>
            </w:pPr>
            <w:r>
              <w:rPr>
                <w:rFonts w:ascii="Times New Roman" w:eastAsia="Times New Roman" w:hAnsi="Times New Roman" w:cs="Times New Roman"/>
                <w:color w:val="000000"/>
                <w:spacing w:val="0"/>
                <w:w w:val="100"/>
                <w:position w:val="0"/>
                <w:sz w:val="18"/>
                <w:szCs w:val="18"/>
              </w:rPr>
              <w:t>3,709,600.18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both"/>
              <w:rPr>
                <w:sz w:val="18"/>
                <w:szCs w:val="18"/>
              </w:rPr>
            </w:pPr>
            <w:r>
              <w:rPr>
                <w:rFonts w:ascii="Times New Roman" w:eastAsia="Times New Roman" w:hAnsi="Times New Roman" w:cs="Times New Roman"/>
                <w:color w:val="000000"/>
                <w:spacing w:val="0"/>
                <w:w w:val="100"/>
                <w:position w:val="0"/>
                <w:sz w:val="18"/>
                <w:szCs w:val="18"/>
              </w:rPr>
              <w:t>2,051,769.14</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740"/>
              <w:jc w:val="left"/>
            </w:pPr>
            <w:r>
              <w:rPr>
                <w:color w:val="000000"/>
                <w:spacing w:val="0"/>
                <w:w w:val="100"/>
                <w:position w:val="0"/>
              </w:rPr>
              <w:t>处置固定资产、无形资产和其他长期资产的损失（收益以</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一</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号填列）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119,489.05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both"/>
              <w:rPr>
                <w:sz w:val="18"/>
                <w:szCs w:val="18"/>
              </w:rPr>
            </w:pPr>
            <w:r>
              <w:rPr>
                <w:rFonts w:ascii="Times New Roman" w:eastAsia="Times New Roman" w:hAnsi="Times New Roman" w:cs="Times New Roman"/>
                <w:color w:val="000000"/>
                <w:spacing w:val="0"/>
                <w:w w:val="100"/>
                <w:position w:val="0"/>
                <w:sz w:val="18"/>
                <w:szCs w:val="18"/>
              </w:rPr>
              <w:t>1,143,924.57</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740"/>
              <w:jc w:val="left"/>
            </w:pPr>
            <w:r>
              <w:rPr>
                <w:color w:val="000000"/>
                <w:spacing w:val="0"/>
                <w:w w:val="100"/>
                <w:position w:val="0"/>
              </w:rPr>
              <w:t>固定资产报废损失（收益以</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一</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740"/>
              <w:jc w:val="left"/>
            </w:pPr>
            <w:r>
              <w:rPr>
                <w:color w:val="000000"/>
                <w:spacing w:val="0"/>
                <w:w w:val="100"/>
                <w:position w:val="0"/>
              </w:rPr>
              <w:t>公允价值变动损失（收益以</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一</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号填列）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-9,510,168.35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both"/>
              <w:rPr>
                <w:sz w:val="18"/>
                <w:szCs w:val="18"/>
              </w:rPr>
            </w:pPr>
            <w:r>
              <w:rPr>
                <w:rFonts w:ascii="Times New Roman" w:eastAsia="Times New Roman" w:hAnsi="Times New Roman" w:cs="Times New Roman"/>
                <w:color w:val="000000"/>
                <w:spacing w:val="0"/>
                <w:w w:val="100"/>
                <w:position w:val="0"/>
                <w:sz w:val="18"/>
                <w:szCs w:val="18"/>
              </w:rPr>
              <w:t>135,892,059.21</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740"/>
              <w:jc w:val="left"/>
            </w:pPr>
            <w:r>
              <w:rPr>
                <w:color w:val="000000"/>
                <w:spacing w:val="0"/>
                <w:w w:val="100"/>
                <w:position w:val="0"/>
              </w:rPr>
              <w:t>财务费用（收益以</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一</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号填列）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40,499,436.39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42,696,433.88</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740"/>
              <w:jc w:val="left"/>
            </w:pPr>
            <w:r>
              <w:rPr>
                <w:color w:val="000000"/>
                <w:spacing w:val="0"/>
                <w:w w:val="100"/>
                <w:position w:val="0"/>
              </w:rPr>
              <w:t>投资损失（收益以</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一</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号填列）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-11,627,289.81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-7,432,791.07</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740"/>
              <w:jc w:val="left"/>
            </w:pPr>
            <w:r>
              <w:rPr>
                <w:color w:val="000000"/>
                <w:spacing w:val="0"/>
                <w:w w:val="100"/>
                <w:position w:val="0"/>
              </w:rPr>
              <w:t>递延所得税资产减少（增加以</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一</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号填列）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-229,669.19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12,619,568.03</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740"/>
              <w:jc w:val="left"/>
            </w:pPr>
            <w:r>
              <w:rPr>
                <w:color w:val="000000"/>
                <w:spacing w:val="0"/>
                <w:w w:val="100"/>
                <w:position w:val="0"/>
              </w:rPr>
              <w:t>递延所得税负债增加（减少以</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一</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号填列）</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both"/>
              <w:rPr>
                <w:sz w:val="18"/>
                <w:szCs w:val="18"/>
              </w:rPr>
            </w:pPr>
            <w:r>
              <w:rPr>
                <w:rFonts w:ascii="Times New Roman" w:eastAsia="Times New Roman" w:hAnsi="Times New Roman" w:cs="Times New Roman"/>
                <w:color w:val="000000"/>
                <w:spacing w:val="0"/>
                <w:w w:val="100"/>
                <w:position w:val="0"/>
                <w:sz w:val="18"/>
                <w:szCs w:val="18"/>
              </w:rPr>
              <w:t>1,489,392.14</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-659,626.22</w:t>
            </w:r>
          </w:p>
        </w:tc>
      </w:tr>
    </w:tbl>
    <w:p>
      <w:pPr>
        <w:widowControl w:val="0"/>
        <w:spacing w:line="1" w:lineRule="exact"/>
      </w:pPr>
      <w:r>
        <w:br w:type="page"/>
      </w:r>
    </w:p>
    <w:tbl>
      <w:tblPr>
        <w:tblOverlap w:val="never"/>
        <w:jc w:val="center"/>
        <w:tblLayout w:type="fixed"/>
      </w:tblPr>
      <w:tblGrid>
        <w:gridCol w:w="6101"/>
        <w:gridCol w:w="1738"/>
        <w:gridCol w:w="1742"/>
      </w:tblGrid>
      <w:tr>
        <w:trPr>
          <w:trHeight w:val="480"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740"/>
              <w:jc w:val="left"/>
            </w:pPr>
            <w:r>
              <w:rPr>
                <w:color w:val="000000"/>
                <w:spacing w:val="0"/>
                <w:w w:val="100"/>
                <w:position w:val="0"/>
              </w:rPr>
              <w:t>存货的减少（增加以</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一</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号填列）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88,543,028.75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-58,226,591.96</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740"/>
              <w:jc w:val="left"/>
            </w:pPr>
            <w:r>
              <w:rPr>
                <w:color w:val="000000"/>
                <w:spacing w:val="0"/>
                <w:w w:val="100"/>
                <w:position w:val="0"/>
              </w:rPr>
              <w:t>经营性应收项目的减少（增加以</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一</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号填列）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-88,935,788.68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both"/>
              <w:rPr>
                <w:sz w:val="18"/>
                <w:szCs w:val="18"/>
              </w:rPr>
            </w:pPr>
            <w:r>
              <w:rPr>
                <w:rFonts w:ascii="Times New Roman" w:eastAsia="Times New Roman" w:hAnsi="Times New Roman" w:cs="Times New Roman"/>
                <w:color w:val="000000"/>
                <w:spacing w:val="0"/>
                <w:w w:val="100"/>
                <w:position w:val="0"/>
                <w:sz w:val="18"/>
                <w:szCs w:val="18"/>
              </w:rPr>
              <w:t>255,126,426.65</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740"/>
              <w:jc w:val="left"/>
            </w:pPr>
            <w:r>
              <w:rPr>
                <w:color w:val="000000"/>
                <w:spacing w:val="0"/>
                <w:w w:val="100"/>
                <w:position w:val="0"/>
              </w:rPr>
              <w:t>经营性应付项目的增加（减少以</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一</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号填列）</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both"/>
              <w:rPr>
                <w:sz w:val="18"/>
                <w:szCs w:val="18"/>
              </w:rPr>
            </w:pPr>
            <w:r>
              <w:rPr>
                <w:rFonts w:ascii="Times New Roman" w:eastAsia="Times New Roman" w:hAnsi="Times New Roman" w:cs="Times New Roman"/>
                <w:color w:val="000000"/>
                <w:spacing w:val="0"/>
                <w:w w:val="100"/>
                <w:position w:val="0"/>
                <w:sz w:val="18"/>
                <w:szCs w:val="18"/>
              </w:rPr>
              <w:t>138,225,591.27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both"/>
              <w:rPr>
                <w:sz w:val="18"/>
                <w:szCs w:val="18"/>
              </w:rPr>
            </w:pPr>
            <w:r>
              <w:rPr>
                <w:rFonts w:ascii="Times New Roman" w:eastAsia="Times New Roman" w:hAnsi="Times New Roman" w:cs="Times New Roman"/>
                <w:color w:val="000000"/>
                <w:spacing w:val="0"/>
                <w:w w:val="100"/>
                <w:position w:val="0"/>
                <w:sz w:val="18"/>
                <w:szCs w:val="18"/>
              </w:rPr>
              <w:t>193,173,919.87</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740"/>
              <w:jc w:val="left"/>
            </w:pP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740"/>
              <w:jc w:val="left"/>
            </w:pPr>
            <w:r>
              <w:rPr>
                <w:color w:val="000000"/>
                <w:spacing w:val="0"/>
                <w:w w:val="100"/>
                <w:position w:val="0"/>
              </w:rPr>
              <w:t>经营活动产生的现金流量净额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both"/>
              <w:rPr>
                <w:sz w:val="18"/>
                <w:szCs w:val="18"/>
              </w:rPr>
            </w:pPr>
            <w:r>
              <w:rPr>
                <w:rFonts w:ascii="Times New Roman" w:eastAsia="Times New Roman" w:hAnsi="Times New Roman" w:cs="Times New Roman"/>
                <w:color w:val="000000"/>
                <w:spacing w:val="0"/>
                <w:w w:val="100"/>
                <w:position w:val="0"/>
                <w:sz w:val="18"/>
                <w:szCs w:val="18"/>
              </w:rPr>
              <w:t>641,503,700.76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both"/>
              <w:rPr>
                <w:sz w:val="18"/>
                <w:szCs w:val="18"/>
              </w:rPr>
            </w:pPr>
            <w:r>
              <w:rPr>
                <w:rFonts w:ascii="Times New Roman" w:eastAsia="Times New Roman" w:hAnsi="Times New Roman" w:cs="Times New Roman"/>
                <w:color w:val="000000"/>
                <w:spacing w:val="0"/>
                <w:w w:val="100"/>
                <w:position w:val="0"/>
                <w:sz w:val="18"/>
                <w:szCs w:val="18"/>
              </w:rPr>
              <w:t>164,886,281.49</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w:t>
            </w:r>
            <w:r>
              <w:rPr>
                <w:color w:val="000000"/>
                <w:spacing w:val="0"/>
                <w:w w:val="100"/>
                <w:position w:val="0"/>
              </w:rPr>
              <w:t>不涉及现金收支的重大投资和筹资活动：</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债务转为资本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一年内到期的可转换公司债券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融资租入固定资产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3</w:t>
            </w:r>
            <w:r>
              <w:rPr>
                <w:color w:val="000000"/>
                <w:spacing w:val="0"/>
                <w:w w:val="100"/>
                <w:position w:val="0"/>
              </w:rPr>
              <w:t>.现金及现金等价物净变动情况：</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现金的期末余额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both"/>
              <w:rPr>
                <w:sz w:val="18"/>
                <w:szCs w:val="18"/>
              </w:rPr>
            </w:pPr>
            <w:r>
              <w:rPr>
                <w:rFonts w:ascii="Times New Roman" w:eastAsia="Times New Roman" w:hAnsi="Times New Roman" w:cs="Times New Roman"/>
                <w:color w:val="000000"/>
                <w:spacing w:val="0"/>
                <w:w w:val="100"/>
                <w:position w:val="0"/>
                <w:sz w:val="18"/>
                <w:szCs w:val="18"/>
              </w:rPr>
              <w:t>831,966,021.64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both"/>
              <w:rPr>
                <w:sz w:val="18"/>
                <w:szCs w:val="18"/>
              </w:rPr>
            </w:pPr>
            <w:r>
              <w:rPr>
                <w:rFonts w:ascii="Times New Roman" w:eastAsia="Times New Roman" w:hAnsi="Times New Roman" w:cs="Times New Roman"/>
                <w:color w:val="000000"/>
                <w:spacing w:val="0"/>
                <w:w w:val="100"/>
                <w:position w:val="0"/>
                <w:sz w:val="18"/>
                <w:szCs w:val="18"/>
              </w:rPr>
              <w:t>796,037,689.30</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减：现金的期初余额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both"/>
              <w:rPr>
                <w:sz w:val="18"/>
                <w:szCs w:val="18"/>
              </w:rPr>
            </w:pPr>
            <w:r>
              <w:rPr>
                <w:rFonts w:ascii="Times New Roman" w:eastAsia="Times New Roman" w:hAnsi="Times New Roman" w:cs="Times New Roman"/>
                <w:color w:val="000000"/>
                <w:spacing w:val="0"/>
                <w:w w:val="100"/>
                <w:position w:val="0"/>
                <w:sz w:val="18"/>
                <w:szCs w:val="18"/>
              </w:rPr>
              <w:t>796,037,689.30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both"/>
              <w:rPr>
                <w:sz w:val="18"/>
                <w:szCs w:val="18"/>
              </w:rPr>
            </w:pPr>
            <w:r>
              <w:rPr>
                <w:rFonts w:ascii="Times New Roman" w:eastAsia="Times New Roman" w:hAnsi="Times New Roman" w:cs="Times New Roman"/>
                <w:color w:val="000000"/>
                <w:spacing w:val="0"/>
                <w:w w:val="100"/>
                <w:position w:val="0"/>
                <w:sz w:val="18"/>
                <w:szCs w:val="18"/>
              </w:rPr>
              <w:t>507,464,867.86</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加：现金等价物的期末余额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减：现金等价物的期初余额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现金及现金等价物净增加额</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35,928,332.34</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both"/>
              <w:rPr>
                <w:sz w:val="18"/>
                <w:szCs w:val="18"/>
              </w:rPr>
            </w:pPr>
            <w:r>
              <w:rPr>
                <w:rFonts w:ascii="Times New Roman" w:eastAsia="Times New Roman" w:hAnsi="Times New Roman" w:cs="Times New Roman"/>
                <w:color w:val="000000"/>
                <w:spacing w:val="0"/>
                <w:w w:val="100"/>
                <w:position w:val="0"/>
                <w:sz w:val="18"/>
                <w:szCs w:val="18"/>
              </w:rPr>
              <w:t>288,572,821.44</w:t>
            </w:r>
          </w:p>
        </w:tc>
      </w:tr>
    </w:tbl>
    <w:p>
      <w:pPr>
        <w:widowControl w:val="0"/>
        <w:spacing w:after="319" w:line="1" w:lineRule="exact"/>
      </w:pPr>
    </w:p>
    <w:p>
      <w:pPr>
        <w:pStyle w:val="Style58"/>
        <w:keepNext/>
        <w:keepLines/>
        <w:widowControl w:val="0"/>
        <w:shd w:val="clear" w:color="auto" w:fill="auto"/>
        <w:bidi w:val="0"/>
        <w:spacing w:before="0" w:after="400" w:line="240" w:lineRule="auto"/>
        <w:ind w:left="0" w:right="0" w:firstLine="0"/>
        <w:jc w:val="left"/>
        <w:rPr>
          <w:sz w:val="20"/>
          <w:szCs w:val="20"/>
        </w:rPr>
      </w:pPr>
      <w:bookmarkStart w:id="1806" w:name="bookmark1806"/>
      <w:bookmarkStart w:id="1807" w:name="bookmark1807"/>
      <w:bookmarkStart w:id="1808" w:name="bookmark1808"/>
      <w:r>
        <w:rPr>
          <w:b/>
          <w:bCs/>
          <w:color w:val="000000"/>
          <w:spacing w:val="0"/>
          <w:w w:val="100"/>
          <w:position w:val="0"/>
          <w:sz w:val="20"/>
          <w:szCs w:val="20"/>
        </w:rPr>
        <w:t>（2）本期支付的取得子公司的现金净额</w:t>
      </w:r>
      <w:bookmarkEnd w:id="1806"/>
      <w:bookmarkEnd w:id="1807"/>
      <w:bookmarkEnd w:id="1808"/>
    </w:p>
    <w:p>
      <w:pPr>
        <w:pStyle w:val="Style41"/>
        <w:keepNext w:val="0"/>
        <w:keepLines w:val="0"/>
        <w:widowControl w:val="0"/>
        <w:shd w:val="clear" w:color="auto" w:fill="auto"/>
        <w:bidi w:val="0"/>
        <w:spacing w:before="0" w:after="400" w:line="240" w:lineRule="auto"/>
        <w:ind w:left="0" w:right="0" w:firstLine="360"/>
        <w:jc w:val="left"/>
      </w:pPr>
      <w:r>
        <w:rPr>
          <w:color w:val="000000"/>
          <w:spacing w:val="0"/>
          <w:w w:val="100"/>
          <w:position w:val="0"/>
        </w:rPr>
        <w:t>无。</w:t>
      </w:r>
    </w:p>
    <w:p>
      <w:pPr>
        <w:pStyle w:val="Style58"/>
        <w:keepNext/>
        <w:keepLines/>
        <w:widowControl w:val="0"/>
        <w:shd w:val="clear" w:color="auto" w:fill="auto"/>
        <w:bidi w:val="0"/>
        <w:spacing w:before="0" w:after="400" w:line="240" w:lineRule="auto"/>
        <w:ind w:left="0" w:right="0" w:firstLine="0"/>
        <w:jc w:val="left"/>
        <w:rPr>
          <w:sz w:val="20"/>
          <w:szCs w:val="20"/>
        </w:rPr>
      </w:pPr>
      <w:bookmarkStart w:id="1809" w:name="bookmark1809"/>
      <w:bookmarkStart w:id="1810" w:name="bookmark1810"/>
      <w:bookmarkStart w:id="1811" w:name="bookmark1811"/>
      <w:bookmarkStart w:id="1812" w:name="bookmark1812"/>
      <w:r>
        <w:rPr>
          <w:b/>
          <w:bCs/>
          <w:color w:val="000000"/>
          <w:spacing w:val="0"/>
          <w:w w:val="100"/>
          <w:position w:val="0"/>
          <w:sz w:val="20"/>
          <w:szCs w:val="20"/>
        </w:rPr>
        <w:t>（</w:t>
      </w:r>
      <w:bookmarkEnd w:id="1811"/>
      <w:r>
        <w:rPr>
          <w:b/>
          <w:bCs/>
          <w:color w:val="000000"/>
          <w:spacing w:val="0"/>
          <w:w w:val="100"/>
          <w:position w:val="0"/>
          <w:sz w:val="20"/>
          <w:szCs w:val="20"/>
        </w:rPr>
        <w:t>3）本期收到的处置子公司的现金净额</w:t>
      </w:r>
      <w:bookmarkEnd w:id="1809"/>
      <w:bookmarkEnd w:id="1810"/>
      <w:bookmarkEnd w:id="1812"/>
    </w:p>
    <w:p>
      <w:pPr>
        <w:pStyle w:val="Style41"/>
        <w:keepNext w:val="0"/>
        <w:keepLines w:val="0"/>
        <w:widowControl w:val="0"/>
        <w:shd w:val="clear" w:color="auto" w:fill="auto"/>
        <w:bidi w:val="0"/>
        <w:spacing w:before="0" w:after="400" w:line="240" w:lineRule="auto"/>
        <w:ind w:left="0" w:right="0" w:firstLine="360"/>
        <w:jc w:val="left"/>
      </w:pPr>
      <w:r>
        <w:rPr>
          <w:color w:val="000000"/>
          <w:spacing w:val="0"/>
          <w:w w:val="100"/>
          <w:position w:val="0"/>
        </w:rPr>
        <w:t>无。</w:t>
      </w:r>
    </w:p>
    <w:p>
      <w:pPr>
        <w:pStyle w:val="Style58"/>
        <w:keepNext/>
        <w:keepLines/>
        <w:widowControl w:val="0"/>
        <w:shd w:val="clear" w:color="auto" w:fill="auto"/>
        <w:bidi w:val="0"/>
        <w:spacing w:before="0" w:after="400" w:line="240" w:lineRule="auto"/>
        <w:ind w:left="0" w:right="0" w:firstLine="0"/>
        <w:jc w:val="left"/>
        <w:rPr>
          <w:sz w:val="20"/>
          <w:szCs w:val="20"/>
        </w:rPr>
      </w:pPr>
      <w:bookmarkStart w:id="1813" w:name="bookmark1813"/>
      <w:bookmarkStart w:id="1814" w:name="bookmark1814"/>
      <w:bookmarkStart w:id="1815" w:name="bookmark1815"/>
      <w:bookmarkStart w:id="1816" w:name="bookmark1816"/>
      <w:r>
        <w:rPr>
          <w:b/>
          <w:bCs/>
          <w:color w:val="000000"/>
          <w:spacing w:val="0"/>
          <w:w w:val="100"/>
          <w:position w:val="0"/>
          <w:sz w:val="20"/>
          <w:szCs w:val="20"/>
        </w:rPr>
        <w:t>（</w:t>
      </w:r>
      <w:bookmarkEnd w:id="1815"/>
      <w:r>
        <w:rPr>
          <w:b/>
          <w:bCs/>
          <w:color w:val="000000"/>
          <w:spacing w:val="0"/>
          <w:w w:val="100"/>
          <w:position w:val="0"/>
          <w:sz w:val="20"/>
          <w:szCs w:val="20"/>
        </w:rPr>
        <w:t>4）现金和现金等价物的构成</w:t>
      </w:r>
      <w:bookmarkEnd w:id="1813"/>
      <w:bookmarkEnd w:id="1814"/>
      <w:bookmarkEnd w:id="1816"/>
    </w:p>
    <w:p>
      <w:pPr>
        <w:pStyle w:val="Style41"/>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3264"/>
        <w:gridCol w:w="3125"/>
        <w:gridCol w:w="3192"/>
      </w:tblGrid>
      <w:tr>
        <w:trPr>
          <w:trHeight w:val="40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一、现金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60" w:right="0" w:firstLine="0"/>
              <w:jc w:val="left"/>
              <w:rPr>
                <w:sz w:val="18"/>
                <w:szCs w:val="18"/>
              </w:rPr>
            </w:pPr>
            <w:r>
              <w:rPr>
                <w:rFonts w:ascii="Times New Roman" w:eastAsia="Times New Roman" w:hAnsi="Times New Roman" w:cs="Times New Roman"/>
                <w:color w:val="000000"/>
                <w:spacing w:val="0"/>
                <w:w w:val="100"/>
                <w:position w:val="0"/>
                <w:sz w:val="18"/>
                <w:szCs w:val="18"/>
              </w:rPr>
              <w:t>831,966,021.64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rPr>
                <w:sz w:val="18"/>
                <w:szCs w:val="18"/>
              </w:rPr>
            </w:pPr>
            <w:r>
              <w:rPr>
                <w:rFonts w:ascii="Times New Roman" w:eastAsia="Times New Roman" w:hAnsi="Times New Roman" w:cs="Times New Roman"/>
                <w:color w:val="000000"/>
                <w:spacing w:val="0"/>
                <w:w w:val="100"/>
                <w:position w:val="0"/>
                <w:sz w:val="18"/>
                <w:szCs w:val="18"/>
              </w:rPr>
              <w:t>796,037,689.30</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其中：库存现金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93,228.68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45,831.54</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560"/>
              <w:jc w:val="left"/>
            </w:pPr>
            <w:r>
              <w:rPr>
                <w:color w:val="000000"/>
                <w:spacing w:val="0"/>
                <w:w w:val="100"/>
                <w:position w:val="0"/>
              </w:rPr>
              <w:t>可随时用于支付的银行存款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60" w:right="0" w:firstLine="0"/>
              <w:jc w:val="left"/>
              <w:rPr>
                <w:sz w:val="18"/>
                <w:szCs w:val="18"/>
              </w:rPr>
            </w:pPr>
            <w:r>
              <w:rPr>
                <w:rFonts w:ascii="Times New Roman" w:eastAsia="Times New Roman" w:hAnsi="Times New Roman" w:cs="Times New Roman"/>
                <w:color w:val="000000"/>
                <w:spacing w:val="0"/>
                <w:w w:val="100"/>
                <w:position w:val="0"/>
                <w:sz w:val="18"/>
                <w:szCs w:val="18"/>
              </w:rPr>
              <w:t>828,965,843.58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rPr>
                <w:sz w:val="18"/>
                <w:szCs w:val="18"/>
              </w:rPr>
            </w:pPr>
            <w:r>
              <w:rPr>
                <w:rFonts w:ascii="Times New Roman" w:eastAsia="Times New Roman" w:hAnsi="Times New Roman" w:cs="Times New Roman"/>
                <w:color w:val="000000"/>
                <w:spacing w:val="0"/>
                <w:w w:val="100"/>
                <w:position w:val="0"/>
                <w:sz w:val="18"/>
                <w:szCs w:val="18"/>
              </w:rPr>
              <w:t>793,142,889.37</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560"/>
              <w:jc w:val="left"/>
            </w:pPr>
            <w:r>
              <w:rPr>
                <w:color w:val="000000"/>
                <w:spacing w:val="0"/>
                <w:w w:val="100"/>
                <w:position w:val="0"/>
              </w:rPr>
              <w:t>可随时用于支付的其他货币资金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2,906,949.38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2,848,968.39</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二、现金等价物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三、期末现金及现金等价物余额</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60" w:right="0" w:firstLine="0"/>
              <w:jc w:val="left"/>
              <w:rPr>
                <w:sz w:val="18"/>
                <w:szCs w:val="18"/>
              </w:rPr>
            </w:pPr>
            <w:r>
              <w:rPr>
                <w:rFonts w:ascii="Times New Roman" w:eastAsia="Times New Roman" w:hAnsi="Times New Roman" w:cs="Times New Roman"/>
                <w:color w:val="000000"/>
                <w:spacing w:val="0"/>
                <w:w w:val="100"/>
                <w:position w:val="0"/>
                <w:sz w:val="18"/>
                <w:szCs w:val="18"/>
              </w:rPr>
              <w:t>831,966,021.64</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rPr>
                <w:sz w:val="18"/>
                <w:szCs w:val="18"/>
              </w:rPr>
            </w:pPr>
            <w:r>
              <w:rPr>
                <w:rFonts w:ascii="Times New Roman" w:eastAsia="Times New Roman" w:hAnsi="Times New Roman" w:cs="Times New Roman"/>
                <w:color w:val="000000"/>
                <w:spacing w:val="0"/>
                <w:w w:val="100"/>
                <w:position w:val="0"/>
                <w:sz w:val="18"/>
                <w:szCs w:val="18"/>
              </w:rPr>
              <w:t>796,037,689.30</w:t>
            </w:r>
          </w:p>
        </w:tc>
      </w:tr>
    </w:tbl>
    <w:p>
      <w:pPr>
        <w:widowControl w:val="0"/>
        <w:spacing w:after="319" w:line="1" w:lineRule="exact"/>
      </w:pPr>
    </w:p>
    <w:p>
      <w:pPr>
        <w:pStyle w:val="Style47"/>
        <w:keepNext/>
        <w:keepLines/>
        <w:widowControl w:val="0"/>
        <w:shd w:val="clear" w:color="auto" w:fill="auto"/>
        <w:bidi w:val="0"/>
        <w:spacing w:before="0" w:after="400" w:line="240" w:lineRule="auto"/>
        <w:ind w:left="0" w:right="0" w:firstLine="0"/>
        <w:jc w:val="left"/>
      </w:pPr>
      <w:bookmarkStart w:id="1817" w:name="bookmark1817"/>
      <w:bookmarkStart w:id="1818" w:name="bookmark1818"/>
      <w:bookmarkStart w:id="1819" w:name="bookmark1819"/>
      <w:bookmarkStart w:id="1820" w:name="bookmark1820"/>
      <w:r>
        <w:rPr>
          <w:color w:val="000000"/>
          <w:spacing w:val="0"/>
          <w:w w:val="100"/>
          <w:position w:val="0"/>
        </w:rPr>
        <w:t>8</w:t>
      </w:r>
      <w:bookmarkEnd w:id="1819"/>
      <w:r>
        <w:rPr>
          <w:color w:val="000000"/>
          <w:spacing w:val="0"/>
          <w:w w:val="100"/>
          <w:position w:val="0"/>
        </w:rPr>
        <w:t>0、所有者权益变动表项目注释</w:t>
      </w:r>
      <w:bookmarkEnd w:id="1817"/>
      <w:bookmarkEnd w:id="1818"/>
      <w:bookmarkEnd w:id="1820"/>
    </w:p>
    <w:p>
      <w:pPr>
        <w:pStyle w:val="Style41"/>
        <w:keepNext w:val="0"/>
        <w:keepLines w:val="0"/>
        <w:widowControl w:val="0"/>
        <w:shd w:val="clear" w:color="auto" w:fill="auto"/>
        <w:bidi w:val="0"/>
        <w:spacing w:before="0" w:after="400" w:line="240" w:lineRule="auto"/>
        <w:ind w:left="0" w:right="0" w:firstLine="360"/>
        <w:jc w:val="left"/>
      </w:pPr>
      <w:r>
        <w:rPr>
          <w:color w:val="000000"/>
          <w:spacing w:val="0"/>
          <w:w w:val="100"/>
          <w:position w:val="0"/>
        </w:rPr>
        <w:t>无。</w:t>
      </w:r>
      <w:r>
        <w:br w:type="page"/>
      </w:r>
    </w:p>
    <w:p>
      <w:pPr>
        <w:pStyle w:val="Style47"/>
        <w:keepNext/>
        <w:keepLines/>
        <w:widowControl w:val="0"/>
        <w:shd w:val="clear" w:color="auto" w:fill="auto"/>
        <w:bidi w:val="0"/>
        <w:spacing w:before="0" w:after="380" w:line="240" w:lineRule="auto"/>
        <w:ind w:left="0" w:right="0" w:firstLine="0"/>
        <w:jc w:val="left"/>
      </w:pPr>
      <w:bookmarkStart w:id="1821" w:name="bookmark1821"/>
      <w:bookmarkStart w:id="1822" w:name="bookmark1822"/>
      <w:bookmarkStart w:id="1823" w:name="bookmark1823"/>
      <w:bookmarkStart w:id="1824" w:name="bookmark1824"/>
      <w:r>
        <w:rPr>
          <w:color w:val="000000"/>
          <w:spacing w:val="0"/>
          <w:w w:val="100"/>
          <w:position w:val="0"/>
        </w:rPr>
        <w:t>8</w:t>
      </w:r>
      <w:bookmarkEnd w:id="1823"/>
      <w:r>
        <w:rPr>
          <w:color w:val="000000"/>
          <w:spacing w:val="0"/>
          <w:w w:val="100"/>
          <w:position w:val="0"/>
        </w:rPr>
        <w:t>1、所有权或使用权受到限制的资产</w:t>
      </w:r>
      <w:bookmarkEnd w:id="1821"/>
      <w:bookmarkEnd w:id="1822"/>
      <w:bookmarkEnd w:id="1824"/>
    </w:p>
    <w:p>
      <w:pPr>
        <w:pStyle w:val="Style41"/>
        <w:keepNext w:val="0"/>
        <w:keepLines w:val="0"/>
        <w:widowControl w:val="0"/>
        <w:shd w:val="clear" w:color="auto" w:fill="auto"/>
        <w:bidi w:val="0"/>
        <w:spacing w:before="0" w:after="80" w:line="240" w:lineRule="auto"/>
        <w:ind w:left="8920" w:right="0" w:firstLine="0"/>
        <w:jc w:val="left"/>
      </w:pPr>
      <w:r>
        <w:rPr>
          <w:color w:val="000000"/>
          <w:spacing w:val="0"/>
          <w:w w:val="100"/>
          <w:position w:val="0"/>
        </w:rPr>
        <w:t>单位：元</w:t>
      </w:r>
    </w:p>
    <w:tbl>
      <w:tblPr>
        <w:tblOverlap w:val="never"/>
        <w:jc w:val="center"/>
        <w:tblLayout w:type="fixed"/>
      </w:tblPr>
      <w:tblGrid>
        <w:gridCol w:w="2275"/>
        <w:gridCol w:w="1838"/>
        <w:gridCol w:w="5467"/>
      </w:tblGrid>
      <w:tr>
        <w:trPr>
          <w:trHeight w:val="40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360"/>
              <w:jc w:val="left"/>
            </w:pPr>
            <w:r>
              <w:rPr>
                <w:color w:val="000000"/>
                <w:spacing w:val="0"/>
                <w:w w:val="100"/>
                <w:position w:val="0"/>
              </w:rPr>
              <w:t>期末账面价值</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受限原因</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货币资金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44,758,322.65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保函保证金、境外信用卡保证金、支付宝保证金、政府借转补资金等</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固定资产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left"/>
              <w:rPr>
                <w:sz w:val="18"/>
                <w:szCs w:val="18"/>
              </w:rPr>
            </w:pPr>
            <w:r>
              <w:rPr>
                <w:rFonts w:ascii="Times New Roman" w:eastAsia="Times New Roman" w:hAnsi="Times New Roman" w:cs="Times New Roman"/>
                <w:color w:val="000000"/>
                <w:spacing w:val="0"/>
                <w:w w:val="100"/>
                <w:position w:val="0"/>
                <w:sz w:val="18"/>
                <w:szCs w:val="18"/>
              </w:rPr>
              <w:t>208,766,645.75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银行借款抵押</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投资性房地产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left"/>
              <w:rPr>
                <w:sz w:val="18"/>
                <w:szCs w:val="18"/>
              </w:rPr>
            </w:pPr>
            <w:r>
              <w:rPr>
                <w:rFonts w:ascii="Times New Roman" w:eastAsia="Times New Roman" w:hAnsi="Times New Roman" w:cs="Times New Roman"/>
                <w:color w:val="000000"/>
                <w:spacing w:val="0"/>
                <w:w w:val="100"/>
                <w:position w:val="0"/>
                <w:sz w:val="18"/>
                <w:szCs w:val="18"/>
              </w:rPr>
              <w:t>147,736,181.40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银行借款抵押</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left"/>
              <w:rPr>
                <w:sz w:val="18"/>
                <w:szCs w:val="18"/>
              </w:rPr>
            </w:pPr>
            <w:r>
              <w:rPr>
                <w:rFonts w:ascii="Times New Roman" w:eastAsia="Times New Roman" w:hAnsi="Times New Roman" w:cs="Times New Roman"/>
                <w:color w:val="000000"/>
                <w:spacing w:val="0"/>
                <w:w w:val="100"/>
                <w:position w:val="0"/>
                <w:sz w:val="18"/>
                <w:szCs w:val="18"/>
              </w:rPr>
              <w:t>401,261,149.80</w:t>
            </w:r>
          </w:p>
        </w:tc>
        <w:tc>
          <w:tcPr>
            <w:tcBorders>
              <w:top w:val="single" w:sz="4"/>
              <w:left w:val="single" w:sz="4"/>
              <w:bottom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r>
    </w:tbl>
    <w:p>
      <w:pPr>
        <w:widowControl w:val="0"/>
        <w:spacing w:after="79" w:line="1" w:lineRule="exact"/>
      </w:pPr>
    </w:p>
    <w:p>
      <w:pPr>
        <w:pStyle w:val="Style41"/>
        <w:keepNext w:val="0"/>
        <w:keepLines w:val="0"/>
        <w:widowControl w:val="0"/>
        <w:shd w:val="clear" w:color="auto" w:fill="auto"/>
        <w:bidi w:val="0"/>
        <w:spacing w:before="0" w:after="380" w:line="240" w:lineRule="auto"/>
        <w:ind w:left="0" w:right="0" w:firstLine="0"/>
        <w:jc w:val="left"/>
      </w:pPr>
      <w:r>
        <w:rPr>
          <w:color w:val="000000"/>
          <w:spacing w:val="0"/>
          <w:w w:val="100"/>
          <w:position w:val="0"/>
        </w:rPr>
        <w:t>其他说明：</w:t>
      </w:r>
    </w:p>
    <w:p>
      <w:pPr>
        <w:pStyle w:val="Style47"/>
        <w:keepNext/>
        <w:keepLines/>
        <w:widowControl w:val="0"/>
        <w:shd w:val="clear" w:color="auto" w:fill="auto"/>
        <w:bidi w:val="0"/>
        <w:spacing w:before="0" w:after="380" w:line="240" w:lineRule="auto"/>
        <w:ind w:left="0" w:right="0" w:firstLine="0"/>
        <w:jc w:val="left"/>
      </w:pPr>
      <w:bookmarkStart w:id="1825" w:name="bookmark1825"/>
      <w:bookmarkStart w:id="1826" w:name="bookmark1826"/>
      <w:bookmarkStart w:id="1827" w:name="bookmark1827"/>
      <w:bookmarkStart w:id="1828" w:name="bookmark1828"/>
      <w:r>
        <w:rPr>
          <w:color w:val="000000"/>
          <w:spacing w:val="0"/>
          <w:w w:val="100"/>
          <w:position w:val="0"/>
        </w:rPr>
        <w:t>8</w:t>
      </w:r>
      <w:bookmarkEnd w:id="1827"/>
      <w:r>
        <w:rPr>
          <w:color w:val="000000"/>
          <w:spacing w:val="0"/>
          <w:w w:val="100"/>
          <w:position w:val="0"/>
        </w:rPr>
        <w:t>2、外币货币性项目</w:t>
      </w:r>
      <w:bookmarkEnd w:id="1825"/>
      <w:bookmarkEnd w:id="1826"/>
      <w:bookmarkEnd w:id="1828"/>
    </w:p>
    <w:p>
      <w:pPr>
        <w:pStyle w:val="Style58"/>
        <w:keepNext/>
        <w:keepLines/>
        <w:widowControl w:val="0"/>
        <w:shd w:val="clear" w:color="auto" w:fill="auto"/>
        <w:bidi w:val="0"/>
        <w:spacing w:before="0" w:after="380" w:line="240" w:lineRule="auto"/>
        <w:ind w:left="0" w:right="0" w:firstLine="0"/>
        <w:jc w:val="left"/>
        <w:rPr>
          <w:sz w:val="20"/>
          <w:szCs w:val="20"/>
        </w:rPr>
      </w:pPr>
      <w:bookmarkStart w:id="1829" w:name="bookmark1829"/>
      <w:bookmarkStart w:id="1830" w:name="bookmark1830"/>
      <w:bookmarkStart w:id="1831" w:name="bookmark1831"/>
      <w:r>
        <w:rPr>
          <w:b/>
          <w:bCs/>
          <w:color w:val="000000"/>
          <w:spacing w:val="0"/>
          <w:w w:val="100"/>
          <w:position w:val="0"/>
          <w:sz w:val="20"/>
          <w:szCs w:val="20"/>
        </w:rPr>
        <w:t>(1)外币货币性项目</w:t>
      </w:r>
      <w:bookmarkEnd w:id="1829"/>
      <w:bookmarkEnd w:id="1830"/>
      <w:bookmarkEnd w:id="1831"/>
    </w:p>
    <w:p>
      <w:pPr>
        <w:pStyle w:val="Style41"/>
        <w:keepNext w:val="0"/>
        <w:keepLines w:val="0"/>
        <w:widowControl w:val="0"/>
        <w:shd w:val="clear" w:color="auto" w:fill="auto"/>
        <w:bidi w:val="0"/>
        <w:spacing w:before="0" w:after="80" w:line="240" w:lineRule="auto"/>
        <w:ind w:left="8920" w:right="0" w:firstLine="0"/>
        <w:jc w:val="left"/>
      </w:pPr>
      <w:r>
        <w:rPr>
          <w:color w:val="000000"/>
          <w:spacing w:val="0"/>
          <w:w w:val="100"/>
          <w:position w:val="0"/>
        </w:rPr>
        <w:t>单位：元</w:t>
      </w:r>
    </w:p>
    <w:tbl>
      <w:tblPr>
        <w:tblOverlap w:val="never"/>
        <w:jc w:val="center"/>
        <w:tblLayout w:type="fixed"/>
      </w:tblPr>
      <w:tblGrid>
        <w:gridCol w:w="2501"/>
        <w:gridCol w:w="2294"/>
        <w:gridCol w:w="2386"/>
        <w:gridCol w:w="2400"/>
      </w:tblGrid>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期末外币余额</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折算汇率</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期末折算人民币余额</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货币资金</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304,134,811.40</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其中：美元</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42,438,877.64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860" w:right="0" w:firstLine="0"/>
              <w:jc w:val="both"/>
              <w:rPr>
                <w:sz w:val="18"/>
                <w:szCs w:val="18"/>
              </w:rPr>
            </w:pPr>
            <w:r>
              <w:rPr>
                <w:rFonts w:ascii="Times New Roman" w:eastAsia="Times New Roman" w:hAnsi="Times New Roman" w:cs="Times New Roman"/>
                <w:color w:val="000000"/>
                <w:spacing w:val="0"/>
                <w:w w:val="100"/>
                <w:position w:val="0"/>
                <w:sz w:val="18"/>
                <w:szCs w:val="18"/>
              </w:rPr>
              <w:t>6.5249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276,909,432.71</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560"/>
              <w:jc w:val="both"/>
            </w:pPr>
            <w:r>
              <w:rPr>
                <w:color w:val="000000"/>
                <w:spacing w:val="0"/>
                <w:w w:val="100"/>
                <w:position w:val="0"/>
              </w:rPr>
              <w:t>欧元</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540" w:right="0" w:firstLine="0"/>
              <w:jc w:val="both"/>
              <w:rPr>
                <w:sz w:val="18"/>
                <w:szCs w:val="18"/>
              </w:rPr>
            </w:pPr>
            <w:r>
              <w:rPr>
                <w:rFonts w:ascii="Times New Roman" w:eastAsia="Times New Roman" w:hAnsi="Times New Roman" w:cs="Times New Roman"/>
                <w:color w:val="000000"/>
                <w:spacing w:val="0"/>
                <w:w w:val="100"/>
                <w:position w:val="0"/>
                <w:sz w:val="18"/>
                <w:szCs w:val="18"/>
              </w:rPr>
              <w:t>31,272.70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8.025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250,963.42</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560"/>
              <w:jc w:val="both"/>
            </w:pPr>
            <w:r>
              <w:rPr>
                <w:color w:val="000000"/>
                <w:spacing w:val="0"/>
                <w:w w:val="100"/>
                <w:position w:val="0"/>
              </w:rPr>
              <w:t>港币</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31,341,205.58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860" w:right="0" w:firstLine="0"/>
              <w:jc w:val="both"/>
              <w:rPr>
                <w:sz w:val="18"/>
                <w:szCs w:val="18"/>
              </w:rPr>
            </w:pPr>
            <w:r>
              <w:rPr>
                <w:rFonts w:ascii="Times New Roman" w:eastAsia="Times New Roman" w:hAnsi="Times New Roman" w:cs="Times New Roman"/>
                <w:color w:val="000000"/>
                <w:spacing w:val="0"/>
                <w:w w:val="100"/>
                <w:position w:val="0"/>
                <w:sz w:val="18"/>
                <w:szCs w:val="18"/>
              </w:rPr>
              <w:t>0.8416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26,378,012.26</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560"/>
              <w:jc w:val="left"/>
            </w:pPr>
            <w:r>
              <w:rPr>
                <w:color w:val="000000"/>
                <w:spacing w:val="0"/>
                <w:w w:val="100"/>
                <w:position w:val="0"/>
              </w:rPr>
              <w:t>新加坡币</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40" w:right="0" w:firstLine="0"/>
              <w:jc w:val="both"/>
              <w:rPr>
                <w:sz w:val="18"/>
                <w:szCs w:val="18"/>
              </w:rPr>
            </w:pPr>
            <w:r>
              <w:rPr>
                <w:rFonts w:ascii="Times New Roman" w:eastAsia="Times New Roman" w:hAnsi="Times New Roman" w:cs="Times New Roman"/>
                <w:color w:val="000000"/>
                <w:spacing w:val="0"/>
                <w:w w:val="100"/>
                <w:position w:val="0"/>
                <w:sz w:val="18"/>
                <w:szCs w:val="18"/>
              </w:rPr>
              <w:t>113,383.36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860" w:right="0" w:firstLine="0"/>
              <w:jc w:val="both"/>
              <w:rPr>
                <w:sz w:val="18"/>
                <w:szCs w:val="18"/>
              </w:rPr>
            </w:pPr>
            <w:r>
              <w:rPr>
                <w:rFonts w:ascii="Times New Roman" w:eastAsia="Times New Roman" w:hAnsi="Times New Roman" w:cs="Times New Roman"/>
                <w:color w:val="000000"/>
                <w:spacing w:val="0"/>
                <w:w w:val="100"/>
                <w:position w:val="0"/>
                <w:sz w:val="18"/>
                <w:szCs w:val="18"/>
              </w:rPr>
              <w:t>4.9314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559,138.70</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560"/>
              <w:jc w:val="left"/>
            </w:pPr>
            <w:r>
              <w:rPr>
                <w:color w:val="000000"/>
                <w:spacing w:val="0"/>
                <w:w w:val="100"/>
                <w:position w:val="0"/>
              </w:rPr>
              <w:t>英镑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4,191.57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860" w:right="0" w:firstLine="0"/>
              <w:jc w:val="both"/>
              <w:rPr>
                <w:sz w:val="18"/>
                <w:szCs w:val="18"/>
              </w:rPr>
            </w:pPr>
            <w:r>
              <w:rPr>
                <w:rFonts w:ascii="Times New Roman" w:eastAsia="Times New Roman" w:hAnsi="Times New Roman" w:cs="Times New Roman"/>
                <w:color w:val="000000"/>
                <w:spacing w:val="0"/>
                <w:w w:val="100"/>
                <w:position w:val="0"/>
                <w:sz w:val="18"/>
                <w:szCs w:val="18"/>
              </w:rPr>
              <w:t>8.8903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37,264.31</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应收账款</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183,013,420.28</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其中：美元</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26,673,595.65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860" w:right="0" w:firstLine="0"/>
              <w:jc w:val="both"/>
              <w:rPr>
                <w:sz w:val="18"/>
                <w:szCs w:val="18"/>
              </w:rPr>
            </w:pPr>
            <w:r>
              <w:rPr>
                <w:rFonts w:ascii="Times New Roman" w:eastAsia="Times New Roman" w:hAnsi="Times New Roman" w:cs="Times New Roman"/>
                <w:color w:val="000000"/>
                <w:spacing w:val="0"/>
                <w:w w:val="100"/>
                <w:position w:val="0"/>
                <w:sz w:val="18"/>
                <w:szCs w:val="18"/>
              </w:rPr>
              <w:t>6.5249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174,042,544.26</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560"/>
              <w:jc w:val="both"/>
            </w:pPr>
            <w:r>
              <w:rPr>
                <w:color w:val="000000"/>
                <w:spacing w:val="0"/>
                <w:w w:val="100"/>
                <w:position w:val="0"/>
              </w:rPr>
              <w:t>港币</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20" w:right="0" w:firstLine="0"/>
              <w:jc w:val="both"/>
              <w:rPr>
                <w:sz w:val="18"/>
                <w:szCs w:val="18"/>
              </w:rPr>
            </w:pPr>
            <w:r>
              <w:rPr>
                <w:rFonts w:ascii="Times New Roman" w:eastAsia="Times New Roman" w:hAnsi="Times New Roman" w:cs="Times New Roman"/>
                <w:color w:val="000000"/>
                <w:spacing w:val="0"/>
                <w:w w:val="100"/>
                <w:position w:val="0"/>
                <w:sz w:val="18"/>
                <w:szCs w:val="18"/>
              </w:rPr>
              <w:t>9,719,023.08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860" w:right="0" w:firstLine="0"/>
              <w:jc w:val="both"/>
              <w:rPr>
                <w:sz w:val="18"/>
                <w:szCs w:val="18"/>
              </w:rPr>
            </w:pPr>
            <w:r>
              <w:rPr>
                <w:rFonts w:ascii="Times New Roman" w:eastAsia="Times New Roman" w:hAnsi="Times New Roman" w:cs="Times New Roman"/>
                <w:color w:val="000000"/>
                <w:spacing w:val="0"/>
                <w:w w:val="100"/>
                <w:position w:val="0"/>
                <w:sz w:val="18"/>
                <w:szCs w:val="18"/>
              </w:rPr>
              <w:t>0.8416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8,179,529.82</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560"/>
              <w:jc w:val="left"/>
            </w:pPr>
            <w:r>
              <w:rPr>
                <w:color w:val="000000"/>
                <w:spacing w:val="0"/>
                <w:w w:val="100"/>
                <w:position w:val="0"/>
              </w:rPr>
              <w:t>新加坡币</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40" w:right="0" w:firstLine="0"/>
              <w:jc w:val="both"/>
              <w:rPr>
                <w:sz w:val="18"/>
                <w:szCs w:val="18"/>
              </w:rPr>
            </w:pPr>
            <w:r>
              <w:rPr>
                <w:rFonts w:ascii="Times New Roman" w:eastAsia="Times New Roman" w:hAnsi="Times New Roman" w:cs="Times New Roman"/>
                <w:color w:val="000000"/>
                <w:spacing w:val="0"/>
                <w:w w:val="100"/>
                <w:position w:val="0"/>
                <w:sz w:val="18"/>
                <w:szCs w:val="18"/>
              </w:rPr>
              <w:t>160,470.90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860" w:right="0" w:firstLine="0"/>
              <w:jc w:val="both"/>
              <w:rPr>
                <w:sz w:val="18"/>
                <w:szCs w:val="18"/>
              </w:rPr>
            </w:pPr>
            <w:r>
              <w:rPr>
                <w:rFonts w:ascii="Times New Roman" w:eastAsia="Times New Roman" w:hAnsi="Times New Roman" w:cs="Times New Roman"/>
                <w:color w:val="000000"/>
                <w:spacing w:val="0"/>
                <w:w w:val="100"/>
                <w:position w:val="0"/>
                <w:sz w:val="18"/>
                <w:szCs w:val="18"/>
              </w:rPr>
              <w:t>4.9314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791,346.20</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其他应收款</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749,514.86</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其中：港币</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40" w:right="0" w:firstLine="0"/>
              <w:jc w:val="both"/>
              <w:rPr>
                <w:sz w:val="18"/>
                <w:szCs w:val="18"/>
              </w:rPr>
            </w:pPr>
            <w:r>
              <w:rPr>
                <w:rFonts w:ascii="Times New Roman" w:eastAsia="Times New Roman" w:hAnsi="Times New Roman" w:cs="Times New Roman"/>
                <w:color w:val="000000"/>
                <w:spacing w:val="0"/>
                <w:w w:val="100"/>
                <w:position w:val="0"/>
                <w:sz w:val="18"/>
                <w:szCs w:val="18"/>
              </w:rPr>
              <w:t>750,278.61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860" w:right="0" w:firstLine="0"/>
              <w:jc w:val="both"/>
              <w:rPr>
                <w:sz w:val="18"/>
                <w:szCs w:val="18"/>
              </w:rPr>
            </w:pPr>
            <w:r>
              <w:rPr>
                <w:rFonts w:ascii="Times New Roman" w:eastAsia="Times New Roman" w:hAnsi="Times New Roman" w:cs="Times New Roman"/>
                <w:color w:val="000000"/>
                <w:spacing w:val="0"/>
                <w:w w:val="100"/>
                <w:position w:val="0"/>
                <w:sz w:val="18"/>
                <w:szCs w:val="18"/>
              </w:rPr>
              <w:t>0.8416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631,464.49</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560"/>
              <w:jc w:val="left"/>
            </w:pPr>
            <w:r>
              <w:rPr>
                <w:color w:val="000000"/>
                <w:spacing w:val="0"/>
                <w:w w:val="100"/>
                <w:position w:val="0"/>
              </w:rPr>
              <w:t>新加坡币</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540" w:right="0" w:firstLine="0"/>
              <w:jc w:val="both"/>
              <w:rPr>
                <w:sz w:val="18"/>
                <w:szCs w:val="18"/>
              </w:rPr>
            </w:pPr>
            <w:r>
              <w:rPr>
                <w:rFonts w:ascii="Times New Roman" w:eastAsia="Times New Roman" w:hAnsi="Times New Roman" w:cs="Times New Roman"/>
                <w:color w:val="000000"/>
                <w:spacing w:val="0"/>
                <w:w w:val="100"/>
                <w:position w:val="0"/>
                <w:sz w:val="18"/>
                <w:szCs w:val="18"/>
              </w:rPr>
              <w:t>23,938.51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860" w:right="0" w:firstLine="0"/>
              <w:jc w:val="both"/>
              <w:rPr>
                <w:sz w:val="18"/>
                <w:szCs w:val="18"/>
              </w:rPr>
            </w:pPr>
            <w:r>
              <w:rPr>
                <w:rFonts w:ascii="Times New Roman" w:eastAsia="Times New Roman" w:hAnsi="Times New Roman" w:cs="Times New Roman"/>
                <w:color w:val="000000"/>
                <w:spacing w:val="0"/>
                <w:w w:val="100"/>
                <w:position w:val="0"/>
                <w:sz w:val="18"/>
                <w:szCs w:val="18"/>
              </w:rPr>
              <w:t>4.9314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118,050.37</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应付账款</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89,628,093.44</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其中：美元</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12,698,538.93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860" w:right="0" w:firstLine="0"/>
              <w:jc w:val="both"/>
              <w:rPr>
                <w:sz w:val="18"/>
                <w:szCs w:val="18"/>
              </w:rPr>
            </w:pPr>
            <w:r>
              <w:rPr>
                <w:rFonts w:ascii="Times New Roman" w:eastAsia="Times New Roman" w:hAnsi="Times New Roman" w:cs="Times New Roman"/>
                <w:color w:val="000000"/>
                <w:spacing w:val="0"/>
                <w:w w:val="100"/>
                <w:position w:val="0"/>
                <w:sz w:val="18"/>
                <w:szCs w:val="18"/>
              </w:rPr>
              <w:t>6.5249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82,856,696.66</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560"/>
              <w:jc w:val="both"/>
            </w:pPr>
            <w:r>
              <w:rPr>
                <w:color w:val="000000"/>
                <w:spacing w:val="0"/>
                <w:w w:val="100"/>
                <w:position w:val="0"/>
              </w:rPr>
              <w:t>港币</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20" w:right="0" w:firstLine="0"/>
              <w:jc w:val="both"/>
              <w:rPr>
                <w:sz w:val="18"/>
                <w:szCs w:val="18"/>
              </w:rPr>
            </w:pPr>
            <w:r>
              <w:rPr>
                <w:rFonts w:ascii="Times New Roman" w:eastAsia="Times New Roman" w:hAnsi="Times New Roman" w:cs="Times New Roman"/>
                <w:color w:val="000000"/>
                <w:spacing w:val="0"/>
                <w:w w:val="100"/>
                <w:position w:val="0"/>
                <w:sz w:val="18"/>
                <w:szCs w:val="18"/>
              </w:rPr>
              <w:t>7,631,579.87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860" w:right="0" w:firstLine="0"/>
              <w:jc w:val="both"/>
              <w:rPr>
                <w:sz w:val="18"/>
                <w:szCs w:val="18"/>
              </w:rPr>
            </w:pPr>
            <w:r>
              <w:rPr>
                <w:rFonts w:ascii="Times New Roman" w:eastAsia="Times New Roman" w:hAnsi="Times New Roman" w:cs="Times New Roman"/>
                <w:color w:val="000000"/>
                <w:spacing w:val="0"/>
                <w:w w:val="100"/>
                <w:position w:val="0"/>
                <w:sz w:val="18"/>
                <w:szCs w:val="18"/>
              </w:rPr>
              <w:t>0.8416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6,423,042.88</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新加坡币</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540" w:right="0" w:firstLine="0"/>
              <w:jc w:val="both"/>
              <w:rPr>
                <w:sz w:val="18"/>
                <w:szCs w:val="18"/>
              </w:rPr>
            </w:pPr>
            <w:r>
              <w:rPr>
                <w:rFonts w:ascii="Times New Roman" w:eastAsia="Times New Roman" w:hAnsi="Times New Roman" w:cs="Times New Roman"/>
                <w:color w:val="000000"/>
                <w:spacing w:val="0"/>
                <w:w w:val="100"/>
                <w:position w:val="0"/>
                <w:sz w:val="18"/>
                <w:szCs w:val="18"/>
              </w:rPr>
              <w:t>70,639.96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860" w:right="0" w:firstLine="0"/>
              <w:jc w:val="both"/>
              <w:rPr>
                <w:sz w:val="18"/>
                <w:szCs w:val="18"/>
              </w:rPr>
            </w:pPr>
            <w:r>
              <w:rPr>
                <w:rFonts w:ascii="Times New Roman" w:eastAsia="Times New Roman" w:hAnsi="Times New Roman" w:cs="Times New Roman"/>
                <w:color w:val="000000"/>
                <w:spacing w:val="0"/>
                <w:w w:val="100"/>
                <w:position w:val="0"/>
                <w:sz w:val="18"/>
                <w:szCs w:val="18"/>
              </w:rPr>
              <w:t>4.9314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348,353.90</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其他应付款</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3,103,007.88</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其中：美元</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3,290.04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860" w:right="0" w:firstLine="0"/>
              <w:jc w:val="both"/>
              <w:rPr>
                <w:sz w:val="18"/>
                <w:szCs w:val="18"/>
              </w:rPr>
            </w:pPr>
            <w:r>
              <w:rPr>
                <w:rFonts w:ascii="Times New Roman" w:eastAsia="Times New Roman" w:hAnsi="Times New Roman" w:cs="Times New Roman"/>
                <w:color w:val="000000"/>
                <w:spacing w:val="0"/>
                <w:w w:val="100"/>
                <w:position w:val="0"/>
                <w:sz w:val="18"/>
                <w:szCs w:val="18"/>
              </w:rPr>
              <w:t>6.5249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21,467.18</w:t>
            </w:r>
          </w:p>
        </w:tc>
      </w:tr>
      <w:tr>
        <w:trPr>
          <w:trHeight w:val="408"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560"/>
              <w:jc w:val="both"/>
            </w:pPr>
            <w:r>
              <w:rPr>
                <w:color w:val="000000"/>
                <w:spacing w:val="0"/>
                <w:w w:val="100"/>
                <w:position w:val="0"/>
              </w:rPr>
              <w:t>港币</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20" w:right="0" w:firstLine="0"/>
              <w:jc w:val="both"/>
              <w:rPr>
                <w:sz w:val="18"/>
                <w:szCs w:val="18"/>
              </w:rPr>
            </w:pPr>
            <w:r>
              <w:rPr>
                <w:rFonts w:ascii="Times New Roman" w:eastAsia="Times New Roman" w:hAnsi="Times New Roman" w:cs="Times New Roman"/>
                <w:color w:val="000000"/>
                <w:spacing w:val="0"/>
                <w:w w:val="100"/>
                <w:position w:val="0"/>
                <w:sz w:val="18"/>
                <w:szCs w:val="18"/>
              </w:rPr>
              <w:t>2,608,953.02</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860" w:right="0" w:firstLine="0"/>
              <w:jc w:val="both"/>
              <w:rPr>
                <w:sz w:val="18"/>
                <w:szCs w:val="18"/>
              </w:rPr>
            </w:pPr>
            <w:r>
              <w:rPr>
                <w:rFonts w:ascii="Times New Roman" w:eastAsia="Times New Roman" w:hAnsi="Times New Roman" w:cs="Times New Roman"/>
                <w:color w:val="000000"/>
                <w:spacing w:val="0"/>
                <w:w w:val="100"/>
                <w:position w:val="0"/>
                <w:sz w:val="18"/>
                <w:szCs w:val="18"/>
              </w:rPr>
              <w:t>0.8416</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2,195,799.22</w:t>
            </w:r>
          </w:p>
        </w:tc>
      </w:tr>
    </w:tbl>
    <w:p>
      <w:pPr>
        <w:widowControl w:val="0"/>
        <w:spacing w:line="1" w:lineRule="exact"/>
        <w:sectPr>
          <w:headerReference w:type="default" r:id="rId423"/>
          <w:footerReference w:type="default" r:id="rId424"/>
          <w:headerReference w:type="even" r:id="rId425"/>
          <w:footerReference w:type="even" r:id="rId426"/>
          <w:headerReference w:type="first" r:id="rId427"/>
          <w:footerReference w:type="first" r:id="rId428"/>
          <w:footnotePr>
            <w:pos w:val="pageBottom"/>
            <w:numFmt w:val="decimal"/>
            <w:numRestart w:val="continuous"/>
          </w:footnotePr>
          <w:pgSz w:w="11904" w:h="17375"/>
          <w:pgMar w:top="1676" w:right="1022" w:bottom="1674" w:left="1004" w:header="0" w:footer="3" w:gutter="0"/>
          <w:cols w:space="720"/>
          <w:noEndnote/>
          <w:titlePg/>
          <w:rtlGutter w:val="0"/>
          <w:docGrid w:linePitch="360"/>
        </w:sectPr>
      </w:pPr>
    </w:p>
    <w:tbl>
      <w:tblPr>
        <w:tblOverlap w:val="never"/>
        <w:jc w:val="center"/>
        <w:tblLayout w:type="fixed"/>
      </w:tblPr>
      <w:tblGrid>
        <w:gridCol w:w="2501"/>
        <w:gridCol w:w="2294"/>
        <w:gridCol w:w="2386"/>
        <w:gridCol w:w="2400"/>
      </w:tblGrid>
      <w:tr>
        <w:trPr>
          <w:trHeight w:val="418"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560"/>
              <w:jc w:val="left"/>
            </w:pPr>
            <w:r>
              <w:rPr>
                <w:color w:val="000000"/>
                <w:spacing w:val="0"/>
                <w:w w:val="100"/>
                <w:position w:val="0"/>
              </w:rPr>
              <w:t>新加坡币</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179,612.58</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4.9314</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885,741.48</w:t>
            </w:r>
          </w:p>
        </w:tc>
      </w:tr>
    </w:tbl>
    <w:p>
      <w:pPr>
        <w:widowControl w:val="0"/>
        <w:spacing w:after="259" w:line="1" w:lineRule="exact"/>
      </w:pPr>
    </w:p>
    <w:p>
      <w:pPr>
        <w:pStyle w:val="Style58"/>
        <w:keepNext/>
        <w:keepLines/>
        <w:widowControl w:val="0"/>
        <w:shd w:val="clear" w:color="auto" w:fill="auto"/>
        <w:bidi w:val="0"/>
        <w:spacing w:before="0" w:after="400" w:line="326" w:lineRule="exact"/>
        <w:ind w:left="0" w:right="0" w:firstLine="0"/>
        <w:jc w:val="left"/>
        <w:rPr>
          <w:sz w:val="20"/>
          <w:szCs w:val="20"/>
        </w:rPr>
      </w:pPr>
      <w:bookmarkStart w:id="1832" w:name="bookmark1832"/>
      <w:bookmarkStart w:id="1833" w:name="bookmark1833"/>
      <w:bookmarkStart w:id="1834" w:name="bookmark1834"/>
      <w:r>
        <w:rPr>
          <w:b/>
          <w:bCs/>
          <w:color w:val="000000"/>
          <w:spacing w:val="0"/>
          <w:w w:val="100"/>
          <w:position w:val="0"/>
          <w:sz w:val="20"/>
          <w:szCs w:val="20"/>
        </w:rPr>
        <w:t>(2)境外经营实体说明，包括对于重要的境外经营实体，应披露其境外主要经营地、记账本位币及选择 依据，记账本位币发生变化的还应披露原因。</w:t>
      </w:r>
      <w:bookmarkEnd w:id="1832"/>
      <w:bookmarkEnd w:id="1833"/>
      <w:bookmarkEnd w:id="1834"/>
    </w:p>
    <w:p>
      <w:pPr>
        <w:pStyle w:val="Style41"/>
        <w:keepNext w:val="0"/>
        <w:keepLines w:val="0"/>
        <w:widowControl w:val="0"/>
        <w:shd w:val="clear" w:color="auto" w:fill="auto"/>
        <w:bidi w:val="0"/>
        <w:spacing w:before="0" w:after="26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color w:val="000000"/>
          <w:spacing w:val="0"/>
          <w:w w:val="100"/>
          <w:position w:val="0"/>
          <w:sz w:val="18"/>
          <w:szCs w:val="18"/>
        </w:rPr>
        <w:t>寸</w:t>
      </w:r>
      <w:r>
        <w:rPr>
          <w:color w:val="000000"/>
          <w:spacing w:val="0"/>
          <w:w w:val="100"/>
          <w:position w:val="0"/>
        </w:rPr>
        <w:t>不适用</w:t>
      </w:r>
    </w:p>
    <w:p>
      <w:pPr>
        <w:pStyle w:val="Style47"/>
        <w:keepNext/>
        <w:keepLines/>
        <w:widowControl w:val="0"/>
        <w:shd w:val="clear" w:color="auto" w:fill="auto"/>
        <w:tabs>
          <w:tab w:pos="483" w:val="left"/>
        </w:tabs>
        <w:bidi w:val="0"/>
        <w:spacing w:before="0" w:after="400" w:line="326" w:lineRule="exact"/>
        <w:ind w:left="0" w:right="0" w:firstLine="0"/>
        <w:jc w:val="left"/>
      </w:pPr>
      <w:bookmarkStart w:id="1835" w:name="bookmark1835"/>
      <w:bookmarkStart w:id="1836" w:name="bookmark1836"/>
      <w:bookmarkStart w:id="1837" w:name="bookmark1837"/>
      <w:bookmarkStart w:id="1838" w:name="bookmark1838"/>
      <w:r>
        <w:rPr>
          <w:color w:val="000000"/>
          <w:spacing w:val="0"/>
          <w:w w:val="100"/>
          <w:position w:val="0"/>
        </w:rPr>
        <w:t>8</w:t>
      </w:r>
      <w:bookmarkEnd w:id="1837"/>
      <w:r>
        <w:rPr>
          <w:color w:val="000000"/>
          <w:spacing w:val="0"/>
          <w:w w:val="100"/>
          <w:position w:val="0"/>
        </w:rPr>
        <w:t>3、</w:t>
        <w:tab/>
        <w:t>套期</w:t>
      </w:r>
      <w:bookmarkEnd w:id="1835"/>
      <w:bookmarkEnd w:id="1836"/>
      <w:bookmarkEnd w:id="1838"/>
    </w:p>
    <w:p>
      <w:pPr>
        <w:pStyle w:val="Style41"/>
        <w:keepNext w:val="0"/>
        <w:keepLines w:val="0"/>
        <w:widowControl w:val="0"/>
        <w:shd w:val="clear" w:color="auto" w:fill="auto"/>
        <w:bidi w:val="0"/>
        <w:spacing w:before="0" w:after="260" w:line="240" w:lineRule="auto"/>
        <w:ind w:left="0" w:right="0" w:firstLine="480"/>
        <w:jc w:val="left"/>
      </w:pPr>
      <w:r>
        <w:rPr>
          <w:color w:val="000000"/>
          <w:spacing w:val="0"/>
          <w:w w:val="100"/>
          <w:position w:val="0"/>
        </w:rPr>
        <w:t>无。</w:t>
      </w:r>
    </w:p>
    <w:p>
      <w:pPr>
        <w:pStyle w:val="Style47"/>
        <w:keepNext/>
        <w:keepLines/>
        <w:widowControl w:val="0"/>
        <w:shd w:val="clear" w:color="auto" w:fill="auto"/>
        <w:tabs>
          <w:tab w:pos="483" w:val="left"/>
        </w:tabs>
        <w:bidi w:val="0"/>
        <w:spacing w:before="0" w:after="260" w:line="326" w:lineRule="exact"/>
        <w:ind w:left="0" w:right="0" w:firstLine="0"/>
        <w:jc w:val="left"/>
      </w:pPr>
      <w:bookmarkStart w:id="1839" w:name="bookmark1839"/>
      <w:bookmarkStart w:id="1840" w:name="bookmark1840"/>
      <w:bookmarkStart w:id="1841" w:name="bookmark1841"/>
      <w:bookmarkStart w:id="1842" w:name="bookmark1842"/>
      <w:r>
        <w:rPr>
          <w:color w:val="000000"/>
          <w:spacing w:val="0"/>
          <w:w w:val="100"/>
          <w:position w:val="0"/>
        </w:rPr>
        <w:t>8</w:t>
      </w:r>
      <w:bookmarkEnd w:id="1841"/>
      <w:r>
        <w:rPr>
          <w:color w:val="000000"/>
          <w:spacing w:val="0"/>
          <w:w w:val="100"/>
          <w:position w:val="0"/>
        </w:rPr>
        <w:t>4、</w:t>
        <w:tab/>
        <w:t>政府补助</w:t>
      </w:r>
      <w:bookmarkEnd w:id="1839"/>
      <w:bookmarkEnd w:id="1840"/>
      <w:bookmarkEnd w:id="1842"/>
    </w:p>
    <w:p>
      <w:pPr>
        <w:pStyle w:val="Style58"/>
        <w:keepNext/>
        <w:keepLines/>
        <w:widowControl w:val="0"/>
        <w:shd w:val="clear" w:color="auto" w:fill="auto"/>
        <w:bidi w:val="0"/>
        <w:spacing w:before="0" w:after="400" w:line="326" w:lineRule="exact"/>
        <w:ind w:left="0" w:right="0" w:firstLine="0"/>
        <w:jc w:val="left"/>
        <w:rPr>
          <w:sz w:val="20"/>
          <w:szCs w:val="20"/>
        </w:rPr>
      </w:pPr>
      <w:bookmarkStart w:id="1843" w:name="bookmark1843"/>
      <w:bookmarkStart w:id="1844" w:name="bookmark1844"/>
      <w:bookmarkStart w:id="1845" w:name="bookmark1845"/>
      <w:r>
        <w:rPr>
          <w:b/>
          <w:bCs/>
          <w:color w:val="000000"/>
          <w:spacing w:val="0"/>
          <w:w w:val="100"/>
          <w:position w:val="0"/>
          <w:sz w:val="20"/>
          <w:szCs w:val="20"/>
        </w:rPr>
        <w:t>(1)政府补助基本情况</w:t>
      </w:r>
      <w:bookmarkEnd w:id="1843"/>
      <w:bookmarkEnd w:id="1844"/>
      <w:bookmarkEnd w:id="1845"/>
    </w:p>
    <w:p>
      <w:pPr>
        <w:pStyle w:val="Style20"/>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单位：元</w:t>
      </w:r>
    </w:p>
    <w:tbl>
      <w:tblPr>
        <w:tblOverlap w:val="never"/>
        <w:jc w:val="center"/>
        <w:tblLayout w:type="fixed"/>
      </w:tblPr>
      <w:tblGrid>
        <w:gridCol w:w="1944"/>
        <w:gridCol w:w="1939"/>
        <w:gridCol w:w="1939"/>
        <w:gridCol w:w="1939"/>
        <w:gridCol w:w="1949"/>
      </w:tblGrid>
      <w:tr>
        <w:trPr>
          <w:trHeight w:val="720"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种类</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列报项目</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100" w:line="240" w:lineRule="auto"/>
              <w:ind w:left="0" w:right="0" w:firstLine="200"/>
              <w:jc w:val="left"/>
            </w:pPr>
            <w:r>
              <w:rPr>
                <w:color w:val="000000"/>
                <w:spacing w:val="0"/>
                <w:w w:val="100"/>
                <w:position w:val="0"/>
              </w:rPr>
              <w:t>当期收到并于当期计</w:t>
            </w:r>
          </w:p>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入损益的金额</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307" w:lineRule="exact"/>
              <w:ind w:left="0" w:right="0" w:firstLine="0"/>
              <w:jc w:val="center"/>
            </w:pPr>
            <w:r>
              <w:rPr>
                <w:color w:val="000000"/>
                <w:spacing w:val="0"/>
                <w:w w:val="100"/>
                <w:position w:val="0"/>
              </w:rPr>
              <w:t>以前年度收到并于当 期计入损益的金额</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与资产相关</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其他收益、递延收益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00" w:right="0" w:firstLine="0"/>
              <w:jc w:val="both"/>
              <w:rPr>
                <w:sz w:val="18"/>
                <w:szCs w:val="18"/>
              </w:rPr>
            </w:pPr>
            <w:r>
              <w:rPr>
                <w:rFonts w:ascii="Times New Roman" w:eastAsia="Times New Roman" w:hAnsi="Times New Roman" w:cs="Times New Roman"/>
                <w:color w:val="000000"/>
                <w:spacing w:val="0"/>
                <w:w w:val="100"/>
                <w:position w:val="0"/>
                <w:sz w:val="18"/>
                <w:szCs w:val="18"/>
              </w:rPr>
              <w:t>215,000.00</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与收益相关</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left"/>
              <w:rPr>
                <w:sz w:val="18"/>
                <w:szCs w:val="18"/>
              </w:rPr>
            </w:pPr>
            <w:r>
              <w:rPr>
                <w:rFonts w:ascii="Times New Roman" w:eastAsia="Times New Roman" w:hAnsi="Times New Roman" w:cs="Times New Roman"/>
                <w:color w:val="000000"/>
                <w:spacing w:val="0"/>
                <w:w w:val="100"/>
                <w:position w:val="0"/>
                <w:sz w:val="18"/>
                <w:szCs w:val="18"/>
              </w:rPr>
              <w:t>17,639,867.50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其他收益、递延收益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17,363,967.50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00" w:right="0" w:firstLine="0"/>
              <w:jc w:val="both"/>
              <w:rPr>
                <w:sz w:val="18"/>
                <w:szCs w:val="18"/>
              </w:rPr>
            </w:pPr>
            <w:r>
              <w:rPr>
                <w:rFonts w:ascii="Times New Roman" w:eastAsia="Times New Roman" w:hAnsi="Times New Roman" w:cs="Times New Roman"/>
                <w:color w:val="000000"/>
                <w:spacing w:val="0"/>
                <w:w w:val="100"/>
                <w:position w:val="0"/>
                <w:sz w:val="18"/>
                <w:szCs w:val="18"/>
              </w:rPr>
              <w:t>364,716.99</w:t>
            </w:r>
          </w:p>
        </w:tc>
      </w:tr>
      <w:tr>
        <w:trPr>
          <w:trHeight w:val="41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left"/>
              <w:rPr>
                <w:sz w:val="18"/>
                <w:szCs w:val="18"/>
              </w:rPr>
            </w:pPr>
            <w:r>
              <w:rPr>
                <w:rFonts w:ascii="Times New Roman" w:eastAsia="Times New Roman" w:hAnsi="Times New Roman" w:cs="Times New Roman"/>
                <w:color w:val="000000"/>
                <w:spacing w:val="0"/>
                <w:w w:val="100"/>
                <w:position w:val="0"/>
                <w:sz w:val="18"/>
                <w:szCs w:val="18"/>
              </w:rPr>
              <w:t>17,639,867.50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17,363,967.50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00" w:right="0" w:firstLine="0"/>
              <w:jc w:val="both"/>
              <w:rPr>
                <w:sz w:val="18"/>
                <w:szCs w:val="18"/>
              </w:rPr>
            </w:pPr>
            <w:r>
              <w:rPr>
                <w:rFonts w:ascii="Times New Roman" w:eastAsia="Times New Roman" w:hAnsi="Times New Roman" w:cs="Times New Roman"/>
                <w:color w:val="000000"/>
                <w:spacing w:val="0"/>
                <w:w w:val="100"/>
                <w:position w:val="0"/>
                <w:sz w:val="18"/>
                <w:szCs w:val="18"/>
              </w:rPr>
              <w:t>579,716.99</w:t>
            </w:r>
          </w:p>
        </w:tc>
      </w:tr>
    </w:tbl>
    <w:p>
      <w:pPr>
        <w:widowControl w:val="0"/>
        <w:spacing w:after="459" w:line="1" w:lineRule="exact"/>
      </w:pPr>
    </w:p>
    <w:p>
      <w:pPr>
        <w:pStyle w:val="Style41"/>
        <w:keepNext w:val="0"/>
        <w:keepLines w:val="0"/>
        <w:widowControl w:val="0"/>
        <w:shd w:val="clear" w:color="auto" w:fill="auto"/>
        <w:bidi w:val="0"/>
        <w:spacing w:before="0" w:after="120" w:line="240" w:lineRule="auto"/>
        <w:ind w:left="0" w:right="0" w:firstLine="480"/>
        <w:jc w:val="left"/>
      </w:pPr>
      <w:r>
        <w:rPr>
          <w:color w:val="000000"/>
          <w:spacing w:val="0"/>
          <w:w w:val="100"/>
          <w:position w:val="0"/>
        </w:rPr>
        <w:t>明细如下:</w:t>
      </w:r>
    </w:p>
    <w:p>
      <w:pPr>
        <w:pStyle w:val="Style20"/>
        <w:keepNext w:val="0"/>
        <w:keepLines w:val="0"/>
        <w:widowControl w:val="0"/>
        <w:shd w:val="clear" w:color="auto" w:fill="auto"/>
        <w:bidi w:val="0"/>
        <w:spacing w:before="0" w:after="0" w:line="240" w:lineRule="auto"/>
        <w:ind w:left="0" w:right="0" w:firstLine="0"/>
        <w:jc w:val="right"/>
        <w:rPr>
          <w:sz w:val="17"/>
          <w:szCs w:val="17"/>
        </w:rPr>
      </w:pPr>
      <w:r>
        <w:rPr>
          <w:rFonts w:ascii="SimSun" w:eastAsia="SimSun" w:hAnsi="SimSun" w:cs="SimSun"/>
          <w:color w:val="000000"/>
          <w:spacing w:val="0"/>
          <w:w w:val="100"/>
          <w:position w:val="0"/>
          <w:sz w:val="17"/>
          <w:szCs w:val="17"/>
        </w:rPr>
        <w:t>单位：元</w:t>
      </w:r>
    </w:p>
    <w:tbl>
      <w:tblPr>
        <w:tblOverlap w:val="never"/>
        <w:jc w:val="center"/>
        <w:tblLayout w:type="fixed"/>
      </w:tblPr>
      <w:tblGrid>
        <w:gridCol w:w="4373"/>
        <w:gridCol w:w="1699"/>
        <w:gridCol w:w="1704"/>
        <w:gridCol w:w="2102"/>
      </w:tblGrid>
      <w:tr>
        <w:trPr>
          <w:trHeight w:val="346"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当期收到政府补助</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计入当期损益金额</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列报项目</w:t>
            </w:r>
          </w:p>
        </w:tc>
      </w:tr>
      <w:tr>
        <w:trPr>
          <w:trHeight w:val="331"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增值税退税</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60"/>
              <w:jc w:val="left"/>
              <w:rPr>
                <w:sz w:val="18"/>
                <w:szCs w:val="18"/>
              </w:rPr>
            </w:pPr>
            <w:r>
              <w:rPr>
                <w:rFonts w:ascii="Times New Roman" w:eastAsia="Times New Roman" w:hAnsi="Times New Roman" w:cs="Times New Roman"/>
                <w:color w:val="000000"/>
                <w:spacing w:val="0"/>
                <w:w w:val="100"/>
                <w:position w:val="0"/>
                <w:sz w:val="18"/>
                <w:szCs w:val="18"/>
              </w:rPr>
              <w:t>11,147,206.96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11,147,206.96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其他收益</w:t>
            </w:r>
          </w:p>
        </w:tc>
      </w:tr>
      <w:tr>
        <w:trPr>
          <w:trHeight w:val="331"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与人力资源相关的补贴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40"/>
              <w:jc w:val="left"/>
              <w:rPr>
                <w:sz w:val="18"/>
                <w:szCs w:val="18"/>
              </w:rPr>
            </w:pPr>
            <w:r>
              <w:rPr>
                <w:rFonts w:ascii="Times New Roman" w:eastAsia="Times New Roman" w:hAnsi="Times New Roman" w:cs="Times New Roman"/>
                <w:color w:val="000000"/>
                <w:spacing w:val="0"/>
                <w:w w:val="100"/>
                <w:position w:val="0"/>
                <w:sz w:val="18"/>
                <w:szCs w:val="18"/>
              </w:rPr>
              <w:t>1,059,399.45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40"/>
              <w:jc w:val="both"/>
              <w:rPr>
                <w:sz w:val="18"/>
                <w:szCs w:val="18"/>
              </w:rPr>
            </w:pPr>
            <w:r>
              <w:rPr>
                <w:rFonts w:ascii="Times New Roman" w:eastAsia="Times New Roman" w:hAnsi="Times New Roman" w:cs="Times New Roman"/>
                <w:color w:val="000000"/>
                <w:spacing w:val="0"/>
                <w:w w:val="100"/>
                <w:position w:val="0"/>
                <w:sz w:val="18"/>
                <w:szCs w:val="18"/>
              </w:rPr>
              <w:t>1,059,399.45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其他收益</w:t>
            </w:r>
          </w:p>
        </w:tc>
      </w:tr>
      <w:tr>
        <w:trPr>
          <w:trHeight w:val="331"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与知识产权相关的补贴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80"/>
              <w:jc w:val="left"/>
              <w:rPr>
                <w:sz w:val="18"/>
                <w:szCs w:val="18"/>
              </w:rPr>
            </w:pPr>
            <w:r>
              <w:rPr>
                <w:rFonts w:ascii="Times New Roman" w:eastAsia="Times New Roman" w:hAnsi="Times New Roman" w:cs="Times New Roman"/>
                <w:color w:val="000000"/>
                <w:spacing w:val="0"/>
                <w:w w:val="100"/>
                <w:position w:val="0"/>
                <w:sz w:val="18"/>
                <w:szCs w:val="18"/>
              </w:rPr>
              <w:t>329,090.00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80"/>
              <w:jc w:val="left"/>
              <w:rPr>
                <w:sz w:val="18"/>
                <w:szCs w:val="18"/>
              </w:rPr>
            </w:pPr>
            <w:r>
              <w:rPr>
                <w:rFonts w:ascii="Times New Roman" w:eastAsia="Times New Roman" w:hAnsi="Times New Roman" w:cs="Times New Roman"/>
                <w:color w:val="000000"/>
                <w:spacing w:val="0"/>
                <w:w w:val="100"/>
                <w:position w:val="0"/>
                <w:sz w:val="18"/>
                <w:szCs w:val="18"/>
              </w:rPr>
              <w:t>329,090.00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其他收益</w:t>
            </w:r>
          </w:p>
        </w:tc>
      </w:tr>
      <w:tr>
        <w:trPr>
          <w:trHeight w:val="331"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与企业认定相关的补贴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80"/>
              <w:jc w:val="left"/>
              <w:rPr>
                <w:sz w:val="18"/>
                <w:szCs w:val="18"/>
              </w:rPr>
            </w:pPr>
            <w:r>
              <w:rPr>
                <w:rFonts w:ascii="Times New Roman" w:eastAsia="Times New Roman" w:hAnsi="Times New Roman" w:cs="Times New Roman"/>
                <w:color w:val="000000"/>
                <w:spacing w:val="0"/>
                <w:w w:val="100"/>
                <w:position w:val="0"/>
                <w:sz w:val="18"/>
                <w:szCs w:val="18"/>
              </w:rPr>
              <w:t>560,000.00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80"/>
              <w:jc w:val="left"/>
              <w:rPr>
                <w:sz w:val="18"/>
                <w:szCs w:val="18"/>
              </w:rPr>
            </w:pPr>
            <w:r>
              <w:rPr>
                <w:rFonts w:ascii="Times New Roman" w:eastAsia="Times New Roman" w:hAnsi="Times New Roman" w:cs="Times New Roman"/>
                <w:color w:val="000000"/>
                <w:spacing w:val="0"/>
                <w:w w:val="100"/>
                <w:position w:val="0"/>
                <w:sz w:val="18"/>
                <w:szCs w:val="18"/>
              </w:rPr>
              <w:t>560,000.00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其他收益</w:t>
            </w:r>
          </w:p>
        </w:tc>
      </w:tr>
      <w:tr>
        <w:trPr>
          <w:trHeight w:val="331"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与研发投入相关的补贴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40"/>
              <w:jc w:val="left"/>
              <w:rPr>
                <w:sz w:val="18"/>
                <w:szCs w:val="18"/>
              </w:rPr>
            </w:pPr>
            <w:r>
              <w:rPr>
                <w:rFonts w:ascii="Times New Roman" w:eastAsia="Times New Roman" w:hAnsi="Times New Roman" w:cs="Times New Roman"/>
                <w:color w:val="000000"/>
                <w:spacing w:val="0"/>
                <w:w w:val="100"/>
                <w:position w:val="0"/>
                <w:sz w:val="18"/>
                <w:szCs w:val="18"/>
              </w:rPr>
              <w:t>1,572,000.00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40"/>
              <w:jc w:val="both"/>
              <w:rPr>
                <w:sz w:val="18"/>
                <w:szCs w:val="18"/>
              </w:rPr>
            </w:pPr>
            <w:r>
              <w:rPr>
                <w:rFonts w:ascii="Times New Roman" w:eastAsia="Times New Roman" w:hAnsi="Times New Roman" w:cs="Times New Roman"/>
                <w:color w:val="000000"/>
                <w:spacing w:val="0"/>
                <w:w w:val="100"/>
                <w:position w:val="0"/>
                <w:sz w:val="18"/>
                <w:szCs w:val="18"/>
              </w:rPr>
              <w:t>1,572,000.00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其他收益</w:t>
            </w:r>
          </w:p>
        </w:tc>
      </w:tr>
      <w:tr>
        <w:trPr>
          <w:trHeight w:val="33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高桥财政补贴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80"/>
              <w:jc w:val="left"/>
              <w:rPr>
                <w:sz w:val="18"/>
                <w:szCs w:val="18"/>
              </w:rPr>
            </w:pPr>
            <w:r>
              <w:rPr>
                <w:rFonts w:ascii="Times New Roman" w:eastAsia="Times New Roman" w:hAnsi="Times New Roman" w:cs="Times New Roman"/>
                <w:color w:val="000000"/>
                <w:spacing w:val="0"/>
                <w:w w:val="100"/>
                <w:position w:val="0"/>
                <w:sz w:val="18"/>
                <w:szCs w:val="18"/>
              </w:rPr>
              <w:t>111,700.00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80"/>
              <w:jc w:val="left"/>
              <w:rPr>
                <w:sz w:val="18"/>
                <w:szCs w:val="18"/>
              </w:rPr>
            </w:pPr>
            <w:r>
              <w:rPr>
                <w:rFonts w:ascii="Times New Roman" w:eastAsia="Times New Roman" w:hAnsi="Times New Roman" w:cs="Times New Roman"/>
                <w:color w:val="000000"/>
                <w:spacing w:val="0"/>
                <w:w w:val="100"/>
                <w:position w:val="0"/>
                <w:sz w:val="18"/>
                <w:szCs w:val="18"/>
              </w:rPr>
              <w:t>111,700.00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其他收益</w:t>
            </w:r>
          </w:p>
        </w:tc>
      </w:tr>
      <w:tr>
        <w:trPr>
          <w:trHeight w:val="331"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面向精确定位与移动通信的智慧线设备研制</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80"/>
              <w:jc w:val="left"/>
              <w:rPr>
                <w:sz w:val="18"/>
                <w:szCs w:val="18"/>
              </w:rPr>
            </w:pPr>
            <w:r>
              <w:rPr>
                <w:rFonts w:ascii="Times New Roman" w:eastAsia="Times New Roman" w:hAnsi="Times New Roman" w:cs="Times New Roman"/>
                <w:color w:val="000000"/>
                <w:spacing w:val="0"/>
                <w:w w:val="100"/>
                <w:position w:val="0"/>
                <w:sz w:val="18"/>
                <w:szCs w:val="18"/>
              </w:rPr>
              <w:t>200,000.00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其他收益、递延收益</w:t>
            </w:r>
          </w:p>
        </w:tc>
      </w:tr>
      <w:tr>
        <w:trPr>
          <w:trHeight w:val="331"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固定资产装修补贴</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其他收益、递延收益</w:t>
            </w:r>
          </w:p>
        </w:tc>
      </w:tr>
      <w:tr>
        <w:trPr>
          <w:trHeight w:val="64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0"/>
              <w:jc w:val="both"/>
            </w:pPr>
            <w:r>
              <w:rPr>
                <w:color w:val="000000"/>
                <w:spacing w:val="0"/>
                <w:w w:val="100"/>
                <w:position w:val="0"/>
              </w:rPr>
              <w:t>面向司法解释文件核查的基础库构建以及司法解释文 件核查原型系统开发及应用示范</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80"/>
              <w:jc w:val="left"/>
              <w:rPr>
                <w:sz w:val="18"/>
                <w:szCs w:val="18"/>
              </w:rPr>
            </w:pPr>
            <w:r>
              <w:rPr>
                <w:rFonts w:ascii="Times New Roman" w:eastAsia="Times New Roman" w:hAnsi="Times New Roman" w:cs="Times New Roman"/>
                <w:color w:val="000000"/>
                <w:spacing w:val="0"/>
                <w:w w:val="100"/>
                <w:position w:val="0"/>
                <w:sz w:val="18"/>
                <w:szCs w:val="18"/>
              </w:rPr>
              <w:t>275,900.00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80"/>
              <w:jc w:val="left"/>
              <w:rPr>
                <w:sz w:val="18"/>
                <w:szCs w:val="18"/>
              </w:rPr>
            </w:pPr>
            <w:r>
              <w:rPr>
                <w:rFonts w:ascii="Times New Roman" w:eastAsia="Times New Roman" w:hAnsi="Times New Roman" w:cs="Times New Roman"/>
                <w:color w:val="000000"/>
                <w:spacing w:val="0"/>
                <w:w w:val="100"/>
                <w:position w:val="0"/>
                <w:sz w:val="18"/>
                <w:szCs w:val="18"/>
              </w:rPr>
              <w:t>284,716.95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其他收益、递延收益</w:t>
            </w:r>
          </w:p>
        </w:tc>
      </w:tr>
      <w:tr>
        <w:trPr>
          <w:trHeight w:val="331"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7"/>
                <w:szCs w:val="17"/>
              </w:rPr>
              <w:t>项目农作物信息与气象服务智能联动综合管理平台</w:t>
            </w:r>
            <w:r>
              <w:rPr>
                <w:rFonts w:ascii="Times New Roman" w:eastAsia="Times New Roman" w:hAnsi="Times New Roman" w:cs="Times New Roman"/>
                <w:color w:val="000000"/>
                <w:spacing w:val="0"/>
                <w:w w:val="100"/>
                <w:position w:val="0"/>
                <w:sz w:val="18"/>
                <w:szCs w:val="18"/>
              </w:rPr>
              <w:t>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80,000.04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其他收益、递延收益</w:t>
            </w:r>
          </w:p>
        </w:tc>
      </w:tr>
      <w:tr>
        <w:trPr>
          <w:trHeight w:val="331"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产业扶持专项资金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80"/>
              <w:jc w:val="left"/>
              <w:rPr>
                <w:sz w:val="18"/>
                <w:szCs w:val="18"/>
              </w:rPr>
            </w:pPr>
            <w:r>
              <w:rPr>
                <w:rFonts w:ascii="Times New Roman" w:eastAsia="Times New Roman" w:hAnsi="Times New Roman" w:cs="Times New Roman"/>
                <w:color w:val="000000"/>
                <w:spacing w:val="0"/>
                <w:w w:val="100"/>
                <w:position w:val="0"/>
                <w:sz w:val="18"/>
                <w:szCs w:val="18"/>
              </w:rPr>
              <w:t>764,766.79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80"/>
              <w:jc w:val="left"/>
              <w:rPr>
                <w:sz w:val="18"/>
                <w:szCs w:val="18"/>
              </w:rPr>
            </w:pPr>
            <w:r>
              <w:rPr>
                <w:rFonts w:ascii="Times New Roman" w:eastAsia="Times New Roman" w:hAnsi="Times New Roman" w:cs="Times New Roman"/>
                <w:color w:val="000000"/>
                <w:spacing w:val="0"/>
                <w:w w:val="100"/>
                <w:position w:val="0"/>
                <w:sz w:val="18"/>
                <w:szCs w:val="18"/>
              </w:rPr>
              <w:t>764,766.79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其他收益</w:t>
            </w:r>
          </w:p>
        </w:tc>
      </w:tr>
      <w:tr>
        <w:trPr>
          <w:trHeight w:val="64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7" w:lineRule="exact"/>
              <w:ind w:left="0" w:right="0" w:firstLine="0"/>
              <w:jc w:val="both"/>
            </w:pPr>
            <w:r>
              <w:rPr>
                <w:color w:val="000000"/>
                <w:spacing w:val="0"/>
                <w:w w:val="100"/>
                <w:position w:val="0"/>
              </w:rPr>
              <w:t>新疆维吾尔自治区霍尔果斯经济开发区管理委员会财 政局政策扶持资金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40"/>
              <w:jc w:val="left"/>
              <w:rPr>
                <w:sz w:val="18"/>
                <w:szCs w:val="18"/>
              </w:rPr>
            </w:pPr>
            <w:r>
              <w:rPr>
                <w:rFonts w:ascii="Times New Roman" w:eastAsia="Times New Roman" w:hAnsi="Times New Roman" w:cs="Times New Roman"/>
                <w:color w:val="000000"/>
                <w:spacing w:val="0"/>
                <w:w w:val="100"/>
                <w:position w:val="0"/>
                <w:sz w:val="18"/>
                <w:szCs w:val="18"/>
              </w:rPr>
              <w:t>1,614,514.39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40"/>
              <w:jc w:val="both"/>
              <w:rPr>
                <w:sz w:val="18"/>
                <w:szCs w:val="18"/>
              </w:rPr>
            </w:pPr>
            <w:r>
              <w:rPr>
                <w:rFonts w:ascii="Times New Roman" w:eastAsia="Times New Roman" w:hAnsi="Times New Roman" w:cs="Times New Roman"/>
                <w:color w:val="000000"/>
                <w:spacing w:val="0"/>
                <w:w w:val="100"/>
                <w:position w:val="0"/>
                <w:sz w:val="18"/>
                <w:szCs w:val="18"/>
              </w:rPr>
              <w:t>1,614,514.39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其他收益</w:t>
            </w:r>
          </w:p>
        </w:tc>
      </w:tr>
      <w:tr>
        <w:trPr>
          <w:trHeight w:val="65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pPr>
            <w:r>
              <w:rPr>
                <w:color w:val="000000"/>
                <w:spacing w:val="0"/>
                <w:w w:val="100"/>
                <w:position w:val="0"/>
              </w:rPr>
              <w:t>收到合肥高新技术开发区财政国库支付的高新区</w:t>
            </w:r>
          </w:p>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年第二期普惠政策兑现款</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80"/>
              <w:jc w:val="left"/>
              <w:rPr>
                <w:sz w:val="18"/>
                <w:szCs w:val="18"/>
              </w:rPr>
            </w:pPr>
            <w:r>
              <w:rPr>
                <w:rFonts w:ascii="Times New Roman" w:eastAsia="Times New Roman" w:hAnsi="Times New Roman" w:cs="Times New Roman"/>
                <w:color w:val="000000"/>
                <w:spacing w:val="0"/>
                <w:w w:val="100"/>
                <w:position w:val="0"/>
                <w:sz w:val="18"/>
                <w:szCs w:val="18"/>
              </w:rPr>
              <w:t>100,000.00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80"/>
              <w:jc w:val="left"/>
              <w:rPr>
                <w:sz w:val="18"/>
                <w:szCs w:val="18"/>
              </w:rPr>
            </w:pPr>
            <w:r>
              <w:rPr>
                <w:rFonts w:ascii="Times New Roman" w:eastAsia="Times New Roman" w:hAnsi="Times New Roman" w:cs="Times New Roman"/>
                <w:color w:val="000000"/>
                <w:spacing w:val="0"/>
                <w:w w:val="100"/>
                <w:position w:val="0"/>
                <w:sz w:val="18"/>
                <w:szCs w:val="18"/>
              </w:rPr>
              <w:t>100,000.00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其他收益</w:t>
            </w:r>
          </w:p>
        </w:tc>
      </w:tr>
    </w:tbl>
    <w:p>
      <w:pPr>
        <w:widowControl w:val="0"/>
        <w:spacing w:line="1" w:lineRule="exact"/>
      </w:pPr>
    </w:p>
    <w:tbl>
      <w:tblPr>
        <w:tblOverlap w:val="never"/>
        <w:jc w:val="center"/>
        <w:tblLayout w:type="fixed"/>
      </w:tblPr>
      <w:tblGrid>
        <w:gridCol w:w="4373"/>
        <w:gridCol w:w="1699"/>
        <w:gridCol w:w="1704"/>
        <w:gridCol w:w="2102"/>
      </w:tblGrid>
      <w:tr>
        <w:trPr>
          <w:trHeight w:val="39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其他零星补贴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105,289.91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105,289.91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其他收益</w:t>
            </w:r>
          </w:p>
        </w:tc>
      </w:tr>
      <w:tr>
        <w:trPr>
          <w:trHeight w:val="346"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17,639,867.50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17,943,684.49</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其他收益</w:t>
            </w:r>
          </w:p>
        </w:tc>
      </w:tr>
    </w:tbl>
    <w:p>
      <w:pPr>
        <w:widowControl w:val="0"/>
        <w:spacing w:after="659" w:line="1" w:lineRule="exact"/>
      </w:pPr>
    </w:p>
    <w:p>
      <w:pPr>
        <w:pStyle w:val="Style47"/>
        <w:keepNext/>
        <w:keepLines/>
        <w:widowControl w:val="0"/>
        <w:shd w:val="clear" w:color="auto" w:fill="auto"/>
        <w:bidi w:val="0"/>
        <w:spacing w:before="0" w:after="400" w:line="240" w:lineRule="auto"/>
        <w:ind w:left="0" w:right="0" w:firstLine="0"/>
        <w:jc w:val="left"/>
      </w:pPr>
      <w:bookmarkStart w:id="1846" w:name="bookmark1846"/>
      <w:bookmarkStart w:id="1847" w:name="bookmark1847"/>
      <w:bookmarkStart w:id="1848" w:name="bookmark1848"/>
      <w:bookmarkStart w:id="1849" w:name="bookmark1849"/>
      <w:r>
        <w:rPr>
          <w:color w:val="000000"/>
          <w:spacing w:val="0"/>
          <w:w w:val="100"/>
          <w:position w:val="0"/>
        </w:rPr>
        <w:t>8</w:t>
      </w:r>
      <w:bookmarkEnd w:id="1848"/>
      <w:r>
        <w:rPr>
          <w:color w:val="000000"/>
          <w:spacing w:val="0"/>
          <w:w w:val="100"/>
          <w:position w:val="0"/>
        </w:rPr>
        <w:t>5、其他</w:t>
      </w:r>
      <w:bookmarkEnd w:id="1846"/>
      <w:bookmarkEnd w:id="1847"/>
      <w:bookmarkEnd w:id="1849"/>
    </w:p>
    <w:p>
      <w:pPr>
        <w:pStyle w:val="Style41"/>
        <w:keepNext w:val="0"/>
        <w:keepLines w:val="0"/>
        <w:widowControl w:val="0"/>
        <w:shd w:val="clear" w:color="auto" w:fill="auto"/>
        <w:bidi w:val="0"/>
        <w:spacing w:before="0" w:after="400" w:line="240" w:lineRule="auto"/>
        <w:ind w:left="0" w:right="0" w:firstLine="480"/>
        <w:jc w:val="left"/>
      </w:pPr>
      <w:r>
        <w:rPr>
          <w:color w:val="000000"/>
          <w:spacing w:val="0"/>
          <w:w w:val="100"/>
          <w:position w:val="0"/>
        </w:rPr>
        <w:t>无。</w:t>
      </w:r>
    </w:p>
    <w:p>
      <w:pPr>
        <w:pStyle w:val="Style39"/>
        <w:keepNext/>
        <w:keepLines/>
        <w:widowControl w:val="0"/>
        <w:shd w:val="clear" w:color="auto" w:fill="auto"/>
        <w:bidi w:val="0"/>
        <w:spacing w:before="0" w:after="400" w:line="240" w:lineRule="auto"/>
        <w:ind w:left="0" w:right="0" w:firstLine="0"/>
        <w:jc w:val="left"/>
      </w:pPr>
      <w:bookmarkStart w:id="1850" w:name="bookmark1850"/>
      <w:bookmarkStart w:id="1851" w:name="bookmark1851"/>
      <w:bookmarkStart w:id="1852" w:name="bookmark1852"/>
      <w:bookmarkStart w:id="1853" w:name="bookmark1853"/>
      <w:r>
        <w:rPr>
          <w:color w:val="000000"/>
          <w:spacing w:val="0"/>
          <w:w w:val="100"/>
          <w:position w:val="0"/>
          <w:sz w:val="24"/>
          <w:szCs w:val="24"/>
        </w:rPr>
        <w:t>八</w:t>
      </w:r>
      <w:bookmarkEnd w:id="1852"/>
      <w:r>
        <w:rPr>
          <w:color w:val="000000"/>
          <w:spacing w:val="0"/>
          <w:w w:val="100"/>
          <w:position w:val="0"/>
          <w:sz w:val="24"/>
          <w:szCs w:val="24"/>
        </w:rPr>
        <w:t>、合并范围的变更</w:t>
      </w:r>
      <w:bookmarkEnd w:id="1850"/>
      <w:bookmarkEnd w:id="1851"/>
      <w:bookmarkEnd w:id="1853"/>
    </w:p>
    <w:p>
      <w:pPr>
        <w:pStyle w:val="Style47"/>
        <w:keepNext/>
        <w:keepLines/>
        <w:widowControl w:val="0"/>
        <w:shd w:val="clear" w:color="auto" w:fill="auto"/>
        <w:tabs>
          <w:tab w:pos="368" w:val="left"/>
        </w:tabs>
        <w:bidi w:val="0"/>
        <w:spacing w:before="0" w:after="400" w:line="240" w:lineRule="auto"/>
        <w:ind w:left="0" w:right="0" w:firstLine="0"/>
        <w:jc w:val="left"/>
      </w:pPr>
      <w:bookmarkStart w:id="1854" w:name="bookmark1854"/>
      <w:bookmarkStart w:id="1855" w:name="bookmark1855"/>
      <w:bookmarkStart w:id="1856" w:name="bookmark1856"/>
      <w:bookmarkStart w:id="1857" w:name="bookmark1857"/>
      <w:r>
        <w:rPr>
          <w:color w:val="000000"/>
          <w:spacing w:val="0"/>
          <w:w w:val="100"/>
          <w:position w:val="0"/>
        </w:rPr>
        <w:t>1</w:t>
      </w:r>
      <w:bookmarkEnd w:id="1856"/>
      <w:r>
        <w:rPr>
          <w:color w:val="000000"/>
          <w:spacing w:val="0"/>
          <w:w w:val="100"/>
          <w:position w:val="0"/>
        </w:rPr>
        <w:t>、</w:t>
        <w:tab/>
        <w:t>非同一控制下企业合并</w:t>
      </w:r>
      <w:bookmarkEnd w:id="1854"/>
      <w:bookmarkEnd w:id="1855"/>
      <w:bookmarkEnd w:id="1857"/>
    </w:p>
    <w:p>
      <w:pPr>
        <w:pStyle w:val="Style41"/>
        <w:keepNext w:val="0"/>
        <w:keepLines w:val="0"/>
        <w:widowControl w:val="0"/>
        <w:shd w:val="clear" w:color="auto" w:fill="auto"/>
        <w:bidi w:val="0"/>
        <w:spacing w:before="0" w:after="400" w:line="240" w:lineRule="auto"/>
        <w:ind w:left="0" w:right="0" w:firstLine="480"/>
        <w:jc w:val="left"/>
      </w:pPr>
      <w:r>
        <w:rPr>
          <w:color w:val="000000"/>
          <w:spacing w:val="0"/>
          <w:w w:val="100"/>
          <w:position w:val="0"/>
        </w:rPr>
        <w:t>无。</w:t>
      </w:r>
    </w:p>
    <w:p>
      <w:pPr>
        <w:pStyle w:val="Style47"/>
        <w:keepNext/>
        <w:keepLines/>
        <w:widowControl w:val="0"/>
        <w:shd w:val="clear" w:color="auto" w:fill="auto"/>
        <w:tabs>
          <w:tab w:pos="378" w:val="left"/>
        </w:tabs>
        <w:bidi w:val="0"/>
        <w:spacing w:before="0" w:after="400" w:line="240" w:lineRule="auto"/>
        <w:ind w:left="0" w:right="0" w:firstLine="0"/>
        <w:jc w:val="left"/>
      </w:pPr>
      <w:bookmarkStart w:id="1858" w:name="bookmark1858"/>
      <w:bookmarkStart w:id="1859" w:name="bookmark1859"/>
      <w:bookmarkStart w:id="1860" w:name="bookmark1860"/>
      <w:bookmarkStart w:id="1861" w:name="bookmark1861"/>
      <w:r>
        <w:rPr>
          <w:color w:val="000000"/>
          <w:spacing w:val="0"/>
          <w:w w:val="100"/>
          <w:position w:val="0"/>
        </w:rPr>
        <w:t>2</w:t>
      </w:r>
      <w:bookmarkEnd w:id="1860"/>
      <w:r>
        <w:rPr>
          <w:color w:val="000000"/>
          <w:spacing w:val="0"/>
          <w:w w:val="100"/>
          <w:position w:val="0"/>
        </w:rPr>
        <w:t>、</w:t>
        <w:tab/>
        <w:t>同一控制下企业合并</w:t>
      </w:r>
      <w:bookmarkEnd w:id="1858"/>
      <w:bookmarkEnd w:id="1859"/>
      <w:bookmarkEnd w:id="1861"/>
    </w:p>
    <w:p>
      <w:pPr>
        <w:pStyle w:val="Style41"/>
        <w:keepNext w:val="0"/>
        <w:keepLines w:val="0"/>
        <w:widowControl w:val="0"/>
        <w:shd w:val="clear" w:color="auto" w:fill="auto"/>
        <w:bidi w:val="0"/>
        <w:spacing w:before="0" w:after="400" w:line="240" w:lineRule="auto"/>
        <w:ind w:left="0" w:right="0" w:firstLine="480"/>
        <w:jc w:val="left"/>
      </w:pPr>
      <w:r>
        <w:rPr>
          <w:color w:val="000000"/>
          <w:spacing w:val="0"/>
          <w:w w:val="100"/>
          <w:position w:val="0"/>
        </w:rPr>
        <w:t>无。</w:t>
      </w:r>
    </w:p>
    <w:p>
      <w:pPr>
        <w:pStyle w:val="Style47"/>
        <w:keepNext/>
        <w:keepLines/>
        <w:widowControl w:val="0"/>
        <w:shd w:val="clear" w:color="auto" w:fill="auto"/>
        <w:tabs>
          <w:tab w:pos="378" w:val="left"/>
        </w:tabs>
        <w:bidi w:val="0"/>
        <w:spacing w:before="0" w:after="400" w:line="240" w:lineRule="auto"/>
        <w:ind w:left="0" w:right="0" w:firstLine="0"/>
        <w:jc w:val="both"/>
      </w:pPr>
      <w:bookmarkStart w:id="1862" w:name="bookmark1862"/>
      <w:bookmarkStart w:id="1863" w:name="bookmark1863"/>
      <w:bookmarkStart w:id="1864" w:name="bookmark1864"/>
      <w:bookmarkStart w:id="1865" w:name="bookmark1865"/>
      <w:r>
        <w:rPr>
          <w:color w:val="000000"/>
          <w:spacing w:val="0"/>
          <w:w w:val="100"/>
          <w:position w:val="0"/>
        </w:rPr>
        <w:t>3</w:t>
      </w:r>
      <w:bookmarkEnd w:id="1864"/>
      <w:r>
        <w:rPr>
          <w:color w:val="000000"/>
          <w:spacing w:val="0"/>
          <w:w w:val="100"/>
          <w:position w:val="0"/>
        </w:rPr>
        <w:t>、</w:t>
        <w:tab/>
        <w:t>反向购买</w:t>
      </w:r>
      <w:bookmarkEnd w:id="1862"/>
      <w:bookmarkEnd w:id="1863"/>
      <w:bookmarkEnd w:id="1865"/>
    </w:p>
    <w:p>
      <w:pPr>
        <w:pStyle w:val="Style41"/>
        <w:keepNext w:val="0"/>
        <w:keepLines w:val="0"/>
        <w:widowControl w:val="0"/>
        <w:shd w:val="clear" w:color="auto" w:fill="auto"/>
        <w:bidi w:val="0"/>
        <w:spacing w:before="0" w:after="400" w:line="240" w:lineRule="auto"/>
        <w:ind w:left="0" w:right="0" w:firstLine="480"/>
        <w:jc w:val="left"/>
      </w:pPr>
      <w:r>
        <w:rPr>
          <w:color w:val="000000"/>
          <w:spacing w:val="0"/>
          <w:w w:val="100"/>
          <w:position w:val="0"/>
        </w:rPr>
        <w:t>无。</w:t>
      </w:r>
    </w:p>
    <w:p>
      <w:pPr>
        <w:pStyle w:val="Style47"/>
        <w:keepNext/>
        <w:keepLines/>
        <w:widowControl w:val="0"/>
        <w:shd w:val="clear" w:color="auto" w:fill="auto"/>
        <w:tabs>
          <w:tab w:pos="378" w:val="left"/>
        </w:tabs>
        <w:bidi w:val="0"/>
        <w:spacing w:before="0" w:after="400" w:line="240" w:lineRule="auto"/>
        <w:ind w:left="0" w:right="0" w:firstLine="0"/>
        <w:jc w:val="left"/>
      </w:pPr>
      <w:bookmarkStart w:id="1866" w:name="bookmark1866"/>
      <w:bookmarkStart w:id="1867" w:name="bookmark1867"/>
      <w:bookmarkStart w:id="1868" w:name="bookmark1868"/>
      <w:bookmarkStart w:id="1869" w:name="bookmark1869"/>
      <w:r>
        <w:rPr>
          <w:color w:val="000000"/>
          <w:spacing w:val="0"/>
          <w:w w:val="100"/>
          <w:position w:val="0"/>
        </w:rPr>
        <w:t>4</w:t>
      </w:r>
      <w:bookmarkEnd w:id="1868"/>
      <w:r>
        <w:rPr>
          <w:color w:val="000000"/>
          <w:spacing w:val="0"/>
          <w:w w:val="100"/>
          <w:position w:val="0"/>
        </w:rPr>
        <w:t>、</w:t>
        <w:tab/>
        <w:t>处置子公司</w:t>
      </w:r>
      <w:bookmarkEnd w:id="1866"/>
      <w:bookmarkEnd w:id="1867"/>
      <w:bookmarkEnd w:id="1869"/>
    </w:p>
    <w:p>
      <w:pPr>
        <w:pStyle w:val="Style41"/>
        <w:keepNext w:val="0"/>
        <w:keepLines w:val="0"/>
        <w:widowControl w:val="0"/>
        <w:shd w:val="clear" w:color="auto" w:fill="auto"/>
        <w:bidi w:val="0"/>
        <w:spacing w:before="0" w:after="140" w:line="240" w:lineRule="auto"/>
        <w:ind w:left="0" w:right="0" w:firstLine="0"/>
        <w:jc w:val="left"/>
      </w:pPr>
      <w:r>
        <w:rPr>
          <w:color w:val="000000"/>
          <w:spacing w:val="0"/>
          <w:w w:val="100"/>
          <w:position w:val="0"/>
        </w:rPr>
        <w:t>是否存在单次处置对子公司投资即丧失控制权的情形</w:t>
      </w:r>
    </w:p>
    <w:p>
      <w:pPr>
        <w:pStyle w:val="Style41"/>
        <w:keepNext w:val="0"/>
        <w:keepLines w:val="0"/>
        <w:widowControl w:val="0"/>
        <w:shd w:val="clear" w:color="auto" w:fill="auto"/>
        <w:bidi w:val="0"/>
        <w:spacing w:before="0" w:after="14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是</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否</w:t>
      </w:r>
    </w:p>
    <w:p>
      <w:pPr>
        <w:pStyle w:val="Style41"/>
        <w:keepNext w:val="0"/>
        <w:keepLines w:val="0"/>
        <w:widowControl w:val="0"/>
        <w:shd w:val="clear" w:color="auto" w:fill="auto"/>
        <w:bidi w:val="0"/>
        <w:spacing w:before="0" w:after="140" w:line="240" w:lineRule="auto"/>
        <w:ind w:left="0" w:right="0" w:firstLine="0"/>
        <w:jc w:val="left"/>
      </w:pPr>
      <w:r>
        <w:rPr>
          <w:color w:val="000000"/>
          <w:spacing w:val="0"/>
          <w:w w:val="100"/>
          <w:position w:val="0"/>
        </w:rPr>
        <w:t>是否存在通过多次交易分步处置对子公司投资且在本期丧失控制权的情形</w:t>
      </w:r>
    </w:p>
    <w:p>
      <w:pPr>
        <w:pStyle w:val="Style41"/>
        <w:keepNext w:val="0"/>
        <w:keepLines w:val="0"/>
        <w:widowControl w:val="0"/>
        <w:shd w:val="clear" w:color="auto" w:fill="auto"/>
        <w:bidi w:val="0"/>
        <w:spacing w:before="0" w:after="140" w:line="240" w:lineRule="auto"/>
        <w:ind w:left="0" w:right="0" w:firstLine="0"/>
        <w:jc w:val="left"/>
      </w:pPr>
      <w:r>
        <w:rPr>
          <w:rFonts w:ascii="Times New Roman" w:eastAsia="Times New Roman" w:hAnsi="Times New Roman" w:cs="Times New Roman"/>
          <w:color w:val="000000"/>
          <w:spacing w:val="0"/>
          <w:w w:val="100"/>
          <w:position w:val="0"/>
          <w:sz w:val="18"/>
          <w:szCs w:val="18"/>
        </w:rPr>
        <w:t>V</w:t>
      </w:r>
      <w:r>
        <w:rPr>
          <w:color w:val="000000"/>
          <w:spacing w:val="0"/>
          <w:w w:val="100"/>
          <w:position w:val="0"/>
        </w:rPr>
        <w:t>是</w:t>
      </w:r>
      <w:r>
        <w:rPr>
          <w:color w:val="000000"/>
          <w:spacing w:val="0"/>
          <w:w w:val="100"/>
          <w:position w:val="0"/>
          <w:sz w:val="18"/>
          <w:szCs w:val="18"/>
        </w:rPr>
        <w:t>口</w:t>
      </w:r>
      <w:r>
        <w:rPr>
          <w:color w:val="000000"/>
          <w:spacing w:val="0"/>
          <w:w w:val="100"/>
          <w:position w:val="0"/>
        </w:rPr>
        <w:t>否</w:t>
      </w:r>
    </w:p>
    <w:p>
      <w:pPr>
        <w:pStyle w:val="Style41"/>
        <w:keepNext w:val="0"/>
        <w:keepLines w:val="0"/>
        <w:widowControl w:val="0"/>
        <w:shd w:val="clear" w:color="auto" w:fill="auto"/>
        <w:bidi w:val="0"/>
        <w:spacing w:before="0" w:after="140" w:line="240" w:lineRule="auto"/>
        <w:ind w:left="0" w:right="0" w:firstLine="0"/>
        <w:jc w:val="left"/>
      </w:pPr>
      <w:r>
        <w:rPr>
          <w:color w:val="000000"/>
          <w:spacing w:val="0"/>
          <w:w w:val="100"/>
          <w:position w:val="0"/>
        </w:rPr>
        <w:t>一揽子交易</w:t>
      </w:r>
    </w:p>
    <w:p>
      <w:pPr>
        <w:pStyle w:val="Style41"/>
        <w:keepNext w:val="0"/>
        <w:keepLines w:val="0"/>
        <w:widowControl w:val="0"/>
        <w:shd w:val="clear" w:color="auto" w:fill="auto"/>
        <w:bidi w:val="0"/>
        <w:spacing w:before="0" w:after="140" w:line="240" w:lineRule="auto"/>
        <w:ind w:left="0" w:right="0" w:firstLine="0"/>
        <w:jc w:val="both"/>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41"/>
        <w:keepNext w:val="0"/>
        <w:keepLines w:val="0"/>
        <w:widowControl w:val="0"/>
        <w:shd w:val="clear" w:color="auto" w:fill="auto"/>
        <w:bidi w:val="0"/>
        <w:spacing w:before="0" w:after="140" w:line="240" w:lineRule="auto"/>
        <w:ind w:left="0" w:right="0" w:firstLine="0"/>
        <w:jc w:val="both"/>
      </w:pPr>
      <w:r>
        <w:rPr>
          <w:color w:val="000000"/>
          <w:spacing w:val="0"/>
          <w:w w:val="100"/>
          <w:position w:val="0"/>
        </w:rPr>
        <w:t>非一揽子交易</w:t>
      </w:r>
    </w:p>
    <w:p>
      <w:pPr>
        <w:pStyle w:val="Style41"/>
        <w:keepNext w:val="0"/>
        <w:keepLines w:val="0"/>
        <w:widowControl w:val="0"/>
        <w:shd w:val="clear" w:color="auto" w:fill="auto"/>
        <w:bidi w:val="0"/>
        <w:spacing w:before="0" w:after="140" w:line="240" w:lineRule="auto"/>
        <w:ind w:left="0" w:right="0" w:firstLine="0"/>
        <w:jc w:val="both"/>
      </w:pPr>
      <w:r>
        <w:rPr>
          <w:rFonts w:ascii="Times New Roman" w:eastAsia="Times New Roman" w:hAnsi="Times New Roman" w:cs="Times New Roman"/>
          <w:color w:val="000000"/>
          <w:spacing w:val="0"/>
          <w:w w:val="100"/>
          <w:position w:val="0"/>
          <w:sz w:val="18"/>
          <w:szCs w:val="18"/>
        </w:rPr>
        <w:t>V</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41"/>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691"/>
        <w:gridCol w:w="682"/>
        <w:gridCol w:w="682"/>
        <w:gridCol w:w="686"/>
        <w:gridCol w:w="682"/>
        <w:gridCol w:w="682"/>
        <w:gridCol w:w="682"/>
        <w:gridCol w:w="682"/>
        <w:gridCol w:w="682"/>
        <w:gridCol w:w="682"/>
        <w:gridCol w:w="686"/>
        <w:gridCol w:w="686"/>
        <w:gridCol w:w="682"/>
        <w:gridCol w:w="696"/>
      </w:tblGrid>
      <w:tr>
        <w:trPr>
          <w:trHeight w:val="3182"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子公司</w:t>
            </w:r>
          </w:p>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名称</w:t>
            </w:r>
          </w:p>
        </w:tc>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股权处</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置时点</w:t>
            </w:r>
          </w:p>
        </w:tc>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股权处</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置价款</w:t>
            </w:r>
          </w:p>
        </w:tc>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股权处</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置比例</w:t>
            </w:r>
          </w:p>
        </w:tc>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股权处</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置方式</w:t>
            </w:r>
          </w:p>
        </w:tc>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311" w:lineRule="exact"/>
              <w:ind w:left="0" w:right="0" w:firstLine="0"/>
              <w:jc w:val="both"/>
            </w:pPr>
            <w:r>
              <w:rPr>
                <w:color w:val="000000"/>
                <w:spacing w:val="0"/>
                <w:w w:val="100"/>
                <w:position w:val="0"/>
              </w:rPr>
              <w:t>处置价 款与处 置投资 对应的 合并财 务报表 层面享 有该子 公司净 资产份</w:t>
            </w:r>
          </w:p>
        </w:tc>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314" w:lineRule="exact"/>
              <w:ind w:left="0" w:right="0" w:firstLine="0"/>
              <w:jc w:val="center"/>
            </w:pPr>
            <w:r>
              <w:rPr>
                <w:color w:val="000000"/>
                <w:spacing w:val="0"/>
                <w:w w:val="100"/>
                <w:position w:val="0"/>
              </w:rPr>
              <w:t>丧失控 制权的 时点</w:t>
            </w:r>
          </w:p>
        </w:tc>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丧失控 制权时 点的确 定依据</w:t>
            </w:r>
          </w:p>
        </w:tc>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丧失控 制权之 日剩余 股权的 比例</w:t>
            </w:r>
          </w:p>
        </w:tc>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313" w:lineRule="exact"/>
              <w:ind w:left="0" w:right="0" w:firstLine="0"/>
              <w:jc w:val="center"/>
            </w:pPr>
            <w:r>
              <w:rPr>
                <w:color w:val="000000"/>
                <w:spacing w:val="0"/>
                <w:w w:val="100"/>
                <w:position w:val="0"/>
              </w:rPr>
              <w:t>丧失控 制权之 日剩余 股权的 账面价 值</w:t>
            </w:r>
          </w:p>
        </w:tc>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313" w:lineRule="exact"/>
              <w:ind w:left="0" w:right="0" w:firstLine="0"/>
              <w:jc w:val="center"/>
            </w:pPr>
            <w:r>
              <w:rPr>
                <w:color w:val="000000"/>
                <w:spacing w:val="0"/>
                <w:w w:val="100"/>
                <w:position w:val="0"/>
              </w:rPr>
              <w:t>丧失控 制权之 日剩余 股权的 公允价 值</w:t>
            </w:r>
          </w:p>
        </w:tc>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按照公 允价值 重新计 量剩余 股权产 生的利 得或损 失</w:t>
            </w:r>
          </w:p>
        </w:tc>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313" w:lineRule="exact"/>
              <w:ind w:left="0" w:right="0" w:firstLine="0"/>
              <w:jc w:val="center"/>
            </w:pPr>
            <w:r>
              <w:rPr>
                <w:color w:val="000000"/>
                <w:spacing w:val="0"/>
                <w:w w:val="100"/>
                <w:position w:val="0"/>
              </w:rPr>
              <w:t>丧失控 制权之 日剩余 股权公 允价值 的确定 方法及 主要假 设</w:t>
            </w:r>
          </w:p>
        </w:tc>
        <w:tc>
          <w:tcPr>
            <w:tcBorders>
              <w:top w:val="single" w:sz="4"/>
              <w:left w:val="single" w:sz="4"/>
              <w:bottom w:val="single" w:sz="4"/>
              <w:right w:val="single" w:sz="4"/>
            </w:tcBorders>
            <w:shd w:val="clear" w:color="auto" w:fill="D7D7D7"/>
            <w:vAlign w:val="center"/>
          </w:tcPr>
          <w:p>
            <w:pPr>
              <w:pStyle w:val="Style2"/>
              <w:keepNext w:val="0"/>
              <w:keepLines w:val="0"/>
              <w:widowControl w:val="0"/>
              <w:shd w:val="clear" w:color="auto" w:fill="auto"/>
              <w:bidi w:val="0"/>
              <w:spacing w:before="0" w:after="0" w:line="313" w:lineRule="exact"/>
              <w:ind w:left="0" w:right="0" w:firstLine="0"/>
              <w:jc w:val="left"/>
            </w:pPr>
            <w:r>
              <w:rPr>
                <w:color w:val="000000"/>
                <w:spacing w:val="0"/>
                <w:w w:val="100"/>
                <w:position w:val="0"/>
              </w:rPr>
              <w:t>与原子 公司股 权投资 相关的 其他综 合收益 转入投 资损益 的金额</w:t>
            </w:r>
          </w:p>
        </w:tc>
      </w:tr>
    </w:tbl>
    <w:p>
      <w:pPr>
        <w:widowControl w:val="0"/>
        <w:spacing w:line="1" w:lineRule="exact"/>
      </w:pPr>
      <w:r>
        <w:br w:type="page"/>
      </w:r>
    </w:p>
    <w:tbl>
      <w:tblPr>
        <w:tblOverlap w:val="never"/>
        <w:jc w:val="center"/>
        <w:tblLayout w:type="fixed"/>
      </w:tblPr>
      <w:tblGrid>
        <w:gridCol w:w="691"/>
        <w:gridCol w:w="682"/>
        <w:gridCol w:w="682"/>
        <w:gridCol w:w="686"/>
        <w:gridCol w:w="682"/>
        <w:gridCol w:w="682"/>
        <w:gridCol w:w="682"/>
        <w:gridCol w:w="682"/>
        <w:gridCol w:w="682"/>
        <w:gridCol w:w="682"/>
        <w:gridCol w:w="686"/>
        <w:gridCol w:w="686"/>
        <w:gridCol w:w="682"/>
        <w:gridCol w:w="696"/>
      </w:tblGrid>
      <w:tr>
        <w:trPr>
          <w:trHeight w:val="677" w:hRule="exact"/>
        </w:trPr>
        <w:tc>
          <w:tcPr>
            <w:tcBorders>
              <w:top w:val="single" w:sz="4"/>
              <w:left w:val="single" w:sz="4"/>
            </w:tcBorders>
            <w:shd w:val="clear" w:color="auto" w:fill="D7D7D7"/>
            <w:vAlign w:val="top"/>
          </w:tcPr>
          <w:p>
            <w:pPr>
              <w:widowControl w:val="0"/>
              <w:rPr>
                <w:sz w:val="10"/>
                <w:szCs w:val="10"/>
              </w:rPr>
            </w:pPr>
          </w:p>
        </w:tc>
        <w:tc>
          <w:tcPr>
            <w:tcBorders>
              <w:top w:val="single" w:sz="4"/>
              <w:left w:val="single" w:sz="4"/>
            </w:tcBorders>
            <w:shd w:val="clear" w:color="auto" w:fill="D7D7D7"/>
            <w:vAlign w:val="top"/>
          </w:tcPr>
          <w:p>
            <w:pPr>
              <w:widowControl w:val="0"/>
              <w:rPr>
                <w:sz w:val="10"/>
                <w:szCs w:val="10"/>
              </w:rPr>
            </w:pPr>
          </w:p>
        </w:tc>
        <w:tc>
          <w:tcPr>
            <w:tcBorders>
              <w:top w:val="single" w:sz="4"/>
              <w:left w:val="single" w:sz="4"/>
            </w:tcBorders>
            <w:shd w:val="clear" w:color="auto" w:fill="D7D7D7"/>
            <w:vAlign w:val="top"/>
          </w:tcPr>
          <w:p>
            <w:pPr>
              <w:widowControl w:val="0"/>
              <w:rPr>
                <w:sz w:val="10"/>
                <w:szCs w:val="10"/>
              </w:rPr>
            </w:pPr>
          </w:p>
        </w:tc>
        <w:tc>
          <w:tcPr>
            <w:tcBorders>
              <w:top w:val="single" w:sz="4"/>
              <w:left w:val="single" w:sz="4"/>
            </w:tcBorders>
            <w:shd w:val="clear" w:color="auto" w:fill="D7D7D7"/>
            <w:vAlign w:val="top"/>
          </w:tcPr>
          <w:p>
            <w:pPr>
              <w:widowControl w:val="0"/>
              <w:rPr>
                <w:sz w:val="10"/>
                <w:szCs w:val="10"/>
              </w:rPr>
            </w:pPr>
          </w:p>
        </w:tc>
        <w:tc>
          <w:tcPr>
            <w:tcBorders>
              <w:top w:val="single" w:sz="4"/>
              <w:left w:val="single" w:sz="4"/>
            </w:tcBorders>
            <w:shd w:val="clear" w:color="auto" w:fill="D7D7D7"/>
            <w:vAlign w:val="top"/>
          </w:tcPr>
          <w:p>
            <w:pPr>
              <w:widowControl w:val="0"/>
              <w:rPr>
                <w:sz w:val="10"/>
                <w:szCs w:val="10"/>
              </w:rPr>
            </w:pP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额的差 额</w:t>
            </w:r>
          </w:p>
        </w:tc>
        <w:tc>
          <w:tcPr>
            <w:tcBorders>
              <w:top w:val="single" w:sz="4"/>
              <w:left w:val="single" w:sz="4"/>
            </w:tcBorders>
            <w:shd w:val="clear" w:color="auto" w:fill="D7D7D7"/>
            <w:vAlign w:val="top"/>
          </w:tcPr>
          <w:p>
            <w:pPr>
              <w:widowControl w:val="0"/>
              <w:rPr>
                <w:sz w:val="10"/>
                <w:szCs w:val="10"/>
              </w:rPr>
            </w:pPr>
          </w:p>
        </w:tc>
        <w:tc>
          <w:tcPr>
            <w:tcBorders>
              <w:top w:val="single" w:sz="4"/>
              <w:left w:val="single" w:sz="4"/>
            </w:tcBorders>
            <w:shd w:val="clear" w:color="auto" w:fill="D7D7D7"/>
            <w:vAlign w:val="top"/>
          </w:tcPr>
          <w:p>
            <w:pPr>
              <w:widowControl w:val="0"/>
              <w:rPr>
                <w:sz w:val="10"/>
                <w:szCs w:val="10"/>
              </w:rPr>
            </w:pPr>
          </w:p>
        </w:tc>
        <w:tc>
          <w:tcPr>
            <w:tcBorders>
              <w:top w:val="single" w:sz="4"/>
              <w:left w:val="single" w:sz="4"/>
            </w:tcBorders>
            <w:shd w:val="clear" w:color="auto" w:fill="D7D7D7"/>
            <w:vAlign w:val="top"/>
          </w:tcPr>
          <w:p>
            <w:pPr>
              <w:widowControl w:val="0"/>
              <w:rPr>
                <w:sz w:val="10"/>
                <w:szCs w:val="10"/>
              </w:rPr>
            </w:pPr>
          </w:p>
        </w:tc>
        <w:tc>
          <w:tcPr>
            <w:tcBorders>
              <w:top w:val="single" w:sz="4"/>
              <w:left w:val="single" w:sz="4"/>
            </w:tcBorders>
            <w:shd w:val="clear" w:color="auto" w:fill="D7D7D7"/>
            <w:vAlign w:val="top"/>
          </w:tcPr>
          <w:p>
            <w:pPr>
              <w:widowControl w:val="0"/>
              <w:rPr>
                <w:sz w:val="10"/>
                <w:szCs w:val="10"/>
              </w:rPr>
            </w:pPr>
          </w:p>
        </w:tc>
        <w:tc>
          <w:tcPr>
            <w:tcBorders>
              <w:top w:val="single" w:sz="4"/>
              <w:left w:val="single" w:sz="4"/>
            </w:tcBorders>
            <w:shd w:val="clear" w:color="auto" w:fill="D7D7D7"/>
            <w:vAlign w:val="top"/>
          </w:tcPr>
          <w:p>
            <w:pPr>
              <w:widowControl w:val="0"/>
              <w:rPr>
                <w:sz w:val="10"/>
                <w:szCs w:val="10"/>
              </w:rPr>
            </w:pPr>
          </w:p>
        </w:tc>
        <w:tc>
          <w:tcPr>
            <w:tcBorders>
              <w:top w:val="single" w:sz="4"/>
              <w:left w:val="single" w:sz="4"/>
            </w:tcBorders>
            <w:shd w:val="clear" w:color="auto" w:fill="D7D7D7"/>
            <w:vAlign w:val="top"/>
          </w:tcPr>
          <w:p>
            <w:pPr>
              <w:widowControl w:val="0"/>
              <w:rPr>
                <w:sz w:val="10"/>
                <w:szCs w:val="10"/>
              </w:rPr>
            </w:pPr>
          </w:p>
        </w:tc>
        <w:tc>
          <w:tcPr>
            <w:tcBorders>
              <w:top w:val="single" w:sz="4"/>
              <w:left w:val="single" w:sz="4"/>
            </w:tcBorders>
            <w:shd w:val="clear" w:color="auto" w:fill="D7D7D7"/>
            <w:vAlign w:val="top"/>
          </w:tcPr>
          <w:p>
            <w:pPr>
              <w:widowControl w:val="0"/>
              <w:rPr>
                <w:sz w:val="10"/>
                <w:szCs w:val="10"/>
              </w:rPr>
            </w:pPr>
          </w:p>
        </w:tc>
        <w:tc>
          <w:tcPr>
            <w:tcBorders>
              <w:top w:val="single" w:sz="4"/>
              <w:left w:val="single" w:sz="4"/>
              <w:right w:val="single" w:sz="4"/>
            </w:tcBorders>
            <w:shd w:val="clear" w:color="auto" w:fill="D7D7D7"/>
            <w:vAlign w:val="top"/>
          </w:tcPr>
          <w:p>
            <w:pPr>
              <w:widowControl w:val="0"/>
              <w:rPr>
                <w:sz w:val="10"/>
                <w:szCs w:val="10"/>
              </w:rPr>
            </w:pPr>
          </w:p>
        </w:tc>
      </w:tr>
      <w:tr>
        <w:trPr>
          <w:trHeight w:val="1651" w:hRule="exact"/>
        </w:trPr>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北京神 州泰岳 智能数 据技术 有限公 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22" w:lineRule="exact"/>
              <w:ind w:left="0" w:right="0" w:firstLine="0"/>
              <w:jc w:val="left"/>
            </w:pPr>
            <w:r>
              <w:rPr>
                <w:rFonts w:ascii="Times New Roman" w:eastAsia="Times New Roman" w:hAnsi="Times New Roman" w:cs="Times New Roman"/>
                <w:color w:val="000000"/>
                <w:spacing w:val="0"/>
                <w:w w:val="100"/>
                <w:position w:val="0"/>
                <w:sz w:val="18"/>
                <w:szCs w:val="18"/>
              </w:rPr>
              <w:t xml:space="preserve">2019 </w:t>
            </w:r>
            <w:r>
              <w:rPr>
                <w:color w:val="000000"/>
                <w:spacing w:val="0"/>
                <w:w w:val="100"/>
                <w:position w:val="0"/>
              </w:rPr>
              <w:t xml:space="preserve">年 </w:t>
            </w:r>
            <w:r>
              <w:rPr>
                <w:rFonts w:ascii="Times New Roman" w:eastAsia="Times New Roman" w:hAnsi="Times New Roman" w:cs="Times New Roman"/>
                <w:color w:val="000000"/>
                <w:spacing w:val="0"/>
                <w:w w:val="100"/>
                <w:position w:val="0"/>
                <w:sz w:val="18"/>
                <w:szCs w:val="18"/>
              </w:rPr>
              <w:t xml:space="preserve">08 </w:t>
            </w:r>
            <w:r>
              <w:rPr>
                <w:color w:val="000000"/>
                <w:spacing w:val="0"/>
                <w:w w:val="100"/>
                <w:position w:val="0"/>
              </w:rPr>
              <w:t xml:space="preserve">月 </w:t>
            </w:r>
            <w:r>
              <w:rPr>
                <w:rFonts w:ascii="Times New Roman" w:eastAsia="Times New Roman" w:hAnsi="Times New Roman" w:cs="Times New Roman"/>
                <w:color w:val="000000"/>
                <w:spacing w:val="0"/>
                <w:w w:val="100"/>
                <w:position w:val="0"/>
                <w:sz w:val="18"/>
                <w:szCs w:val="18"/>
              </w:rPr>
              <w:t xml:space="preserve">31 </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8"/>
                <w:szCs w:val="18"/>
              </w:rPr>
            </w:pPr>
            <w:r>
              <w:rPr>
                <w:rFonts w:ascii="Times New Roman" w:eastAsia="Times New Roman" w:hAnsi="Times New Roman" w:cs="Times New Roman"/>
                <w:color w:val="000000"/>
                <w:spacing w:val="0"/>
                <w:w w:val="100"/>
                <w:position w:val="0"/>
                <w:sz w:val="18"/>
                <w:szCs w:val="18"/>
              </w:rPr>
              <w:t>9.45%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3" w:lineRule="exact"/>
              <w:ind w:left="0" w:right="0" w:firstLine="0"/>
              <w:jc w:val="both"/>
            </w:pPr>
            <w:r>
              <w:rPr>
                <w:color w:val="000000"/>
                <w:spacing w:val="0"/>
                <w:w w:val="100"/>
                <w:position w:val="0"/>
              </w:rPr>
              <w:t>少数股 东增资 公司被 动稀释 股权</w:t>
            </w:r>
          </w:p>
        </w:tc>
        <w:tc>
          <w:tcPr>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9" w:lineRule="exact"/>
              <w:ind w:left="0" w:right="0" w:firstLine="0"/>
              <w:jc w:val="both"/>
            </w:pPr>
            <w:r>
              <w:rPr>
                <w:rFonts w:ascii="Times New Roman" w:eastAsia="Times New Roman" w:hAnsi="Times New Roman" w:cs="Times New Roman"/>
                <w:color w:val="000000"/>
                <w:spacing w:val="0"/>
                <w:w w:val="100"/>
                <w:position w:val="0"/>
                <w:sz w:val="18"/>
                <w:szCs w:val="18"/>
              </w:rPr>
              <w:t xml:space="preserve">2020 </w:t>
            </w:r>
            <w:r>
              <w:rPr>
                <w:color w:val="000000"/>
                <w:spacing w:val="0"/>
                <w:w w:val="100"/>
                <w:position w:val="0"/>
              </w:rPr>
              <w:t xml:space="preserve">年 </w:t>
            </w:r>
            <w:r>
              <w:rPr>
                <w:rFonts w:ascii="Times New Roman" w:eastAsia="Times New Roman" w:hAnsi="Times New Roman" w:cs="Times New Roman"/>
                <w:color w:val="000000"/>
                <w:spacing w:val="0"/>
                <w:w w:val="100"/>
                <w:position w:val="0"/>
                <w:sz w:val="18"/>
                <w:szCs w:val="18"/>
              </w:rPr>
              <w:t xml:space="preserve">09 </w:t>
            </w:r>
            <w:r>
              <w:rPr>
                <w:color w:val="000000"/>
                <w:spacing w:val="0"/>
                <w:w w:val="100"/>
                <w:position w:val="0"/>
              </w:rPr>
              <w:t xml:space="preserve">月 </w:t>
            </w:r>
            <w:r>
              <w:rPr>
                <w:rFonts w:ascii="Times New Roman" w:eastAsia="Times New Roman" w:hAnsi="Times New Roman" w:cs="Times New Roman"/>
                <w:color w:val="000000"/>
                <w:spacing w:val="0"/>
                <w:w w:val="100"/>
                <w:position w:val="0"/>
                <w:sz w:val="18"/>
                <w:szCs w:val="18"/>
              </w:rPr>
              <w:t xml:space="preserve">30 </w:t>
            </w:r>
            <w:r>
              <w:rPr>
                <w:color w:val="000000"/>
                <w:spacing w:val="0"/>
                <w:w w:val="100"/>
                <w:position w:val="0"/>
              </w:rPr>
              <w:t>日</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05" w:lineRule="exact"/>
              <w:ind w:left="0" w:right="0" w:firstLine="0"/>
              <w:jc w:val="both"/>
            </w:pPr>
            <w:r>
              <w:rPr>
                <w:color w:val="000000"/>
                <w:spacing w:val="0"/>
                <w:w w:val="100"/>
                <w:position w:val="0"/>
              </w:rPr>
              <w:t>新股东 增资完 成</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49.82%</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49,875,</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334.61</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91,843,</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065.10</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41,967,</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730.49</w:t>
            </w:r>
          </w:p>
        </w:tc>
        <w:tc>
          <w:tcPr>
            <w:vMerge w:val="restart"/>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left"/>
            </w:pPr>
            <w:r>
              <w:rPr>
                <w:rFonts w:ascii="Times New Roman" w:eastAsia="Times New Roman" w:hAnsi="Times New Roman" w:cs="Times New Roman"/>
                <w:color w:val="000000"/>
                <w:spacing w:val="0"/>
                <w:w w:val="100"/>
                <w:position w:val="0"/>
                <w:sz w:val="18"/>
                <w:szCs w:val="18"/>
              </w:rPr>
              <w:t xml:space="preserve">2020 </w:t>
            </w:r>
            <w:r>
              <w:rPr>
                <w:color w:val="000000"/>
                <w:spacing w:val="0"/>
                <w:w w:val="100"/>
                <w:position w:val="0"/>
              </w:rPr>
              <w:t xml:space="preserve">年 </w:t>
            </w:r>
            <w:r>
              <w:rPr>
                <w:rFonts w:ascii="Times New Roman" w:eastAsia="Times New Roman" w:hAnsi="Times New Roman" w:cs="Times New Roman"/>
                <w:color w:val="000000"/>
                <w:spacing w:val="0"/>
                <w:w w:val="100"/>
                <w:position w:val="0"/>
                <w:sz w:val="18"/>
                <w:szCs w:val="18"/>
              </w:rPr>
              <w:t>9</w:t>
            </w:r>
            <w:r>
              <w:rPr>
                <w:color w:val="000000"/>
                <w:spacing w:val="0"/>
                <w:w w:val="100"/>
                <w:position w:val="0"/>
              </w:rPr>
              <w:t>月增 资完成 后，被 稀释后 比例占 增资时 公司公 允价值 的金额</w:t>
            </w:r>
          </w:p>
        </w:tc>
        <w:tc>
          <w:tcPr>
            <w:vMerge w:val="restart"/>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sz w:val="18"/>
                <w:szCs w:val="18"/>
              </w:rPr>
              <w:t xml:space="preserve">2019 </w:t>
            </w:r>
            <w:r>
              <w:rPr>
                <w:color w:val="000000"/>
                <w:spacing w:val="0"/>
                <w:w w:val="100"/>
                <w:position w:val="0"/>
              </w:rPr>
              <w:t>年</w:t>
            </w:r>
          </w:p>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12 </w:t>
            </w:r>
            <w:r>
              <w:rPr>
                <w:color w:val="000000"/>
                <w:spacing w:val="0"/>
                <w:w w:val="100"/>
                <w:position w:val="0"/>
                <w:sz w:val="17"/>
                <w:szCs w:val="17"/>
              </w:rPr>
              <w:t xml:space="preserve">月 </w:t>
            </w:r>
            <w:r>
              <w:rPr>
                <w:rFonts w:ascii="Times New Roman" w:eastAsia="Times New Roman" w:hAnsi="Times New Roman" w:cs="Times New Roman"/>
                <w:color w:val="000000"/>
                <w:spacing w:val="0"/>
                <w:w w:val="100"/>
                <w:position w:val="0"/>
                <w:sz w:val="18"/>
                <w:szCs w:val="18"/>
              </w:rPr>
              <w:t>31</w:t>
            </w:r>
          </w:p>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54,000,</w:t>
            </w:r>
          </w:p>
          <w:p>
            <w:pPr>
              <w:pStyle w:val="Style2"/>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000000"/>
                <w:spacing w:val="0"/>
                <w:w w:val="100"/>
                <w:position w:val="0"/>
                <w:sz w:val="18"/>
                <w:szCs w:val="18"/>
              </w:rPr>
              <w:t>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处置原 有股权</w:t>
            </w:r>
          </w:p>
        </w:tc>
        <w:tc>
          <w:tcPr>
            <w:tcBorders>
              <w:top w:val="single" w:sz="4"/>
              <w:left w:val="single" w:sz="4"/>
            </w:tcBorders>
            <w:shd w:val="clear" w:color="auto" w:fill="FFFFFF"/>
            <w:vAlign w:val="top"/>
          </w:tcPr>
          <w:p>
            <w:pPr>
              <w:widowControl w:val="0"/>
              <w:rPr>
                <w:sz w:val="10"/>
                <w:szCs w:val="10"/>
              </w:rPr>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right w:val="single" w:sz="4"/>
            </w:tcBorders>
            <w:shd w:val="clear" w:color="auto" w:fill="FFFFFF"/>
            <w:vAlign w:val="top"/>
          </w:tcPr>
          <w:p>
            <w:pPr/>
          </w:p>
        </w:tc>
      </w:tr>
      <w:tr>
        <w:trPr>
          <w:trHeight w:val="1349" w:hRule="exact"/>
        </w:trPr>
        <w:tc>
          <w:tcPr>
            <w:vMerge/>
            <w:tcBorders>
              <w:left w:val="single" w:sz="4"/>
              <w:bottom w:val="single" w:sz="4"/>
            </w:tcBorders>
            <w:shd w:val="clear" w:color="auto" w:fill="FFFFFF"/>
            <w:vAlign w:val="center"/>
          </w:tcPr>
          <w:p>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22" w:lineRule="exact"/>
              <w:ind w:left="0" w:right="0" w:firstLine="0"/>
              <w:jc w:val="left"/>
            </w:pPr>
            <w:r>
              <w:rPr>
                <w:rFonts w:ascii="Times New Roman" w:eastAsia="Times New Roman" w:hAnsi="Times New Roman" w:cs="Times New Roman"/>
                <w:color w:val="000000"/>
                <w:spacing w:val="0"/>
                <w:w w:val="100"/>
                <w:position w:val="0"/>
                <w:sz w:val="18"/>
                <w:szCs w:val="18"/>
              </w:rPr>
              <w:t xml:space="preserve">2020 </w:t>
            </w:r>
            <w:r>
              <w:rPr>
                <w:color w:val="000000"/>
                <w:spacing w:val="0"/>
                <w:w w:val="100"/>
                <w:position w:val="0"/>
              </w:rPr>
              <w:t xml:space="preserve">年 </w:t>
            </w:r>
            <w:r>
              <w:rPr>
                <w:rFonts w:ascii="Times New Roman" w:eastAsia="Times New Roman" w:hAnsi="Times New Roman" w:cs="Times New Roman"/>
                <w:color w:val="000000"/>
                <w:spacing w:val="0"/>
                <w:w w:val="100"/>
                <w:position w:val="0"/>
                <w:sz w:val="18"/>
                <w:szCs w:val="18"/>
              </w:rPr>
              <w:t xml:space="preserve">09 </w:t>
            </w:r>
            <w:r>
              <w:rPr>
                <w:color w:val="000000"/>
                <w:spacing w:val="0"/>
                <w:w w:val="100"/>
                <w:position w:val="0"/>
              </w:rPr>
              <w:t xml:space="preserve">月 </w:t>
            </w:r>
            <w:r>
              <w:rPr>
                <w:rFonts w:ascii="Times New Roman" w:eastAsia="Times New Roman" w:hAnsi="Times New Roman" w:cs="Times New Roman"/>
                <w:color w:val="000000"/>
                <w:spacing w:val="0"/>
                <w:w w:val="100"/>
                <w:position w:val="0"/>
                <w:sz w:val="18"/>
                <w:szCs w:val="18"/>
              </w:rPr>
              <w:t xml:space="preserve">30 </w:t>
            </w:r>
            <w:r>
              <w:rPr>
                <w:color w:val="000000"/>
                <w:spacing w:val="0"/>
                <w:w w:val="100"/>
                <w:position w:val="0"/>
              </w:rPr>
              <w:t>日</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8"/>
                <w:szCs w:val="18"/>
              </w:rPr>
            </w:pPr>
            <w:r>
              <w:rPr>
                <w:rFonts w:ascii="Times New Roman" w:eastAsia="Times New Roman" w:hAnsi="Times New Roman" w:cs="Times New Roman"/>
                <w:color w:val="000000"/>
                <w:spacing w:val="0"/>
                <w:w w:val="100"/>
                <w:position w:val="0"/>
                <w:sz w:val="18"/>
                <w:szCs w:val="18"/>
              </w:rPr>
              <w:t>5.73%</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新股东 增资导 致丧失 控制权</w:t>
            </w:r>
          </w:p>
        </w:tc>
        <w:tc>
          <w:tcPr>
            <w:tcBorders>
              <w:top w:val="single" w:sz="4"/>
              <w:left w:val="single" w:sz="4"/>
              <w:bottom w:val="single" w:sz="4"/>
            </w:tcBorders>
            <w:shd w:val="clear" w:color="auto" w:fill="FFFFFF"/>
            <w:vAlign w:val="top"/>
          </w:tcPr>
          <w:p>
            <w:pPr>
              <w:widowControl w:val="0"/>
              <w:rPr>
                <w:sz w:val="10"/>
                <w:szCs w:val="10"/>
              </w:rPr>
            </w:pPr>
          </w:p>
        </w:tc>
        <w:tc>
          <w:tcPr>
            <w:vMerge/>
            <w:tcBorders>
              <w:left w:val="single" w:sz="4"/>
              <w:bottom w:val="single" w:sz="4"/>
            </w:tcBorders>
            <w:shd w:val="clear" w:color="auto" w:fill="FFFFFF"/>
            <w:vAlign w:val="center"/>
          </w:tcPr>
          <w:p>
            <w:pPr/>
          </w:p>
        </w:tc>
        <w:tc>
          <w:tcPr>
            <w:vMerge/>
            <w:tcBorders>
              <w:left w:val="single" w:sz="4"/>
              <w:bottom w:val="single" w:sz="4"/>
            </w:tcBorders>
            <w:shd w:val="clear" w:color="auto" w:fill="FFFFFF"/>
            <w:vAlign w:val="center"/>
          </w:tcPr>
          <w:p>
            <w:pPr/>
          </w:p>
        </w:tc>
        <w:tc>
          <w:tcPr>
            <w:vMerge/>
            <w:tcBorders>
              <w:left w:val="single" w:sz="4"/>
              <w:bottom w:val="single" w:sz="4"/>
            </w:tcBorders>
            <w:shd w:val="clear" w:color="auto" w:fill="FFFFFF"/>
            <w:vAlign w:val="center"/>
          </w:tcPr>
          <w:p>
            <w:pPr/>
          </w:p>
        </w:tc>
        <w:tc>
          <w:tcPr>
            <w:vMerge/>
            <w:tcBorders>
              <w:left w:val="single" w:sz="4"/>
              <w:bottom w:val="single" w:sz="4"/>
            </w:tcBorders>
            <w:shd w:val="clear" w:color="auto" w:fill="FFFFFF"/>
            <w:vAlign w:val="center"/>
          </w:tcPr>
          <w:p>
            <w:pPr/>
          </w:p>
        </w:tc>
        <w:tc>
          <w:tcPr>
            <w:vMerge/>
            <w:tcBorders>
              <w:left w:val="single" w:sz="4"/>
              <w:bottom w:val="single" w:sz="4"/>
            </w:tcBorders>
            <w:shd w:val="clear" w:color="auto" w:fill="FFFFFF"/>
            <w:vAlign w:val="center"/>
          </w:tcPr>
          <w:p>
            <w:pPr/>
          </w:p>
        </w:tc>
        <w:tc>
          <w:tcPr>
            <w:vMerge/>
            <w:tcBorders>
              <w:left w:val="single" w:sz="4"/>
              <w:bottom w:val="single" w:sz="4"/>
            </w:tcBorders>
            <w:shd w:val="clear" w:color="auto" w:fill="FFFFFF"/>
            <w:vAlign w:val="center"/>
          </w:tcPr>
          <w:p>
            <w:pPr/>
          </w:p>
        </w:tc>
        <w:tc>
          <w:tcPr>
            <w:vMerge/>
            <w:tcBorders>
              <w:left w:val="single" w:sz="4"/>
              <w:bottom w:val="single" w:sz="4"/>
            </w:tcBorders>
            <w:shd w:val="clear" w:color="auto" w:fill="FFFFFF"/>
            <w:vAlign w:val="center"/>
          </w:tcPr>
          <w:p>
            <w:pPr/>
          </w:p>
        </w:tc>
        <w:tc>
          <w:tcPr>
            <w:vMerge/>
            <w:tcBorders>
              <w:left w:val="single" w:sz="4"/>
              <w:bottom w:val="single" w:sz="4"/>
              <w:right w:val="single" w:sz="4"/>
            </w:tcBorders>
            <w:shd w:val="clear" w:color="auto" w:fill="FFFFFF"/>
            <w:vAlign w:val="top"/>
          </w:tcPr>
          <w:p>
            <w:pPr/>
          </w:p>
        </w:tc>
      </w:tr>
    </w:tbl>
    <w:p>
      <w:pPr>
        <w:pStyle w:val="Style41"/>
        <w:keepNext w:val="0"/>
        <w:keepLines w:val="0"/>
        <w:widowControl w:val="0"/>
        <w:shd w:val="clear" w:color="auto" w:fill="auto"/>
        <w:bidi w:val="0"/>
        <w:spacing w:before="0" w:after="360" w:line="350" w:lineRule="exact"/>
        <w:ind w:left="0" w:right="0" w:firstLine="0"/>
        <w:jc w:val="left"/>
      </w:pPr>
      <w:r>
        <w:rPr>
          <w:color w:val="000000"/>
          <w:spacing w:val="0"/>
          <w:w w:val="100"/>
          <w:position w:val="0"/>
        </w:rPr>
        <w:t>分步处置股权至丧失控制权过程中的各项交易不构成一揽子交易的原因: 各项交易之间相互独立，不受彼此影响。</w:t>
      </w:r>
    </w:p>
    <w:p>
      <w:pPr>
        <w:pStyle w:val="Style47"/>
        <w:keepNext/>
        <w:keepLines/>
        <w:widowControl w:val="0"/>
        <w:shd w:val="clear" w:color="auto" w:fill="auto"/>
        <w:bidi w:val="0"/>
        <w:spacing w:before="0" w:after="400" w:line="240" w:lineRule="auto"/>
        <w:ind w:left="0" w:right="0" w:firstLine="0"/>
        <w:jc w:val="left"/>
      </w:pPr>
      <w:bookmarkStart w:id="1870" w:name="bookmark1870"/>
      <w:bookmarkStart w:id="1871" w:name="bookmark1871"/>
      <w:bookmarkStart w:id="1872" w:name="bookmark1872"/>
      <w:bookmarkStart w:id="1873" w:name="bookmark1873"/>
      <w:r>
        <w:rPr>
          <w:color w:val="000000"/>
          <w:spacing w:val="0"/>
          <w:w w:val="100"/>
          <w:position w:val="0"/>
        </w:rPr>
        <w:t>5</w:t>
      </w:r>
      <w:bookmarkEnd w:id="1872"/>
      <w:r>
        <w:rPr>
          <w:color w:val="000000"/>
          <w:spacing w:val="0"/>
          <w:w w:val="100"/>
          <w:position w:val="0"/>
        </w:rPr>
        <w:t>、其他原因的合并范围变动</w:t>
      </w:r>
      <w:bookmarkEnd w:id="1870"/>
      <w:bookmarkEnd w:id="1871"/>
      <w:bookmarkEnd w:id="1873"/>
    </w:p>
    <w:p>
      <w:pPr>
        <w:pStyle w:val="Style20"/>
        <w:keepNext w:val="0"/>
        <w:keepLines w:val="0"/>
        <w:widowControl w:val="0"/>
        <w:shd w:val="clear" w:color="auto" w:fill="auto"/>
        <w:bidi w:val="0"/>
        <w:spacing w:before="0" w:after="0" w:line="240" w:lineRule="auto"/>
        <w:ind w:left="355" w:right="0" w:firstLine="0"/>
        <w:jc w:val="left"/>
        <w:rPr>
          <w:sz w:val="17"/>
          <w:szCs w:val="17"/>
        </w:rPr>
      </w:pPr>
      <w:r>
        <w:rPr>
          <w:rFonts w:ascii="SimSun" w:eastAsia="SimSun" w:hAnsi="SimSun" w:cs="SimSun"/>
          <w:b/>
          <w:bCs/>
          <w:color w:val="000000"/>
          <w:spacing w:val="0"/>
          <w:w w:val="100"/>
          <w:position w:val="0"/>
          <w:sz w:val="17"/>
          <w:szCs w:val="17"/>
        </w:rPr>
        <w:t>本期因新设纳入合并范围明细如下:</w:t>
      </w:r>
    </w:p>
    <w:tbl>
      <w:tblPr>
        <w:tblOverlap w:val="never"/>
        <w:jc w:val="center"/>
        <w:tblLayout w:type="fixed"/>
      </w:tblPr>
      <w:tblGrid>
        <w:gridCol w:w="3782"/>
        <w:gridCol w:w="1536"/>
        <w:gridCol w:w="2179"/>
        <w:gridCol w:w="2030"/>
      </w:tblGrid>
      <w:tr>
        <w:trPr>
          <w:trHeight w:val="346"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新设子公司名称</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级次</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持股比例（</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表决权比例（</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tc>
      </w:tr>
      <w:tr>
        <w:trPr>
          <w:trHeight w:val="35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海南神州泰岳软件有限公司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二级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100.00</w:t>
            </w:r>
          </w:p>
        </w:tc>
      </w:tr>
      <w:tr>
        <w:trPr>
          <w:trHeight w:val="35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海南壳木软件有限责任公司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三级</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100.00</w:t>
            </w:r>
          </w:p>
        </w:tc>
      </w:tr>
      <w:tr>
        <w:trPr>
          <w:trHeight w:val="355"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东莞神州泰岳物联网科技有限公司</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三级</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100.00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100.00</w:t>
            </w:r>
          </w:p>
        </w:tc>
      </w:tr>
    </w:tbl>
    <w:p>
      <w:pPr>
        <w:widowControl w:val="0"/>
        <w:spacing w:after="359" w:line="1" w:lineRule="exact"/>
      </w:pPr>
    </w:p>
    <w:p>
      <w:pPr>
        <w:pStyle w:val="Style47"/>
        <w:keepNext/>
        <w:keepLines/>
        <w:widowControl w:val="0"/>
        <w:shd w:val="clear" w:color="auto" w:fill="auto"/>
        <w:bidi w:val="0"/>
        <w:spacing w:before="0" w:after="400" w:line="240" w:lineRule="auto"/>
        <w:ind w:left="0" w:right="0" w:firstLine="0"/>
        <w:jc w:val="left"/>
      </w:pPr>
      <w:bookmarkStart w:id="1874" w:name="bookmark1874"/>
      <w:bookmarkStart w:id="1875" w:name="bookmark1875"/>
      <w:bookmarkStart w:id="1876" w:name="bookmark1876"/>
      <w:bookmarkStart w:id="1877" w:name="bookmark1877"/>
      <w:r>
        <w:rPr>
          <w:color w:val="000000"/>
          <w:spacing w:val="0"/>
          <w:w w:val="100"/>
          <w:position w:val="0"/>
        </w:rPr>
        <w:t>6</w:t>
      </w:r>
      <w:bookmarkEnd w:id="1876"/>
      <w:r>
        <w:rPr>
          <w:color w:val="000000"/>
          <w:spacing w:val="0"/>
          <w:w w:val="100"/>
          <w:position w:val="0"/>
        </w:rPr>
        <w:t>、其他</w:t>
      </w:r>
      <w:bookmarkEnd w:id="1874"/>
      <w:bookmarkEnd w:id="1875"/>
      <w:bookmarkEnd w:id="1877"/>
    </w:p>
    <w:p>
      <w:pPr>
        <w:pStyle w:val="Style41"/>
        <w:keepNext w:val="0"/>
        <w:keepLines w:val="0"/>
        <w:widowControl w:val="0"/>
        <w:shd w:val="clear" w:color="auto" w:fill="auto"/>
        <w:bidi w:val="0"/>
        <w:spacing w:before="0" w:after="360" w:line="240" w:lineRule="auto"/>
        <w:ind w:left="0" w:right="0" w:firstLine="360"/>
        <w:jc w:val="left"/>
      </w:pPr>
      <w:r>
        <w:rPr>
          <w:color w:val="000000"/>
          <w:spacing w:val="0"/>
          <w:w w:val="100"/>
          <w:position w:val="0"/>
        </w:rPr>
        <w:t>无。</w:t>
      </w:r>
    </w:p>
    <w:p>
      <w:pPr>
        <w:pStyle w:val="Style39"/>
        <w:keepNext/>
        <w:keepLines/>
        <w:widowControl w:val="0"/>
        <w:shd w:val="clear" w:color="auto" w:fill="auto"/>
        <w:bidi w:val="0"/>
        <w:spacing w:before="0" w:after="360" w:line="240" w:lineRule="auto"/>
        <w:ind w:left="0" w:right="0" w:firstLine="0"/>
        <w:jc w:val="left"/>
      </w:pPr>
      <w:bookmarkStart w:id="1878" w:name="bookmark1878"/>
      <w:bookmarkStart w:id="1879" w:name="bookmark1879"/>
      <w:bookmarkStart w:id="1880" w:name="bookmark1880"/>
      <w:bookmarkStart w:id="1881" w:name="bookmark1881"/>
      <w:r>
        <w:rPr>
          <w:color w:val="000000"/>
          <w:spacing w:val="0"/>
          <w:w w:val="100"/>
          <w:position w:val="0"/>
          <w:sz w:val="24"/>
          <w:szCs w:val="24"/>
        </w:rPr>
        <w:t>九</w:t>
      </w:r>
      <w:bookmarkEnd w:id="1880"/>
      <w:r>
        <w:rPr>
          <w:color w:val="000000"/>
          <w:spacing w:val="0"/>
          <w:w w:val="100"/>
          <w:position w:val="0"/>
          <w:sz w:val="24"/>
          <w:szCs w:val="24"/>
        </w:rPr>
        <w:t>、在其他主体中的权益</w:t>
      </w:r>
      <w:bookmarkEnd w:id="1878"/>
      <w:bookmarkEnd w:id="1879"/>
      <w:bookmarkEnd w:id="1881"/>
    </w:p>
    <w:p>
      <w:pPr>
        <w:pStyle w:val="Style47"/>
        <w:keepNext/>
        <w:keepLines/>
        <w:widowControl w:val="0"/>
        <w:shd w:val="clear" w:color="auto" w:fill="auto"/>
        <w:bidi w:val="0"/>
        <w:spacing w:before="0" w:after="360" w:line="240" w:lineRule="auto"/>
        <w:ind w:left="0" w:right="0" w:firstLine="0"/>
        <w:jc w:val="left"/>
      </w:pPr>
      <w:bookmarkStart w:id="1882" w:name="bookmark1882"/>
      <w:bookmarkStart w:id="1883" w:name="bookmark1883"/>
      <w:bookmarkStart w:id="1884" w:name="bookmark1884"/>
      <w:bookmarkStart w:id="1885" w:name="bookmark1885"/>
      <w:r>
        <w:rPr>
          <w:color w:val="000000"/>
          <w:spacing w:val="0"/>
          <w:w w:val="100"/>
          <w:position w:val="0"/>
        </w:rPr>
        <w:t>1</w:t>
      </w:r>
      <w:bookmarkEnd w:id="1884"/>
      <w:r>
        <w:rPr>
          <w:color w:val="000000"/>
          <w:spacing w:val="0"/>
          <w:w w:val="100"/>
          <w:position w:val="0"/>
        </w:rPr>
        <w:t>、在子公司中的权益</w:t>
      </w:r>
      <w:bookmarkEnd w:id="1882"/>
      <w:bookmarkEnd w:id="1883"/>
      <w:bookmarkEnd w:id="1885"/>
    </w:p>
    <w:p>
      <w:pPr>
        <w:pStyle w:val="Style58"/>
        <w:keepNext/>
        <w:keepLines/>
        <w:widowControl w:val="0"/>
        <w:shd w:val="clear" w:color="auto" w:fill="auto"/>
        <w:bidi w:val="0"/>
        <w:spacing w:before="0" w:after="360" w:line="240" w:lineRule="auto"/>
        <w:ind w:left="0" w:right="0" w:firstLine="0"/>
        <w:jc w:val="left"/>
        <w:rPr>
          <w:sz w:val="20"/>
          <w:szCs w:val="20"/>
        </w:rPr>
      </w:pPr>
      <w:bookmarkStart w:id="1886" w:name="bookmark1886"/>
      <w:bookmarkStart w:id="1887" w:name="bookmark1887"/>
      <w:bookmarkStart w:id="1888" w:name="bookmark1888"/>
      <w:r>
        <w:rPr>
          <w:b/>
          <w:bCs/>
          <w:color w:val="000000"/>
          <w:spacing w:val="0"/>
          <w:w w:val="100"/>
          <w:position w:val="0"/>
          <w:sz w:val="20"/>
          <w:szCs w:val="20"/>
        </w:rPr>
        <w:t>（1）企业集团的构成</w:t>
      </w:r>
      <w:bookmarkEnd w:id="1886"/>
      <w:bookmarkEnd w:id="1887"/>
      <w:bookmarkEnd w:id="1888"/>
    </w:p>
    <w:tbl>
      <w:tblPr>
        <w:tblOverlap w:val="never"/>
        <w:jc w:val="center"/>
        <w:tblLayout w:type="fixed"/>
      </w:tblPr>
      <w:tblGrid>
        <w:gridCol w:w="3408"/>
        <w:gridCol w:w="706"/>
        <w:gridCol w:w="715"/>
        <w:gridCol w:w="1555"/>
        <w:gridCol w:w="850"/>
        <w:gridCol w:w="710"/>
        <w:gridCol w:w="1642"/>
      </w:tblGrid>
      <w:tr>
        <w:trPr>
          <w:trHeight w:val="408" w:hRule="exact"/>
        </w:trPr>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子公司名称</w:t>
            </w:r>
          </w:p>
        </w:tc>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主要经 营地</w:t>
            </w:r>
          </w:p>
        </w:tc>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注册地</w:t>
            </w:r>
          </w:p>
        </w:tc>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业务性质</w:t>
            </w:r>
          </w:p>
        </w:tc>
        <w:tc>
          <w:tcPr>
            <w:gridSpan w:val="2"/>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持股比例</w:t>
            </w:r>
          </w:p>
        </w:tc>
        <w:tc>
          <w:tcPr>
            <w:vMerge w:val="restart"/>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取得方式</w:t>
            </w:r>
          </w:p>
        </w:tc>
      </w:tr>
      <w:tr>
        <w:trPr>
          <w:trHeight w:val="403" w:hRule="exact"/>
        </w:trPr>
        <w:tc>
          <w:tcPr>
            <w:vMerge/>
            <w:tcBorders>
              <w:left w:val="single" w:sz="4"/>
            </w:tcBorders>
            <w:shd w:val="clear" w:color="auto" w:fill="D7D7D7"/>
            <w:vAlign w:val="center"/>
          </w:tcPr>
          <w:p>
            <w:pPr/>
          </w:p>
        </w:tc>
        <w:tc>
          <w:tcPr>
            <w:vMerge/>
            <w:tcBorders>
              <w:left w:val="single" w:sz="4"/>
            </w:tcBorders>
            <w:shd w:val="clear" w:color="auto" w:fill="D7D7D7"/>
            <w:vAlign w:val="center"/>
          </w:tcPr>
          <w:p>
            <w:pPr/>
          </w:p>
        </w:tc>
        <w:tc>
          <w:tcPr>
            <w:vMerge/>
            <w:tcBorders>
              <w:left w:val="single" w:sz="4"/>
            </w:tcBorders>
            <w:shd w:val="clear" w:color="auto" w:fill="D7D7D7"/>
            <w:vAlign w:val="center"/>
          </w:tcPr>
          <w:p>
            <w:pPr/>
          </w:p>
        </w:tc>
        <w:tc>
          <w:tcPr>
            <w:vMerge/>
            <w:tcBorders>
              <w:left w:val="single" w:sz="4"/>
            </w:tcBorders>
            <w:shd w:val="clear" w:color="auto" w:fill="D7D7D7"/>
            <w:vAlign w:val="center"/>
          </w:tcPr>
          <w:p>
            <w:pP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直接</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间接</w:t>
            </w:r>
          </w:p>
        </w:tc>
        <w:tc>
          <w:tcPr>
            <w:vMerge/>
            <w:tcBorders>
              <w:left w:val="single" w:sz="4"/>
              <w:right w:val="single" w:sz="4"/>
            </w:tcBorders>
            <w:shd w:val="clear" w:color="auto" w:fill="D7D7D7"/>
            <w:vAlign w:val="center"/>
          </w:tcPr>
          <w:p>
            <w:pP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北京新媒传信科技有限公司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计算机应用服务业</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8"/>
                <w:szCs w:val="18"/>
              </w:rPr>
            </w:pPr>
            <w:r>
              <w:rPr>
                <w:rFonts w:ascii="Times New Roman" w:eastAsia="Times New Roman" w:hAnsi="Times New Roman" w:cs="Times New Roman"/>
                <w:color w:val="000000"/>
                <w:spacing w:val="0"/>
                <w:w w:val="100"/>
                <w:position w:val="0"/>
                <w:sz w:val="18"/>
                <w:szCs w:val="18"/>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同一控制下合并</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北京互联时代通讯科技有限公司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计算机应用服务业</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8"/>
                <w:szCs w:val="18"/>
              </w:rPr>
            </w:pPr>
            <w:r>
              <w:rPr>
                <w:rFonts w:ascii="Times New Roman" w:eastAsia="Times New Roman" w:hAnsi="Times New Roman" w:cs="Times New Roman"/>
                <w:color w:val="000000"/>
                <w:spacing w:val="0"/>
                <w:w w:val="100"/>
                <w:position w:val="0"/>
                <w:sz w:val="18"/>
                <w:szCs w:val="18"/>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同一控制下合并</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重庆新媒农信科技有限公司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重庆</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重庆</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计算机应用服务业</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8"/>
                <w:szCs w:val="18"/>
              </w:rPr>
            </w:pPr>
            <w:r>
              <w:rPr>
                <w:rFonts w:ascii="Times New Roman" w:eastAsia="Times New Roman" w:hAnsi="Times New Roman" w:cs="Times New Roman"/>
                <w:color w:val="000000"/>
                <w:spacing w:val="0"/>
                <w:w w:val="100"/>
                <w:position w:val="0"/>
                <w:sz w:val="18"/>
                <w:szCs w:val="18"/>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设立</w:t>
            </w:r>
          </w:p>
        </w:tc>
      </w:tr>
      <w:tr>
        <w:trPr>
          <w:trHeight w:val="41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重庆新媒亿网科技有限公司</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重庆</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重庆</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计算机应用服务业</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100.00%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设立</w:t>
            </w:r>
          </w:p>
        </w:tc>
      </w:tr>
    </w:tbl>
    <w:p>
      <w:pPr>
        <w:widowControl w:val="0"/>
        <w:spacing w:line="1" w:lineRule="exact"/>
      </w:pPr>
      <w:r>
        <w:br w:type="page"/>
      </w:r>
    </w:p>
    <w:tbl>
      <w:tblPr>
        <w:tblOverlap w:val="never"/>
        <w:jc w:val="center"/>
        <w:tblLayout w:type="fixed"/>
      </w:tblPr>
      <w:tblGrid>
        <w:gridCol w:w="3408"/>
        <w:gridCol w:w="706"/>
        <w:gridCol w:w="710"/>
        <w:gridCol w:w="1560"/>
        <w:gridCol w:w="850"/>
        <w:gridCol w:w="710"/>
        <w:gridCol w:w="1642"/>
      </w:tblGrid>
      <w:tr>
        <w:trPr>
          <w:trHeight w:val="48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重庆新迈峰科技有限公司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重庆</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重庆</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计算机应用服务业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设立</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北京神州泰岳信息安全技术有限公司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北京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北京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计算机应用服务业</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设立</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北京神州泰岳系统集成有限公司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北京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北京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计算机应用服务业</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非同一控制下合并</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北京融聚世界网络科技有限公司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北京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北京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计算机应用服务业</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75.00%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设立</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宁波普天通信技术有限公司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宁波</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宁波</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计算机应用服务业</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非同一控制下合并</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宁波移畅通信设备有限公司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宁波</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宁波</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计算机应用服务业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非同一控制下合并</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宁波金信通讯技术有限公司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宁波</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宁波</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计算机应用服务业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非同一控制下合并</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宁波普天通信技术（香港）有限公司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香港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香港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计算机应用服务业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非同一控制下合并</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宁波普金通信设备有限公司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宁波</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宁波</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计算机应用服务业</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60.00%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非同一控制下合并</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宁波神州泰岳锐智信息科技有限公司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宁波</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宁波</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计算机应用服务业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65.00%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设立</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宁波捷远科技有限公司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宁波</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宁波</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计算机应用服务业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非同一控制下合并</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奇点新源国际技术开发（北京）有限公司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北京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北京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计算机应用服务业</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76.88%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非同一控制下合并</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东莞神州泰岳物联网科技有限公司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东莞</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东莞</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计算机应用服务业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设立</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神州泰岳（香港）有限公司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香港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香港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计算机应用服务业</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设立</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Bridge Minds Consulting Pte Ltd</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新加坡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新加坡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计算机应用服务业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80.00%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非同一控制下合并</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北京泰岳智桥信息技术有限公司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北京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北京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计算机应用服务业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设立</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天津壳木软件有限责任公司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天津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天津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计算机应用服务业</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非同一控制下合并</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北京壳木软件有限责任公司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北京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北京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计算机应用服务业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非同一控制下合并</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CAMEL GAMES LIMITED</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香港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香港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计算机应用服务业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非同一控制下合并</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北京骆骆软件科技有限责任公司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北京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北京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计算机应用服务业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设立</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霍尔果斯小小橙软件开发有限责任公司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pPr>
            <w:r>
              <w:rPr>
                <w:color w:val="000000"/>
                <w:spacing w:val="0"/>
                <w:w w:val="100"/>
                <w:position w:val="0"/>
              </w:rPr>
              <w:t>霍尔果</w:t>
            </w:r>
          </w:p>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pPr>
            <w:r>
              <w:rPr>
                <w:color w:val="000000"/>
                <w:spacing w:val="0"/>
                <w:w w:val="100"/>
                <w:position w:val="0"/>
              </w:rPr>
              <w:t>霍尔果</w:t>
            </w:r>
          </w:p>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计算机应用服务业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设立</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CAMEL GAMES INC.</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美国</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美国</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计算机应用服务业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非同一控制下合并</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天津安纳西科技有限公司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天津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天津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计算机应用服务业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非同一控制下合并</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北京安纳西科技有限公司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北京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北京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计算机应用服务业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非同一控制下合并</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北京安纳西互娱科技有限公司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北京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北京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计算机应用服务业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设立</w:t>
            </w: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霍尔果斯于艺网络科技有限公司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pPr>
            <w:r>
              <w:rPr>
                <w:color w:val="000000"/>
                <w:spacing w:val="0"/>
                <w:w w:val="100"/>
                <w:position w:val="0"/>
              </w:rPr>
              <w:t>霍尔果</w:t>
            </w:r>
          </w:p>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pPr>
            <w:r>
              <w:rPr>
                <w:color w:val="000000"/>
                <w:spacing w:val="0"/>
                <w:w w:val="100"/>
                <w:position w:val="0"/>
              </w:rPr>
              <w:t>霍尔果</w:t>
            </w:r>
          </w:p>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计算机应用服务业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设立</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天津泰岳小漫科技有限公司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天津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天津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计算机应用服务业</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51.00%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设立</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北京小漫科技有限公司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北京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北京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计算机应用服务业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设立</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北京橙色小漫科技有限公司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北京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北京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计算机应用服务业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设立</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泰岳小漫（香港）有限公司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香港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香港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计算机应用服务业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设立</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北京广通神州网络技术有限公司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北京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北京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计算机应用服务业</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非同一控制下合并</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苏州短讯神州网络技术有限公司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苏州</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苏州</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计算机应用服务业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非同一控制下合并</w:t>
            </w:r>
          </w:p>
        </w:tc>
      </w:tr>
      <w:tr>
        <w:trPr>
          <w:trHeight w:val="41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北京神州祥升软件有限公司</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北京</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北京</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计算机应用服务业</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同一控制下合并</w:t>
            </w:r>
          </w:p>
        </w:tc>
      </w:tr>
    </w:tbl>
    <w:p>
      <w:pPr>
        <w:widowControl w:val="0"/>
        <w:spacing w:line="1" w:lineRule="exact"/>
      </w:pPr>
      <w:r>
        <w:br w:type="page"/>
      </w:r>
    </w:p>
    <w:tbl>
      <w:tblPr>
        <w:tblOverlap w:val="never"/>
        <w:jc w:val="center"/>
        <w:tblLayout w:type="fixed"/>
      </w:tblPr>
      <w:tblGrid>
        <w:gridCol w:w="3408"/>
        <w:gridCol w:w="706"/>
        <w:gridCol w:w="710"/>
        <w:gridCol w:w="1560"/>
        <w:gridCol w:w="850"/>
        <w:gridCol w:w="710"/>
        <w:gridCol w:w="1642"/>
      </w:tblGrid>
      <w:tr>
        <w:trPr>
          <w:trHeight w:val="48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北京浩宇纵横科技有限公司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北京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北京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计算机应用服务业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同一控制下合并</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鼎富智能科技有限公司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北京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北京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计算机应用服务业</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85.00%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非同一控制下合并</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北京华泰德丰技术有限公司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北京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北京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计算机应用服务业</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非同一控制下合并</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深圳市前海泰岳梧桐投资基金管理有限公 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深圳</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深圳</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投资管理</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非同一控制下合并</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北京神州泰核物联网技术有限公司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北京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北京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计算机应用服务业</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设立</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北京泰岳睿安科技有限公司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北京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北京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计算机应用服务业</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设立</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北京慧联神州科技有限公司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北京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北京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计算机应用服务业</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设立</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北京神州智核信息技术有限公司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北京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北京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计算机应用服务业</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设立</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横琴神州泰奇互动科技有限公司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北京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北京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计算机应用服务业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55.00%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设立</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安徽省泰岳祥升软件有限公司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合肥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合肥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计算机应用服务业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设立</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北京泰岳阳光科技有限公司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北京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北京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计算机应用服务业</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设立</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神州泰岳(香港)发展有限公司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香港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香港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计算机应用服务业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设立</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新疆神州泰岳智能科技有限公司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both"/>
            </w:pPr>
            <w:r>
              <w:rPr>
                <w:color w:val="000000"/>
                <w:spacing w:val="0"/>
                <w:w w:val="100"/>
                <w:position w:val="0"/>
              </w:rPr>
              <w:t>乌鲁木</w:t>
            </w:r>
          </w:p>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齐</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20" w:line="240" w:lineRule="auto"/>
              <w:ind w:left="0" w:right="0" w:firstLine="0"/>
              <w:jc w:val="both"/>
            </w:pPr>
            <w:r>
              <w:rPr>
                <w:color w:val="000000"/>
                <w:spacing w:val="0"/>
                <w:w w:val="100"/>
                <w:position w:val="0"/>
              </w:rPr>
              <w:t>乌鲁木</w:t>
            </w:r>
          </w:p>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齐</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计算机应用服务业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设立</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北京泰岳宏光科技发展有限公司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北京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北京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计算机应用服务业</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55.00%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设立</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西藏神州泰岳智能科技有限公司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拉萨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拉萨</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计算机应用服务业</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设立</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海南神州泰岳软件有限公司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三亚</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三亚</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计算机应用服务业</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设立</w:t>
            </w:r>
          </w:p>
        </w:tc>
      </w:tr>
      <w:tr>
        <w:trPr>
          <w:trHeight w:val="41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海南壳木软件有限责任公司</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三亚</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三亚</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计算机应用服务业</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100.00%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设立</w:t>
            </w:r>
          </w:p>
        </w:tc>
      </w:tr>
    </w:tbl>
    <w:p>
      <w:pPr>
        <w:widowControl w:val="0"/>
        <w:spacing w:after="319" w:line="1" w:lineRule="exact"/>
      </w:pPr>
    </w:p>
    <w:p>
      <w:pPr>
        <w:pStyle w:val="Style58"/>
        <w:keepNext/>
        <w:keepLines/>
        <w:widowControl w:val="0"/>
        <w:numPr>
          <w:ilvl w:val="0"/>
          <w:numId w:val="43"/>
        </w:numPr>
        <w:shd w:val="clear" w:color="auto" w:fill="auto"/>
        <w:tabs>
          <w:tab w:pos="493" w:val="left"/>
        </w:tabs>
        <w:bidi w:val="0"/>
        <w:spacing w:before="0" w:after="400" w:line="240" w:lineRule="auto"/>
        <w:ind w:left="0" w:right="0" w:firstLine="0"/>
        <w:jc w:val="left"/>
        <w:rPr>
          <w:sz w:val="20"/>
          <w:szCs w:val="20"/>
        </w:rPr>
      </w:pPr>
      <w:bookmarkStart w:id="1889" w:name="bookmark1889"/>
      <w:bookmarkStart w:id="1890" w:name="bookmark1890"/>
      <w:bookmarkStart w:id="1891" w:name="bookmark1891"/>
      <w:bookmarkStart w:id="1892" w:name="bookmark1892"/>
      <w:bookmarkEnd w:id="1891"/>
      <w:r>
        <w:rPr>
          <w:b/>
          <w:bCs/>
          <w:color w:val="000000"/>
          <w:spacing w:val="0"/>
          <w:w w:val="100"/>
          <w:position w:val="0"/>
          <w:sz w:val="20"/>
          <w:szCs w:val="20"/>
        </w:rPr>
        <w:t>重要的非全资子公司</w:t>
      </w:r>
      <w:bookmarkEnd w:id="1889"/>
      <w:bookmarkEnd w:id="1890"/>
      <w:bookmarkEnd w:id="1892"/>
    </w:p>
    <w:p>
      <w:pPr>
        <w:pStyle w:val="Style41"/>
        <w:keepNext w:val="0"/>
        <w:keepLines w:val="0"/>
        <w:widowControl w:val="0"/>
        <w:shd w:val="clear" w:color="auto" w:fill="auto"/>
        <w:bidi w:val="0"/>
        <w:spacing w:before="0" w:after="400" w:line="240" w:lineRule="auto"/>
        <w:ind w:left="0" w:right="0" w:firstLine="360"/>
        <w:jc w:val="left"/>
      </w:pPr>
      <w:r>
        <w:rPr>
          <w:color w:val="000000"/>
          <w:spacing w:val="0"/>
          <w:w w:val="100"/>
          <w:position w:val="0"/>
        </w:rPr>
        <w:t>本报告期，公司无重要的非全资子公司。</w:t>
      </w:r>
    </w:p>
    <w:p>
      <w:pPr>
        <w:pStyle w:val="Style58"/>
        <w:keepNext/>
        <w:keepLines/>
        <w:widowControl w:val="0"/>
        <w:numPr>
          <w:ilvl w:val="0"/>
          <w:numId w:val="43"/>
        </w:numPr>
        <w:shd w:val="clear" w:color="auto" w:fill="auto"/>
        <w:tabs>
          <w:tab w:pos="493" w:val="left"/>
        </w:tabs>
        <w:bidi w:val="0"/>
        <w:spacing w:before="0" w:after="400" w:line="240" w:lineRule="auto"/>
        <w:ind w:left="0" w:right="0" w:firstLine="0"/>
        <w:jc w:val="left"/>
        <w:rPr>
          <w:sz w:val="20"/>
          <w:szCs w:val="20"/>
        </w:rPr>
      </w:pPr>
      <w:bookmarkStart w:id="1893" w:name="bookmark1893"/>
      <w:bookmarkStart w:id="1894" w:name="bookmark1894"/>
      <w:bookmarkStart w:id="1895" w:name="bookmark1895"/>
      <w:bookmarkStart w:id="1896" w:name="bookmark1896"/>
      <w:bookmarkEnd w:id="1895"/>
      <w:r>
        <w:rPr>
          <w:b/>
          <w:bCs/>
          <w:color w:val="000000"/>
          <w:spacing w:val="0"/>
          <w:w w:val="100"/>
          <w:position w:val="0"/>
          <w:sz w:val="20"/>
          <w:szCs w:val="20"/>
        </w:rPr>
        <w:t>重要非全资子公司的主要财务信息</w:t>
      </w:r>
      <w:bookmarkEnd w:id="1893"/>
      <w:bookmarkEnd w:id="1894"/>
      <w:bookmarkEnd w:id="1896"/>
    </w:p>
    <w:p>
      <w:pPr>
        <w:pStyle w:val="Style41"/>
        <w:keepNext w:val="0"/>
        <w:keepLines w:val="0"/>
        <w:widowControl w:val="0"/>
        <w:shd w:val="clear" w:color="auto" w:fill="auto"/>
        <w:bidi w:val="0"/>
        <w:spacing w:before="0" w:after="400" w:line="240" w:lineRule="auto"/>
        <w:ind w:left="0" w:right="0" w:firstLine="360"/>
        <w:jc w:val="left"/>
      </w:pPr>
      <w:r>
        <w:rPr>
          <w:color w:val="000000"/>
          <w:spacing w:val="0"/>
          <w:w w:val="100"/>
          <w:position w:val="0"/>
        </w:rPr>
        <w:t>本报告期，公司无重要的非全资子公司。</w:t>
      </w:r>
    </w:p>
    <w:p>
      <w:pPr>
        <w:pStyle w:val="Style58"/>
        <w:keepNext/>
        <w:keepLines/>
        <w:widowControl w:val="0"/>
        <w:numPr>
          <w:ilvl w:val="0"/>
          <w:numId w:val="43"/>
        </w:numPr>
        <w:shd w:val="clear" w:color="auto" w:fill="auto"/>
        <w:tabs>
          <w:tab w:pos="493" w:val="left"/>
        </w:tabs>
        <w:bidi w:val="0"/>
        <w:spacing w:before="0" w:after="400" w:line="240" w:lineRule="auto"/>
        <w:ind w:left="0" w:right="0" w:firstLine="0"/>
        <w:jc w:val="left"/>
        <w:rPr>
          <w:sz w:val="20"/>
          <w:szCs w:val="20"/>
        </w:rPr>
      </w:pPr>
      <w:bookmarkStart w:id="1897" w:name="bookmark1897"/>
      <w:bookmarkStart w:id="1898" w:name="bookmark1898"/>
      <w:bookmarkStart w:id="1899" w:name="bookmark1899"/>
      <w:bookmarkStart w:id="1900" w:name="bookmark1900"/>
      <w:bookmarkEnd w:id="1899"/>
      <w:r>
        <w:rPr>
          <w:b/>
          <w:bCs/>
          <w:color w:val="000000"/>
          <w:spacing w:val="0"/>
          <w:w w:val="100"/>
          <w:position w:val="0"/>
          <w:sz w:val="20"/>
          <w:szCs w:val="20"/>
        </w:rPr>
        <w:t>使用企业集团资产和清偿企业集团债务的重大限制</w:t>
      </w:r>
      <w:bookmarkEnd w:id="1897"/>
      <w:bookmarkEnd w:id="1898"/>
      <w:bookmarkEnd w:id="1900"/>
    </w:p>
    <w:p>
      <w:pPr>
        <w:pStyle w:val="Style41"/>
        <w:keepNext w:val="0"/>
        <w:keepLines w:val="0"/>
        <w:widowControl w:val="0"/>
        <w:shd w:val="clear" w:color="auto" w:fill="auto"/>
        <w:bidi w:val="0"/>
        <w:spacing w:before="0" w:after="400" w:line="240" w:lineRule="auto"/>
        <w:ind w:left="0" w:right="0" w:firstLine="360"/>
        <w:jc w:val="left"/>
      </w:pPr>
      <w:r>
        <w:rPr>
          <w:color w:val="000000"/>
          <w:spacing w:val="0"/>
          <w:w w:val="100"/>
          <w:position w:val="0"/>
        </w:rPr>
        <w:t>无。</w:t>
      </w:r>
    </w:p>
    <w:p>
      <w:pPr>
        <w:pStyle w:val="Style58"/>
        <w:keepNext/>
        <w:keepLines/>
        <w:widowControl w:val="0"/>
        <w:numPr>
          <w:ilvl w:val="0"/>
          <w:numId w:val="43"/>
        </w:numPr>
        <w:shd w:val="clear" w:color="auto" w:fill="auto"/>
        <w:tabs>
          <w:tab w:pos="493" w:val="left"/>
        </w:tabs>
        <w:bidi w:val="0"/>
        <w:spacing w:before="0" w:after="400" w:line="240" w:lineRule="auto"/>
        <w:ind w:left="0" w:right="0" w:firstLine="0"/>
        <w:jc w:val="left"/>
        <w:rPr>
          <w:sz w:val="20"/>
          <w:szCs w:val="20"/>
        </w:rPr>
      </w:pPr>
      <w:bookmarkStart w:id="1901" w:name="bookmark1901"/>
      <w:bookmarkStart w:id="1902" w:name="bookmark1902"/>
      <w:bookmarkStart w:id="1903" w:name="bookmark1903"/>
      <w:bookmarkStart w:id="1904" w:name="bookmark1904"/>
      <w:bookmarkEnd w:id="1903"/>
      <w:r>
        <w:rPr>
          <w:b/>
          <w:bCs/>
          <w:color w:val="000000"/>
          <w:spacing w:val="0"/>
          <w:w w:val="100"/>
          <w:position w:val="0"/>
          <w:sz w:val="20"/>
          <w:szCs w:val="20"/>
        </w:rPr>
        <w:t>向纳入合并财务报表范围的结构化主体提供的财务支持或其他支持</w:t>
      </w:r>
      <w:bookmarkEnd w:id="1901"/>
      <w:bookmarkEnd w:id="1902"/>
      <w:bookmarkEnd w:id="1904"/>
    </w:p>
    <w:p>
      <w:pPr>
        <w:pStyle w:val="Style41"/>
        <w:keepNext w:val="0"/>
        <w:keepLines w:val="0"/>
        <w:widowControl w:val="0"/>
        <w:shd w:val="clear" w:color="auto" w:fill="auto"/>
        <w:bidi w:val="0"/>
        <w:spacing w:before="0" w:after="400" w:line="240" w:lineRule="auto"/>
        <w:ind w:left="0" w:right="0" w:firstLine="360"/>
        <w:jc w:val="left"/>
        <w:sectPr>
          <w:headerReference w:type="default" r:id="rId429"/>
          <w:footerReference w:type="default" r:id="rId430"/>
          <w:headerReference w:type="even" r:id="rId431"/>
          <w:footerReference w:type="even" r:id="rId432"/>
          <w:footnotePr>
            <w:pos w:val="pageBottom"/>
            <w:numFmt w:val="decimal"/>
            <w:numRestart w:val="continuous"/>
          </w:footnotePr>
          <w:pgSz w:w="11904" w:h="17375"/>
          <w:pgMar w:top="1676" w:right="1022" w:bottom="1674" w:left="1004" w:header="0" w:footer="3" w:gutter="0"/>
          <w:cols w:space="720"/>
          <w:noEndnote/>
          <w:rtlGutter w:val="0"/>
          <w:docGrid w:linePitch="360"/>
        </w:sectPr>
      </w:pPr>
      <w:r>
        <w:rPr>
          <w:color w:val="000000"/>
          <w:spacing w:val="0"/>
          <w:w w:val="100"/>
          <w:position w:val="0"/>
        </w:rPr>
        <w:t>无。</w:t>
      </w:r>
    </w:p>
    <w:p>
      <w:pPr>
        <w:pStyle w:val="Style47"/>
        <w:keepNext/>
        <w:keepLines/>
        <w:widowControl w:val="0"/>
        <w:shd w:val="clear" w:color="auto" w:fill="auto"/>
        <w:bidi w:val="0"/>
        <w:spacing w:before="0" w:after="380" w:line="240" w:lineRule="auto"/>
        <w:ind w:left="0" w:right="0" w:firstLine="0"/>
        <w:jc w:val="left"/>
      </w:pPr>
      <w:bookmarkStart w:id="1905" w:name="bookmark1905"/>
      <w:bookmarkStart w:id="1906" w:name="bookmark1906"/>
      <w:bookmarkStart w:id="1907" w:name="bookmark1907"/>
      <w:bookmarkStart w:id="1908" w:name="bookmark1908"/>
      <w:r>
        <w:rPr>
          <w:color w:val="000000"/>
          <w:spacing w:val="0"/>
          <w:w w:val="100"/>
          <w:position w:val="0"/>
        </w:rPr>
        <w:t>2</w:t>
      </w:r>
      <w:bookmarkEnd w:id="1907"/>
      <w:r>
        <w:rPr>
          <w:color w:val="000000"/>
          <w:spacing w:val="0"/>
          <w:w w:val="100"/>
          <w:position w:val="0"/>
        </w:rPr>
        <w:t>、在子公司的所有者权益份额发生变化且仍控制子公司的交易</w:t>
      </w:r>
      <w:bookmarkEnd w:id="1905"/>
      <w:bookmarkEnd w:id="1906"/>
      <w:bookmarkEnd w:id="1908"/>
    </w:p>
    <w:p>
      <w:pPr>
        <w:pStyle w:val="Style58"/>
        <w:keepNext/>
        <w:keepLines/>
        <w:widowControl w:val="0"/>
        <w:numPr>
          <w:ilvl w:val="0"/>
          <w:numId w:val="45"/>
        </w:numPr>
        <w:shd w:val="clear" w:color="auto" w:fill="auto"/>
        <w:tabs>
          <w:tab w:pos="496" w:val="left"/>
        </w:tabs>
        <w:bidi w:val="0"/>
        <w:spacing w:before="0" w:after="380" w:line="240" w:lineRule="auto"/>
        <w:ind w:left="0" w:right="0" w:firstLine="0"/>
        <w:jc w:val="left"/>
        <w:rPr>
          <w:sz w:val="20"/>
          <w:szCs w:val="20"/>
        </w:rPr>
      </w:pPr>
      <w:bookmarkStart w:id="1909" w:name="bookmark1909"/>
      <w:bookmarkStart w:id="1910" w:name="bookmark1910"/>
      <w:bookmarkStart w:id="1911" w:name="bookmark1911"/>
      <w:bookmarkStart w:id="1912" w:name="bookmark1912"/>
      <w:bookmarkEnd w:id="1911"/>
      <w:r>
        <w:rPr>
          <w:b/>
          <w:bCs/>
          <w:color w:val="000000"/>
          <w:spacing w:val="0"/>
          <w:w w:val="100"/>
          <w:position w:val="0"/>
          <w:sz w:val="20"/>
          <w:szCs w:val="20"/>
        </w:rPr>
        <w:t>在子公司所有者权益份额发生变化的情况说明</w:t>
      </w:r>
      <w:bookmarkEnd w:id="1909"/>
      <w:bookmarkEnd w:id="1910"/>
      <w:bookmarkEnd w:id="1912"/>
    </w:p>
    <w:p>
      <w:pPr>
        <w:pStyle w:val="Style41"/>
        <w:keepNext w:val="0"/>
        <w:keepLines w:val="0"/>
        <w:widowControl w:val="0"/>
        <w:shd w:val="clear" w:color="auto" w:fill="auto"/>
        <w:bidi w:val="0"/>
        <w:spacing w:before="0" w:after="380" w:line="240" w:lineRule="auto"/>
        <w:ind w:left="0" w:right="0"/>
        <w:jc w:val="left"/>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年鼎富智能科技有限公司引入其他投资者，对公司合计增资</w:t>
      </w:r>
      <w:r>
        <w:rPr>
          <w:rFonts w:ascii="Times New Roman" w:eastAsia="Times New Roman" w:hAnsi="Times New Roman" w:cs="Times New Roman"/>
          <w:color w:val="000000"/>
          <w:spacing w:val="0"/>
          <w:w w:val="100"/>
          <w:position w:val="0"/>
          <w:sz w:val="18"/>
          <w:szCs w:val="18"/>
        </w:rPr>
        <w:t>1.5</w:t>
      </w:r>
      <w:r>
        <w:rPr>
          <w:color w:val="000000"/>
          <w:spacing w:val="0"/>
          <w:w w:val="100"/>
          <w:position w:val="0"/>
        </w:rPr>
        <w:t>亿元人民币，增资完成后神州泰岳持股降至</w:t>
      </w:r>
      <w:r>
        <w:rPr>
          <w:rFonts w:ascii="Times New Roman" w:eastAsia="Times New Roman" w:hAnsi="Times New Roman" w:cs="Times New Roman"/>
          <w:color w:val="000000"/>
          <w:spacing w:val="0"/>
          <w:w w:val="100"/>
          <w:position w:val="0"/>
          <w:sz w:val="18"/>
          <w:szCs w:val="18"/>
        </w:rPr>
        <w:t>85%</w:t>
      </w:r>
      <w:r>
        <w:rPr>
          <w:color w:val="000000"/>
          <w:spacing w:val="0"/>
          <w:w w:val="100"/>
          <w:position w:val="0"/>
        </w:rPr>
        <w:t>。</w:t>
      </w:r>
    </w:p>
    <w:p>
      <w:pPr>
        <w:pStyle w:val="Style58"/>
        <w:keepNext/>
        <w:keepLines/>
        <w:widowControl w:val="0"/>
        <w:numPr>
          <w:ilvl w:val="0"/>
          <w:numId w:val="45"/>
        </w:numPr>
        <w:shd w:val="clear" w:color="auto" w:fill="auto"/>
        <w:tabs>
          <w:tab w:pos="496" w:val="left"/>
        </w:tabs>
        <w:bidi w:val="0"/>
        <w:spacing w:before="0" w:after="380" w:line="240" w:lineRule="auto"/>
        <w:ind w:left="0" w:right="0" w:firstLine="0"/>
        <w:jc w:val="left"/>
        <w:rPr>
          <w:sz w:val="20"/>
          <w:szCs w:val="20"/>
        </w:rPr>
      </w:pPr>
      <w:bookmarkStart w:id="1913" w:name="bookmark1913"/>
      <w:bookmarkStart w:id="1914" w:name="bookmark1914"/>
      <w:bookmarkStart w:id="1915" w:name="bookmark1915"/>
      <w:bookmarkStart w:id="1916" w:name="bookmark1916"/>
      <w:bookmarkEnd w:id="1915"/>
      <w:r>
        <w:rPr>
          <w:b/>
          <w:bCs/>
          <w:color w:val="000000"/>
          <w:spacing w:val="0"/>
          <w:w w:val="100"/>
          <w:position w:val="0"/>
          <w:sz w:val="20"/>
          <w:szCs w:val="20"/>
        </w:rPr>
        <w:t>交易对于少数股东权益及归属于母公司所有者权益的影响</w:t>
      </w:r>
      <w:bookmarkEnd w:id="1913"/>
      <w:bookmarkEnd w:id="1914"/>
      <w:bookmarkEnd w:id="1916"/>
    </w:p>
    <w:p>
      <w:pPr>
        <w:pStyle w:val="Style41"/>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4790"/>
        <w:gridCol w:w="4790"/>
      </w:tblGrid>
      <w:tr>
        <w:trPr>
          <w:trHeight w:val="408" w:hRule="exact"/>
        </w:trPr>
        <w:tc>
          <w:tcPr>
            <w:tcBorders>
              <w:top w:val="single" w:sz="4"/>
              <w:left w:val="single" w:sz="4"/>
            </w:tcBorders>
            <w:shd w:val="clear" w:color="auto" w:fill="D7D7D7"/>
            <w:vAlign w:val="top"/>
          </w:tcPr>
          <w:p>
            <w:pPr>
              <w:widowControl w:val="0"/>
              <w:rPr>
                <w:sz w:val="10"/>
                <w:szCs w:val="10"/>
              </w:rPr>
            </w:pP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鼎富智能科技有限公司</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购买成本</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处置对价</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现金</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非现金资产的公允价值</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获得的净资产份额</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620" w:right="0" w:firstLine="0"/>
              <w:jc w:val="left"/>
              <w:rPr>
                <w:sz w:val="18"/>
                <w:szCs w:val="18"/>
              </w:rPr>
            </w:pPr>
            <w:r>
              <w:rPr>
                <w:rFonts w:ascii="Times New Roman" w:eastAsia="Times New Roman" w:hAnsi="Times New Roman" w:cs="Times New Roman"/>
                <w:color w:val="000000"/>
                <w:spacing w:val="0"/>
                <w:w w:val="100"/>
                <w:position w:val="0"/>
                <w:sz w:val="18"/>
                <w:szCs w:val="18"/>
              </w:rPr>
              <w:t>127,500,000.00</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购买成本</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处置对价合计</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620" w:right="0" w:firstLine="0"/>
              <w:jc w:val="left"/>
              <w:rPr>
                <w:sz w:val="18"/>
                <w:szCs w:val="18"/>
              </w:rPr>
            </w:pPr>
            <w:r>
              <w:rPr>
                <w:rFonts w:ascii="Times New Roman" w:eastAsia="Times New Roman" w:hAnsi="Times New Roman" w:cs="Times New Roman"/>
                <w:color w:val="000000"/>
                <w:spacing w:val="0"/>
                <w:w w:val="100"/>
                <w:position w:val="0"/>
                <w:sz w:val="18"/>
                <w:szCs w:val="18"/>
              </w:rPr>
              <w:t>127,500,000.00</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减：按取得</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处置的股权比例计算的子公司净资产份额</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14,364,981.35</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差额</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620" w:right="0" w:firstLine="0"/>
              <w:jc w:val="left"/>
              <w:rPr>
                <w:sz w:val="18"/>
                <w:szCs w:val="18"/>
              </w:rPr>
            </w:pPr>
            <w:r>
              <w:rPr>
                <w:rFonts w:ascii="Times New Roman" w:eastAsia="Times New Roman" w:hAnsi="Times New Roman" w:cs="Times New Roman"/>
                <w:color w:val="000000"/>
                <w:spacing w:val="0"/>
                <w:w w:val="100"/>
                <w:position w:val="0"/>
                <w:sz w:val="18"/>
                <w:szCs w:val="18"/>
              </w:rPr>
              <w:t>113,135,018.65</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其中：调整资本公积</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620" w:right="0" w:firstLine="0"/>
              <w:jc w:val="left"/>
              <w:rPr>
                <w:sz w:val="18"/>
                <w:szCs w:val="18"/>
              </w:rPr>
            </w:pPr>
            <w:r>
              <w:rPr>
                <w:rFonts w:ascii="Times New Roman" w:eastAsia="Times New Roman" w:hAnsi="Times New Roman" w:cs="Times New Roman"/>
                <w:color w:val="000000"/>
                <w:spacing w:val="0"/>
                <w:w w:val="100"/>
                <w:position w:val="0"/>
                <w:sz w:val="18"/>
                <w:szCs w:val="18"/>
              </w:rPr>
              <w:t>113,135,018.65</w:t>
            </w:r>
          </w:p>
        </w:tc>
      </w:tr>
    </w:tbl>
    <w:p>
      <w:pPr>
        <w:widowControl w:val="0"/>
        <w:spacing w:after="319" w:line="1" w:lineRule="exact"/>
      </w:pPr>
    </w:p>
    <w:p>
      <w:pPr>
        <w:pStyle w:val="Style47"/>
        <w:keepNext/>
        <w:keepLines/>
        <w:widowControl w:val="0"/>
        <w:shd w:val="clear" w:color="auto" w:fill="auto"/>
        <w:bidi w:val="0"/>
        <w:spacing w:before="0" w:after="380" w:line="240" w:lineRule="auto"/>
        <w:ind w:left="0" w:right="0" w:firstLine="0"/>
        <w:jc w:val="left"/>
      </w:pPr>
      <w:bookmarkStart w:id="1917" w:name="bookmark1917"/>
      <w:bookmarkStart w:id="1918" w:name="bookmark1918"/>
      <w:bookmarkStart w:id="1919" w:name="bookmark1919"/>
      <w:bookmarkStart w:id="1920" w:name="bookmark1920"/>
      <w:r>
        <w:rPr>
          <w:color w:val="000000"/>
          <w:spacing w:val="0"/>
          <w:w w:val="100"/>
          <w:position w:val="0"/>
        </w:rPr>
        <w:t>3</w:t>
      </w:r>
      <w:bookmarkEnd w:id="1919"/>
      <w:r>
        <w:rPr>
          <w:color w:val="000000"/>
          <w:spacing w:val="0"/>
          <w:w w:val="100"/>
          <w:position w:val="0"/>
        </w:rPr>
        <w:t>、在合营安排或联营企业中的权益</w:t>
      </w:r>
      <w:bookmarkEnd w:id="1917"/>
      <w:bookmarkEnd w:id="1918"/>
      <w:bookmarkEnd w:id="1920"/>
    </w:p>
    <w:p>
      <w:pPr>
        <w:pStyle w:val="Style58"/>
        <w:keepNext/>
        <w:keepLines/>
        <w:widowControl w:val="0"/>
        <w:shd w:val="clear" w:color="auto" w:fill="auto"/>
        <w:bidi w:val="0"/>
        <w:spacing w:before="0" w:after="380" w:line="240" w:lineRule="auto"/>
        <w:ind w:left="0" w:right="0" w:firstLine="0"/>
        <w:jc w:val="left"/>
        <w:rPr>
          <w:sz w:val="20"/>
          <w:szCs w:val="20"/>
        </w:rPr>
      </w:pPr>
      <w:bookmarkStart w:id="1921" w:name="bookmark1921"/>
      <w:bookmarkStart w:id="1922" w:name="bookmark1922"/>
      <w:bookmarkStart w:id="1923" w:name="bookmark1923"/>
      <w:r>
        <w:rPr>
          <w:b/>
          <w:bCs/>
          <w:color w:val="000000"/>
          <w:spacing w:val="0"/>
          <w:w w:val="100"/>
          <w:position w:val="0"/>
          <w:sz w:val="20"/>
          <w:szCs w:val="20"/>
        </w:rPr>
        <w:t>(1)重要的合营企业或联营企业</w:t>
      </w:r>
      <w:bookmarkEnd w:id="1921"/>
      <w:bookmarkEnd w:id="1922"/>
      <w:bookmarkEnd w:id="1923"/>
    </w:p>
    <w:p>
      <w:pPr>
        <w:pStyle w:val="Style41"/>
        <w:keepNext w:val="0"/>
        <w:keepLines w:val="0"/>
        <w:widowControl w:val="0"/>
        <w:shd w:val="clear" w:color="auto" w:fill="auto"/>
        <w:bidi w:val="0"/>
        <w:spacing w:before="0" w:after="380" w:line="240" w:lineRule="auto"/>
        <w:ind w:left="0" w:right="0"/>
        <w:jc w:val="left"/>
      </w:pPr>
      <w:r>
        <w:rPr>
          <w:color w:val="000000"/>
          <w:spacing w:val="0"/>
          <w:w w:val="100"/>
          <w:position w:val="0"/>
        </w:rPr>
        <w:t>本报告期无重要的合营企业或联营企业。</w:t>
      </w:r>
    </w:p>
    <w:p>
      <w:pPr>
        <w:pStyle w:val="Style58"/>
        <w:keepNext/>
        <w:keepLines/>
        <w:widowControl w:val="0"/>
        <w:numPr>
          <w:ilvl w:val="0"/>
          <w:numId w:val="47"/>
        </w:numPr>
        <w:shd w:val="clear" w:color="auto" w:fill="auto"/>
        <w:tabs>
          <w:tab w:pos="633" w:val="left"/>
        </w:tabs>
        <w:bidi w:val="0"/>
        <w:spacing w:before="0" w:after="380" w:line="240" w:lineRule="auto"/>
        <w:ind w:left="0" w:right="0" w:firstLine="140"/>
        <w:jc w:val="left"/>
        <w:rPr>
          <w:sz w:val="20"/>
          <w:szCs w:val="20"/>
        </w:rPr>
      </w:pPr>
      <w:bookmarkStart w:id="1924" w:name="bookmark1924"/>
      <w:bookmarkStart w:id="1925" w:name="bookmark1925"/>
      <w:bookmarkStart w:id="1926" w:name="bookmark1926"/>
      <w:bookmarkStart w:id="1927" w:name="bookmark1927"/>
      <w:bookmarkEnd w:id="1926"/>
      <w:r>
        <w:rPr>
          <w:b/>
          <w:bCs/>
          <w:color w:val="000000"/>
          <w:spacing w:val="0"/>
          <w:w w:val="100"/>
          <w:position w:val="0"/>
          <w:sz w:val="20"/>
          <w:szCs w:val="20"/>
        </w:rPr>
        <w:t>重要合营企业的主要财务信息</w:t>
      </w:r>
      <w:bookmarkEnd w:id="1924"/>
      <w:bookmarkEnd w:id="1925"/>
      <w:bookmarkEnd w:id="1927"/>
    </w:p>
    <w:p>
      <w:pPr>
        <w:pStyle w:val="Style41"/>
        <w:keepNext w:val="0"/>
        <w:keepLines w:val="0"/>
        <w:widowControl w:val="0"/>
        <w:shd w:val="clear" w:color="auto" w:fill="auto"/>
        <w:bidi w:val="0"/>
        <w:spacing w:before="0" w:after="380" w:line="240" w:lineRule="auto"/>
        <w:ind w:left="0" w:right="0"/>
        <w:jc w:val="left"/>
      </w:pPr>
      <w:r>
        <w:rPr>
          <w:color w:val="000000"/>
          <w:spacing w:val="0"/>
          <w:w w:val="100"/>
          <w:position w:val="0"/>
        </w:rPr>
        <w:t>本报告期无重要的合营企业或联营企业。</w:t>
      </w:r>
    </w:p>
    <w:p>
      <w:pPr>
        <w:pStyle w:val="Style58"/>
        <w:keepNext/>
        <w:keepLines/>
        <w:widowControl w:val="0"/>
        <w:numPr>
          <w:ilvl w:val="0"/>
          <w:numId w:val="47"/>
        </w:numPr>
        <w:shd w:val="clear" w:color="auto" w:fill="auto"/>
        <w:tabs>
          <w:tab w:pos="633" w:val="left"/>
        </w:tabs>
        <w:bidi w:val="0"/>
        <w:spacing w:before="0" w:after="380" w:line="240" w:lineRule="auto"/>
        <w:ind w:left="0" w:right="0" w:firstLine="140"/>
        <w:jc w:val="left"/>
        <w:rPr>
          <w:sz w:val="20"/>
          <w:szCs w:val="20"/>
        </w:rPr>
      </w:pPr>
      <w:bookmarkStart w:id="1928" w:name="bookmark1928"/>
      <w:bookmarkStart w:id="1929" w:name="bookmark1929"/>
      <w:bookmarkStart w:id="1930" w:name="bookmark1930"/>
      <w:bookmarkStart w:id="1931" w:name="bookmark1931"/>
      <w:bookmarkEnd w:id="1930"/>
      <w:r>
        <w:rPr>
          <w:b/>
          <w:bCs/>
          <w:color w:val="000000"/>
          <w:spacing w:val="0"/>
          <w:w w:val="100"/>
          <w:position w:val="0"/>
          <w:sz w:val="20"/>
          <w:szCs w:val="20"/>
        </w:rPr>
        <w:t>重要联营企业的主要财务信息</w:t>
      </w:r>
      <w:bookmarkEnd w:id="1928"/>
      <w:bookmarkEnd w:id="1929"/>
      <w:bookmarkEnd w:id="1931"/>
    </w:p>
    <w:p>
      <w:pPr>
        <w:pStyle w:val="Style41"/>
        <w:keepNext w:val="0"/>
        <w:keepLines w:val="0"/>
        <w:widowControl w:val="0"/>
        <w:shd w:val="clear" w:color="auto" w:fill="auto"/>
        <w:bidi w:val="0"/>
        <w:spacing w:before="0" w:after="380" w:line="240" w:lineRule="auto"/>
        <w:ind w:left="0" w:right="0"/>
        <w:jc w:val="left"/>
      </w:pPr>
      <w:r>
        <w:rPr>
          <w:color w:val="000000"/>
          <w:spacing w:val="0"/>
          <w:w w:val="100"/>
          <w:position w:val="0"/>
        </w:rPr>
        <w:t>本报告期无重要的合营企业或联营企业。</w:t>
      </w:r>
    </w:p>
    <w:p>
      <w:pPr>
        <w:pStyle w:val="Style58"/>
        <w:keepNext/>
        <w:keepLines/>
        <w:widowControl w:val="0"/>
        <w:numPr>
          <w:ilvl w:val="0"/>
          <w:numId w:val="47"/>
        </w:numPr>
        <w:shd w:val="clear" w:color="auto" w:fill="auto"/>
        <w:tabs>
          <w:tab w:pos="633" w:val="left"/>
        </w:tabs>
        <w:bidi w:val="0"/>
        <w:spacing w:before="0" w:after="380" w:line="240" w:lineRule="auto"/>
        <w:ind w:left="0" w:right="0" w:firstLine="140"/>
        <w:jc w:val="left"/>
        <w:rPr>
          <w:sz w:val="20"/>
          <w:szCs w:val="20"/>
        </w:rPr>
      </w:pPr>
      <w:bookmarkStart w:id="1932" w:name="bookmark1932"/>
      <w:bookmarkStart w:id="1933" w:name="bookmark1933"/>
      <w:bookmarkStart w:id="1934" w:name="bookmark1934"/>
      <w:bookmarkStart w:id="1935" w:name="bookmark1935"/>
      <w:bookmarkEnd w:id="1934"/>
      <w:r>
        <w:rPr>
          <w:b/>
          <w:bCs/>
          <w:color w:val="000000"/>
          <w:spacing w:val="0"/>
          <w:w w:val="100"/>
          <w:position w:val="0"/>
          <w:sz w:val="20"/>
          <w:szCs w:val="20"/>
        </w:rPr>
        <w:t>不重要的合营企业和联营企业的汇总财务信息</w:t>
      </w:r>
      <w:bookmarkEnd w:id="1932"/>
      <w:bookmarkEnd w:id="1933"/>
      <w:bookmarkEnd w:id="1935"/>
    </w:p>
    <w:p>
      <w:pPr>
        <w:pStyle w:val="Style41"/>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3331"/>
        <w:gridCol w:w="3058"/>
        <w:gridCol w:w="3197"/>
      </w:tblGrid>
      <w:tr>
        <w:trPr>
          <w:trHeight w:val="408" w:hRule="exact"/>
        </w:trPr>
        <w:tc>
          <w:tcPr>
            <w:tcBorders>
              <w:top w:val="single" w:sz="4"/>
              <w:left w:val="single" w:sz="4"/>
            </w:tcBorders>
            <w:shd w:val="clear" w:color="auto" w:fill="D7D7D7"/>
            <w:vAlign w:val="top"/>
          </w:tcPr>
          <w:p>
            <w:pPr>
              <w:widowControl w:val="0"/>
              <w:rPr>
                <w:sz w:val="10"/>
                <w:szCs w:val="10"/>
              </w:rPr>
            </w:pP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本期发生额</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上期发生额</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联营企业：</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1520" w:right="0" w:firstLine="0"/>
              <w:jc w:val="both"/>
              <w:rPr>
                <w:sz w:val="18"/>
                <w:szCs w:val="18"/>
              </w:rPr>
            </w:pPr>
            <w:r>
              <w:rPr>
                <w:rFonts w:ascii="Times New Roman" w:eastAsia="Times New Roman" w:hAnsi="Times New Roman" w:cs="Times New Roman"/>
                <w:color w:val="000000"/>
                <w:spacing w:val="0"/>
                <w:w w:val="100"/>
                <w:position w:val="0"/>
                <w:sz w:val="18"/>
                <w:szCs w:val="18"/>
              </w:rPr>
              <w:t>--</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投资账面价值合计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124,696,129.28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73,680,787.97</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下列各项按持股比例计算的合计数</w:t>
            </w:r>
          </w:p>
        </w:tc>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1520" w:right="0" w:firstLine="0"/>
              <w:jc w:val="both"/>
              <w:rPr>
                <w:sz w:val="18"/>
                <w:szCs w:val="18"/>
              </w:rPr>
            </w:pPr>
            <w:r>
              <w:rPr>
                <w:rFonts w:ascii="Times New Roman" w:eastAsia="Times New Roman" w:hAnsi="Times New Roman" w:cs="Times New Roman"/>
                <w:color w:val="000000"/>
                <w:spacing w:val="0"/>
                <w:w w:val="100"/>
                <w:position w:val="0"/>
                <w:sz w:val="18"/>
                <w:szCs w:val="18"/>
              </w:rPr>
              <w:t>--</w:t>
            </w:r>
          </w:p>
        </w:tc>
      </w:tr>
    </w:tbl>
    <w:p>
      <w:pPr>
        <w:widowControl w:val="0"/>
        <w:spacing w:line="1" w:lineRule="exact"/>
      </w:pPr>
    </w:p>
    <w:tbl>
      <w:tblPr>
        <w:tblOverlap w:val="never"/>
        <w:jc w:val="center"/>
        <w:tblLayout w:type="fixed"/>
      </w:tblPr>
      <w:tblGrid>
        <w:gridCol w:w="3331"/>
        <w:gridCol w:w="3058"/>
        <w:gridCol w:w="3197"/>
      </w:tblGrid>
      <w:tr>
        <w:trPr>
          <w:trHeight w:val="480"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-净利润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-35,173,258.69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left"/>
              <w:rPr>
                <w:sz w:val="18"/>
                <w:szCs w:val="18"/>
              </w:rPr>
            </w:pPr>
            <w:r>
              <w:rPr>
                <w:rFonts w:ascii="Times New Roman" w:eastAsia="Times New Roman" w:hAnsi="Times New Roman" w:cs="Times New Roman"/>
                <w:color w:val="000000"/>
                <w:spacing w:val="0"/>
                <w:w w:val="100"/>
                <w:position w:val="0"/>
                <w:sz w:val="18"/>
                <w:szCs w:val="18"/>
              </w:rPr>
              <w:t>4,370,707.89</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其他综合收益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left"/>
              <w:rPr>
                <w:sz w:val="18"/>
                <w:szCs w:val="18"/>
              </w:rPr>
            </w:pPr>
            <w:r>
              <w:rPr>
                <w:rFonts w:ascii="Times New Roman" w:eastAsia="Times New Roman" w:hAnsi="Times New Roman" w:cs="Times New Roman"/>
                <w:color w:val="000000"/>
                <w:spacing w:val="0"/>
                <w:w w:val="100"/>
                <w:position w:val="0"/>
                <w:sz w:val="18"/>
                <w:szCs w:val="18"/>
              </w:rPr>
              <w:t>6,859,964.09</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综合收益总额</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-35,173,258.69</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11,230,671.98</w:t>
            </w:r>
          </w:p>
        </w:tc>
      </w:tr>
    </w:tbl>
    <w:p>
      <w:pPr>
        <w:widowControl w:val="0"/>
        <w:spacing w:after="319" w:line="1" w:lineRule="exact"/>
      </w:pPr>
    </w:p>
    <w:p>
      <w:pPr>
        <w:pStyle w:val="Style58"/>
        <w:keepNext/>
        <w:keepLines/>
        <w:widowControl w:val="0"/>
        <w:numPr>
          <w:ilvl w:val="0"/>
          <w:numId w:val="47"/>
        </w:numPr>
        <w:shd w:val="clear" w:color="auto" w:fill="auto"/>
        <w:tabs>
          <w:tab w:pos="493" w:val="left"/>
        </w:tabs>
        <w:bidi w:val="0"/>
        <w:spacing w:before="0" w:after="140" w:line="240" w:lineRule="auto"/>
        <w:ind w:left="0" w:right="0" w:firstLine="0"/>
        <w:jc w:val="left"/>
        <w:rPr>
          <w:sz w:val="20"/>
          <w:szCs w:val="20"/>
        </w:rPr>
      </w:pPr>
      <w:bookmarkStart w:id="1936" w:name="bookmark1936"/>
      <w:bookmarkStart w:id="1937" w:name="bookmark1937"/>
      <w:bookmarkStart w:id="1938" w:name="bookmark1938"/>
      <w:bookmarkStart w:id="1939" w:name="bookmark1939"/>
      <w:bookmarkEnd w:id="1938"/>
      <w:r>
        <w:rPr>
          <w:b/>
          <w:bCs/>
          <w:color w:val="000000"/>
          <w:spacing w:val="0"/>
          <w:w w:val="100"/>
          <w:position w:val="0"/>
          <w:sz w:val="20"/>
          <w:szCs w:val="20"/>
        </w:rPr>
        <w:t>合营企业或联营企业向本公司转移资金的能力存在重大限制的说明</w:t>
      </w:r>
      <w:bookmarkEnd w:id="1936"/>
      <w:bookmarkEnd w:id="1937"/>
      <w:bookmarkEnd w:id="1939"/>
    </w:p>
    <w:p>
      <w:pPr>
        <w:pStyle w:val="Style41"/>
        <w:keepNext w:val="0"/>
        <w:keepLines w:val="0"/>
        <w:widowControl w:val="0"/>
        <w:shd w:val="clear" w:color="auto" w:fill="auto"/>
        <w:bidi w:val="0"/>
        <w:spacing w:before="0" w:after="380" w:line="468" w:lineRule="exact"/>
        <w:ind w:left="0" w:right="0" w:firstLine="360"/>
        <w:jc w:val="both"/>
      </w:pPr>
      <w:r>
        <w:rPr>
          <w:color w:val="000000"/>
          <w:spacing w:val="0"/>
          <w:w w:val="100"/>
          <w:position w:val="0"/>
        </w:rPr>
        <w:t>无。</w:t>
      </w:r>
    </w:p>
    <w:p>
      <w:pPr>
        <w:pStyle w:val="Style58"/>
        <w:keepNext/>
        <w:keepLines/>
        <w:widowControl w:val="0"/>
        <w:numPr>
          <w:ilvl w:val="0"/>
          <w:numId w:val="47"/>
        </w:numPr>
        <w:shd w:val="clear" w:color="auto" w:fill="auto"/>
        <w:tabs>
          <w:tab w:pos="493" w:val="left"/>
        </w:tabs>
        <w:bidi w:val="0"/>
        <w:spacing w:before="0" w:after="140" w:line="240" w:lineRule="auto"/>
        <w:ind w:left="0" w:right="0" w:firstLine="0"/>
        <w:jc w:val="left"/>
        <w:rPr>
          <w:sz w:val="20"/>
          <w:szCs w:val="20"/>
        </w:rPr>
      </w:pPr>
      <w:bookmarkStart w:id="1940" w:name="bookmark1940"/>
      <w:bookmarkStart w:id="1941" w:name="bookmark1941"/>
      <w:bookmarkStart w:id="1942" w:name="bookmark1942"/>
      <w:bookmarkStart w:id="1943" w:name="bookmark1943"/>
      <w:bookmarkEnd w:id="1942"/>
      <w:r>
        <w:rPr>
          <w:b/>
          <w:bCs/>
          <w:color w:val="000000"/>
          <w:spacing w:val="0"/>
          <w:w w:val="100"/>
          <w:position w:val="0"/>
          <w:sz w:val="20"/>
          <w:szCs w:val="20"/>
        </w:rPr>
        <w:t>合营企业或联营企业发生的超额亏损</w:t>
      </w:r>
      <w:bookmarkEnd w:id="1940"/>
      <w:bookmarkEnd w:id="1941"/>
      <w:bookmarkEnd w:id="1943"/>
    </w:p>
    <w:p>
      <w:pPr>
        <w:pStyle w:val="Style41"/>
        <w:keepNext w:val="0"/>
        <w:keepLines w:val="0"/>
        <w:widowControl w:val="0"/>
        <w:shd w:val="clear" w:color="auto" w:fill="auto"/>
        <w:bidi w:val="0"/>
        <w:spacing w:before="0" w:after="380" w:line="468" w:lineRule="exact"/>
        <w:ind w:left="0" w:right="0" w:firstLine="360"/>
        <w:jc w:val="both"/>
      </w:pPr>
      <w:r>
        <w:rPr>
          <w:color w:val="000000"/>
          <w:spacing w:val="0"/>
          <w:w w:val="100"/>
          <w:position w:val="0"/>
        </w:rPr>
        <w:t>无。</w:t>
      </w:r>
    </w:p>
    <w:p>
      <w:pPr>
        <w:pStyle w:val="Style58"/>
        <w:keepNext/>
        <w:keepLines/>
        <w:widowControl w:val="0"/>
        <w:numPr>
          <w:ilvl w:val="0"/>
          <w:numId w:val="47"/>
        </w:numPr>
        <w:shd w:val="clear" w:color="auto" w:fill="auto"/>
        <w:tabs>
          <w:tab w:pos="493" w:val="left"/>
        </w:tabs>
        <w:bidi w:val="0"/>
        <w:spacing w:before="0" w:after="140" w:line="240" w:lineRule="auto"/>
        <w:ind w:left="0" w:right="0" w:firstLine="0"/>
        <w:jc w:val="left"/>
        <w:rPr>
          <w:sz w:val="20"/>
          <w:szCs w:val="20"/>
        </w:rPr>
      </w:pPr>
      <w:bookmarkStart w:id="1944" w:name="bookmark1944"/>
      <w:bookmarkStart w:id="1945" w:name="bookmark1945"/>
      <w:bookmarkStart w:id="1946" w:name="bookmark1946"/>
      <w:bookmarkStart w:id="1947" w:name="bookmark1947"/>
      <w:bookmarkEnd w:id="1946"/>
      <w:r>
        <w:rPr>
          <w:b/>
          <w:bCs/>
          <w:color w:val="000000"/>
          <w:spacing w:val="0"/>
          <w:w w:val="100"/>
          <w:position w:val="0"/>
          <w:sz w:val="20"/>
          <w:szCs w:val="20"/>
        </w:rPr>
        <w:t>与合营企业投资相关的未确认承诺</w:t>
      </w:r>
      <w:bookmarkEnd w:id="1944"/>
      <w:bookmarkEnd w:id="1945"/>
      <w:bookmarkEnd w:id="1947"/>
    </w:p>
    <w:p>
      <w:pPr>
        <w:pStyle w:val="Style41"/>
        <w:keepNext w:val="0"/>
        <w:keepLines w:val="0"/>
        <w:widowControl w:val="0"/>
        <w:shd w:val="clear" w:color="auto" w:fill="auto"/>
        <w:bidi w:val="0"/>
        <w:spacing w:before="0" w:after="380" w:line="468" w:lineRule="exact"/>
        <w:ind w:left="0" w:right="0" w:firstLine="360"/>
        <w:jc w:val="both"/>
      </w:pPr>
      <w:r>
        <w:rPr>
          <w:color w:val="000000"/>
          <w:spacing w:val="0"/>
          <w:w w:val="100"/>
          <w:position w:val="0"/>
        </w:rPr>
        <w:t>无。</w:t>
      </w:r>
    </w:p>
    <w:p>
      <w:pPr>
        <w:pStyle w:val="Style58"/>
        <w:keepNext/>
        <w:keepLines/>
        <w:widowControl w:val="0"/>
        <w:numPr>
          <w:ilvl w:val="0"/>
          <w:numId w:val="47"/>
        </w:numPr>
        <w:shd w:val="clear" w:color="auto" w:fill="auto"/>
        <w:tabs>
          <w:tab w:pos="493" w:val="left"/>
        </w:tabs>
        <w:bidi w:val="0"/>
        <w:spacing w:before="0" w:after="140" w:line="240" w:lineRule="auto"/>
        <w:ind w:left="0" w:right="0" w:firstLine="0"/>
        <w:jc w:val="left"/>
        <w:rPr>
          <w:sz w:val="20"/>
          <w:szCs w:val="20"/>
        </w:rPr>
      </w:pPr>
      <w:bookmarkStart w:id="1948" w:name="bookmark1948"/>
      <w:bookmarkStart w:id="1949" w:name="bookmark1949"/>
      <w:bookmarkStart w:id="1950" w:name="bookmark1950"/>
      <w:bookmarkStart w:id="1951" w:name="bookmark1951"/>
      <w:bookmarkEnd w:id="1950"/>
      <w:r>
        <w:rPr>
          <w:b/>
          <w:bCs/>
          <w:color w:val="000000"/>
          <w:spacing w:val="0"/>
          <w:w w:val="100"/>
          <w:position w:val="0"/>
          <w:sz w:val="20"/>
          <w:szCs w:val="20"/>
        </w:rPr>
        <w:t>与合营企业或联营企业投资相关的或有负债</w:t>
      </w:r>
      <w:bookmarkEnd w:id="1948"/>
      <w:bookmarkEnd w:id="1949"/>
      <w:bookmarkEnd w:id="1951"/>
    </w:p>
    <w:p>
      <w:pPr>
        <w:pStyle w:val="Style41"/>
        <w:keepNext w:val="0"/>
        <w:keepLines w:val="0"/>
        <w:widowControl w:val="0"/>
        <w:shd w:val="clear" w:color="auto" w:fill="auto"/>
        <w:bidi w:val="0"/>
        <w:spacing w:before="0" w:after="380" w:line="468" w:lineRule="exact"/>
        <w:ind w:left="0" w:right="0" w:firstLine="360"/>
        <w:jc w:val="both"/>
      </w:pPr>
      <w:r>
        <w:rPr>
          <w:color w:val="000000"/>
          <w:spacing w:val="0"/>
          <w:w w:val="100"/>
          <w:position w:val="0"/>
        </w:rPr>
        <w:t>无。</w:t>
      </w:r>
    </w:p>
    <w:p>
      <w:pPr>
        <w:pStyle w:val="Style47"/>
        <w:keepNext/>
        <w:keepLines/>
        <w:widowControl w:val="0"/>
        <w:shd w:val="clear" w:color="auto" w:fill="auto"/>
        <w:tabs>
          <w:tab w:pos="378" w:val="left"/>
        </w:tabs>
        <w:bidi w:val="0"/>
        <w:spacing w:before="0" w:after="380" w:line="240" w:lineRule="auto"/>
        <w:ind w:left="0" w:right="0" w:firstLine="0"/>
        <w:jc w:val="left"/>
      </w:pPr>
      <w:bookmarkStart w:id="1952" w:name="bookmark1952"/>
      <w:bookmarkStart w:id="1953" w:name="bookmark1953"/>
      <w:bookmarkStart w:id="1954" w:name="bookmark1954"/>
      <w:bookmarkStart w:id="1955" w:name="bookmark1955"/>
      <w:r>
        <w:rPr>
          <w:color w:val="000000"/>
          <w:spacing w:val="0"/>
          <w:w w:val="100"/>
          <w:position w:val="0"/>
        </w:rPr>
        <w:t>4</w:t>
      </w:r>
      <w:bookmarkEnd w:id="1954"/>
      <w:r>
        <w:rPr>
          <w:color w:val="000000"/>
          <w:spacing w:val="0"/>
          <w:w w:val="100"/>
          <w:position w:val="0"/>
        </w:rPr>
        <w:t>、</w:t>
        <w:tab/>
        <w:t>重要的共同经营</w:t>
      </w:r>
      <w:bookmarkEnd w:id="1952"/>
      <w:bookmarkEnd w:id="1953"/>
      <w:bookmarkEnd w:id="1955"/>
    </w:p>
    <w:p>
      <w:pPr>
        <w:pStyle w:val="Style41"/>
        <w:keepNext w:val="0"/>
        <w:keepLines w:val="0"/>
        <w:widowControl w:val="0"/>
        <w:shd w:val="clear" w:color="auto" w:fill="auto"/>
        <w:bidi w:val="0"/>
        <w:spacing w:before="0" w:after="380" w:line="468" w:lineRule="exact"/>
        <w:ind w:left="0" w:right="0" w:firstLine="360"/>
        <w:jc w:val="both"/>
      </w:pPr>
      <w:r>
        <w:rPr>
          <w:color w:val="000000"/>
          <w:spacing w:val="0"/>
          <w:w w:val="100"/>
          <w:position w:val="0"/>
        </w:rPr>
        <w:t>无。</w:t>
      </w:r>
    </w:p>
    <w:p>
      <w:pPr>
        <w:pStyle w:val="Style47"/>
        <w:keepNext/>
        <w:keepLines/>
        <w:widowControl w:val="0"/>
        <w:shd w:val="clear" w:color="auto" w:fill="auto"/>
        <w:tabs>
          <w:tab w:pos="378" w:val="left"/>
        </w:tabs>
        <w:bidi w:val="0"/>
        <w:spacing w:before="0" w:after="380" w:line="240" w:lineRule="auto"/>
        <w:ind w:left="0" w:right="0" w:firstLine="0"/>
        <w:jc w:val="left"/>
      </w:pPr>
      <w:bookmarkStart w:id="1956" w:name="bookmark1956"/>
      <w:bookmarkStart w:id="1957" w:name="bookmark1957"/>
      <w:bookmarkStart w:id="1958" w:name="bookmark1958"/>
      <w:bookmarkStart w:id="1959" w:name="bookmark1959"/>
      <w:r>
        <w:rPr>
          <w:color w:val="000000"/>
          <w:spacing w:val="0"/>
          <w:w w:val="100"/>
          <w:position w:val="0"/>
        </w:rPr>
        <w:t>5</w:t>
      </w:r>
      <w:bookmarkEnd w:id="1958"/>
      <w:r>
        <w:rPr>
          <w:color w:val="000000"/>
          <w:spacing w:val="0"/>
          <w:w w:val="100"/>
          <w:position w:val="0"/>
        </w:rPr>
        <w:t>、</w:t>
        <w:tab/>
        <w:t>在未纳入合并财务报表范围的结构化主体中的权益</w:t>
      </w:r>
      <w:bookmarkEnd w:id="1956"/>
      <w:bookmarkEnd w:id="1957"/>
      <w:bookmarkEnd w:id="1959"/>
    </w:p>
    <w:p>
      <w:pPr>
        <w:pStyle w:val="Style41"/>
        <w:keepNext w:val="0"/>
        <w:keepLines w:val="0"/>
        <w:widowControl w:val="0"/>
        <w:shd w:val="clear" w:color="auto" w:fill="auto"/>
        <w:bidi w:val="0"/>
        <w:spacing w:before="0" w:after="380" w:line="468" w:lineRule="exact"/>
        <w:ind w:left="0" w:right="0" w:firstLine="360"/>
        <w:jc w:val="both"/>
      </w:pPr>
      <w:r>
        <w:rPr>
          <w:color w:val="000000"/>
          <w:spacing w:val="0"/>
          <w:w w:val="100"/>
          <w:position w:val="0"/>
        </w:rPr>
        <w:t>无。</w:t>
      </w:r>
    </w:p>
    <w:p>
      <w:pPr>
        <w:pStyle w:val="Style47"/>
        <w:keepNext/>
        <w:keepLines/>
        <w:widowControl w:val="0"/>
        <w:shd w:val="clear" w:color="auto" w:fill="auto"/>
        <w:tabs>
          <w:tab w:pos="378" w:val="left"/>
        </w:tabs>
        <w:bidi w:val="0"/>
        <w:spacing w:before="0" w:after="380" w:line="240" w:lineRule="auto"/>
        <w:ind w:left="0" w:right="0" w:firstLine="0"/>
        <w:jc w:val="left"/>
      </w:pPr>
      <w:bookmarkStart w:id="1960" w:name="bookmark1960"/>
      <w:bookmarkStart w:id="1961" w:name="bookmark1961"/>
      <w:bookmarkStart w:id="1962" w:name="bookmark1962"/>
      <w:bookmarkStart w:id="1963" w:name="bookmark1963"/>
      <w:r>
        <w:rPr>
          <w:color w:val="000000"/>
          <w:spacing w:val="0"/>
          <w:w w:val="100"/>
          <w:position w:val="0"/>
        </w:rPr>
        <w:t>6</w:t>
      </w:r>
      <w:bookmarkEnd w:id="1962"/>
      <w:r>
        <w:rPr>
          <w:color w:val="000000"/>
          <w:spacing w:val="0"/>
          <w:w w:val="100"/>
          <w:position w:val="0"/>
        </w:rPr>
        <w:t>、</w:t>
        <w:tab/>
        <w:t>其他</w:t>
      </w:r>
      <w:bookmarkEnd w:id="1960"/>
      <w:bookmarkEnd w:id="1961"/>
      <w:bookmarkEnd w:id="1963"/>
    </w:p>
    <w:p>
      <w:pPr>
        <w:pStyle w:val="Style41"/>
        <w:keepNext w:val="0"/>
        <w:keepLines w:val="0"/>
        <w:widowControl w:val="0"/>
        <w:shd w:val="clear" w:color="auto" w:fill="auto"/>
        <w:bidi w:val="0"/>
        <w:spacing w:before="0" w:after="380" w:line="468" w:lineRule="exact"/>
        <w:ind w:left="0" w:right="0" w:firstLine="360"/>
        <w:jc w:val="both"/>
      </w:pPr>
      <w:r>
        <w:rPr>
          <w:color w:val="000000"/>
          <w:spacing w:val="0"/>
          <w:w w:val="100"/>
          <w:position w:val="0"/>
        </w:rPr>
        <w:t>无。</w:t>
      </w:r>
    </w:p>
    <w:p>
      <w:pPr>
        <w:pStyle w:val="Style39"/>
        <w:keepNext/>
        <w:keepLines/>
        <w:widowControl w:val="0"/>
        <w:shd w:val="clear" w:color="auto" w:fill="auto"/>
        <w:bidi w:val="0"/>
        <w:spacing w:before="0" w:after="180" w:line="240" w:lineRule="auto"/>
        <w:ind w:left="0" w:right="0" w:firstLine="0"/>
        <w:jc w:val="left"/>
      </w:pPr>
      <w:bookmarkStart w:id="1964" w:name="bookmark1964"/>
      <w:bookmarkStart w:id="1965" w:name="bookmark1965"/>
      <w:bookmarkStart w:id="1966" w:name="bookmark1966"/>
      <w:r>
        <w:rPr>
          <w:color w:val="000000"/>
          <w:spacing w:val="0"/>
          <w:w w:val="100"/>
          <w:position w:val="0"/>
          <w:sz w:val="24"/>
          <w:szCs w:val="24"/>
        </w:rPr>
        <w:t>十、与金融工具相关的风险</w:t>
      </w:r>
      <w:bookmarkEnd w:id="1964"/>
      <w:bookmarkEnd w:id="1965"/>
      <w:bookmarkEnd w:id="1966"/>
    </w:p>
    <w:p>
      <w:pPr>
        <w:pStyle w:val="Style41"/>
        <w:keepNext w:val="0"/>
        <w:keepLines w:val="0"/>
        <w:widowControl w:val="0"/>
        <w:shd w:val="clear" w:color="auto" w:fill="auto"/>
        <w:bidi w:val="0"/>
        <w:spacing w:before="0" w:after="0" w:line="468" w:lineRule="exact"/>
        <w:ind w:left="0" w:right="0"/>
        <w:jc w:val="both"/>
      </w:pPr>
      <w:r>
        <w:rPr>
          <w:color w:val="000000"/>
          <w:spacing w:val="0"/>
          <w:w w:val="100"/>
          <w:position w:val="0"/>
        </w:rPr>
        <w:t>本公司在经营过程中面临各种金融风险：信用风险、流动性风险和市场风险(包括汇率风险、利率风险和其他价格风险)。 上述金融风险以及本公司为降低这些风险所采取的风险管理政策如下所述：</w:t>
      </w:r>
    </w:p>
    <w:p>
      <w:pPr>
        <w:pStyle w:val="Style41"/>
        <w:keepNext w:val="0"/>
        <w:keepLines w:val="0"/>
        <w:widowControl w:val="0"/>
        <w:shd w:val="clear" w:color="auto" w:fill="auto"/>
        <w:bidi w:val="0"/>
        <w:spacing w:before="0" w:after="380" w:line="468" w:lineRule="exact"/>
        <w:ind w:left="0" w:right="0"/>
        <w:jc w:val="both"/>
        <w:sectPr>
          <w:headerReference w:type="default" r:id="rId433"/>
          <w:footerReference w:type="default" r:id="rId434"/>
          <w:headerReference w:type="even" r:id="rId435"/>
          <w:footerReference w:type="even" r:id="rId436"/>
          <w:headerReference w:type="first" r:id="rId437"/>
          <w:footerReference w:type="first" r:id="rId438"/>
          <w:footnotePr>
            <w:pos w:val="pageBottom"/>
            <w:numFmt w:val="decimal"/>
            <w:numRestart w:val="continuous"/>
          </w:footnotePr>
          <w:pgSz w:w="11904" w:h="17375"/>
          <w:pgMar w:top="1676" w:right="1022" w:bottom="1674" w:left="1004" w:header="0" w:footer="3" w:gutter="0"/>
          <w:cols w:space="720"/>
          <w:noEndnote/>
          <w:titlePg/>
          <w:rtlGutter w:val="0"/>
          <w:docGrid w:linePitch="360"/>
        </w:sectPr>
      </w:pPr>
      <w:r>
        <w:rPr>
          <w:color w:val="000000"/>
          <w:spacing w:val="0"/>
          <w:w w:val="100"/>
          <w:position w:val="0"/>
        </w:rPr>
        <w:t>董事会负责规划并建立本公司的风险管理架构，制定本公司的风险管理政策和相关指引并监督风险管理措施的执行情 况。本公司已制定风险管理政策以识别和分析本公司所面临的风险，这些风险管理政策对特定风险进行了明确规定，涵盖了 市场风险、信用风险和流动性风险管理等诸多方面。本公司定期评估市场环境及本公司经营活动的变化以决定是否对风险管 理政策及系统进行更新。本公司的风险管理由风险管理委员会按照董事会批准的政策开展。风险管理委员会通过与本公司其 他业务部门的紧密合作来识别、评价和规避相关风险。本公司内部审计部门就风险管理控制及程序进行定期的审核，并将审</w:t>
      </w:r>
    </w:p>
    <w:p>
      <w:pPr>
        <w:pStyle w:val="Style212"/>
        <w:keepNext w:val="0"/>
        <w:keepLines w:val="0"/>
        <w:widowControl w:val="0"/>
        <w:shd w:val="clear" w:color="auto" w:fill="auto"/>
        <w:bidi w:val="0"/>
        <w:spacing w:before="0" w:after="0" w:line="240" w:lineRule="auto"/>
        <w:ind w:left="0" w:right="0" w:firstLine="0"/>
        <w:jc w:val="left"/>
      </w:pPr>
      <w:r>
        <w:rPr>
          <w:spacing w:val="0"/>
          <w:w w:val="100"/>
          <w:position w:val="0"/>
        </w:rPr>
        <w:t>Ultrapoiuer</w:t>
      </w:r>
    </w:p>
    <w:p>
      <w:pPr>
        <w:pStyle w:val="Style41"/>
        <w:keepNext w:val="0"/>
        <w:keepLines w:val="0"/>
        <w:widowControl w:val="0"/>
        <w:pBdr>
          <w:top w:val="single" w:sz="4" w:space="0" w:color="auto"/>
        </w:pBdr>
        <w:shd w:val="clear" w:color="auto" w:fill="auto"/>
        <w:bidi w:val="0"/>
        <w:spacing w:before="0" w:after="0" w:line="451" w:lineRule="exact"/>
        <w:ind w:left="0" w:right="0" w:firstLine="820"/>
        <w:jc w:val="both"/>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 核结果上报本公司的审计委员会。</w:t>
      </w:r>
    </w:p>
    <w:p>
      <w:pPr>
        <w:pStyle w:val="Style41"/>
        <w:keepNext w:val="0"/>
        <w:keepLines w:val="0"/>
        <w:widowControl w:val="0"/>
        <w:shd w:val="clear" w:color="auto" w:fill="auto"/>
        <w:bidi w:val="0"/>
        <w:spacing w:before="0" w:after="500" w:line="475" w:lineRule="exact"/>
        <w:ind w:left="0" w:right="0"/>
        <w:jc w:val="both"/>
      </w:pPr>
      <w:r>
        <w:rPr>
          <w:color w:val="000000"/>
          <w:spacing w:val="0"/>
          <w:w w:val="100"/>
          <w:position w:val="0"/>
        </w:rPr>
        <w:t>本公司通过适当的多样化投资及业务组合来分散金融工具风险，并通过制定相应的风险管理政策减少集中于单一行业、 特定地区或特定交易对手的风险。</w:t>
      </w:r>
    </w:p>
    <w:p>
      <w:pPr>
        <w:pStyle w:val="Style41"/>
        <w:keepNext w:val="0"/>
        <w:keepLines w:val="0"/>
        <w:widowControl w:val="0"/>
        <w:shd w:val="clear" w:color="auto" w:fill="auto"/>
        <w:tabs>
          <w:tab w:pos="339" w:val="left"/>
        </w:tabs>
        <w:bidi w:val="0"/>
        <w:spacing w:before="0" w:after="0" w:line="240" w:lineRule="auto"/>
        <w:ind w:left="0" w:right="0" w:firstLine="0"/>
        <w:jc w:val="both"/>
      </w:pPr>
      <w:bookmarkStart w:id="1967" w:name="bookmark1967"/>
      <w:r>
        <w:rPr>
          <w:rFonts w:ascii="Times New Roman" w:eastAsia="Times New Roman" w:hAnsi="Times New Roman" w:cs="Times New Roman"/>
          <w:b/>
          <w:bCs/>
          <w:color w:val="000000"/>
          <w:spacing w:val="0"/>
          <w:w w:val="100"/>
          <w:position w:val="0"/>
          <w:sz w:val="18"/>
          <w:szCs w:val="18"/>
        </w:rPr>
        <w:t>1</w:t>
      </w:r>
      <w:bookmarkEnd w:id="1967"/>
      <w:r>
        <w:rPr>
          <w:b/>
          <w:bCs/>
          <w:color w:val="000000"/>
          <w:spacing w:val="0"/>
          <w:w w:val="100"/>
          <w:position w:val="0"/>
        </w:rPr>
        <w:t>、</w:t>
        <w:tab/>
        <w:t>信用风险</w:t>
      </w:r>
    </w:p>
    <w:p>
      <w:pPr>
        <w:pStyle w:val="Style41"/>
        <w:keepNext w:val="0"/>
        <w:keepLines w:val="0"/>
        <w:widowControl w:val="0"/>
        <w:shd w:val="clear" w:color="auto" w:fill="auto"/>
        <w:bidi w:val="0"/>
        <w:spacing w:before="0" w:after="0" w:line="469" w:lineRule="exact"/>
        <w:ind w:left="0" w:right="0"/>
        <w:jc w:val="both"/>
      </w:pPr>
      <w:r>
        <w:rPr>
          <w:color w:val="000000"/>
          <w:spacing w:val="0"/>
          <w:w w:val="100"/>
          <w:position w:val="0"/>
        </w:rPr>
        <w:t>信用风险是指交易对手未能履行合同义务而导致本公司发生财务损失的风险。</w:t>
      </w:r>
    </w:p>
    <w:p>
      <w:pPr>
        <w:pStyle w:val="Style41"/>
        <w:keepNext w:val="0"/>
        <w:keepLines w:val="0"/>
        <w:widowControl w:val="0"/>
        <w:shd w:val="clear" w:color="auto" w:fill="auto"/>
        <w:bidi w:val="0"/>
        <w:spacing w:before="0" w:after="0" w:line="469" w:lineRule="exact"/>
        <w:ind w:left="0" w:right="0"/>
        <w:jc w:val="both"/>
      </w:pPr>
      <w:r>
        <w:rPr>
          <w:color w:val="000000"/>
          <w:spacing w:val="0"/>
          <w:w w:val="100"/>
          <w:position w:val="0"/>
        </w:rPr>
        <w:t>本公司主要面临赊销导致的客户信用风险。在签订新合同之前，本公司会对新客户的信用风险进行评估，包括外部信用 评级和在某些情况下的银行资信证明（当此信息可获取时）。公司对每一客户均设置了赊销限额，该限额为无需获得额外批 准的最大额度。</w:t>
      </w:r>
    </w:p>
    <w:p>
      <w:pPr>
        <w:pStyle w:val="Style41"/>
        <w:keepNext w:val="0"/>
        <w:keepLines w:val="0"/>
        <w:widowControl w:val="0"/>
        <w:shd w:val="clear" w:color="auto" w:fill="auto"/>
        <w:bidi w:val="0"/>
        <w:spacing w:before="0" w:after="500" w:line="469" w:lineRule="exact"/>
        <w:ind w:left="0" w:right="0"/>
        <w:jc w:val="both"/>
      </w:pPr>
      <w:r>
        <w:rPr>
          <w:color w:val="000000"/>
          <w:spacing w:val="0"/>
          <w:w w:val="100"/>
          <w:position w:val="0"/>
        </w:rPr>
        <w:t>公司通过对已有客户信用评级的季度监控以及应收账款账龄分析的月度审核来确保公司的整体信用风险在可控的范围 内。在监控客户的信用风险时，按照客户的信用特征对其分组。被评为</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高风险</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'级别的客户会放在受限制客户名单里，并且 只有在额外批准的前提下，公司才可在未来期间内对其赊销，否则必须要求其提前支付相应款项。</w:t>
      </w:r>
    </w:p>
    <w:p>
      <w:pPr>
        <w:pStyle w:val="Style41"/>
        <w:keepNext w:val="0"/>
        <w:keepLines w:val="0"/>
        <w:widowControl w:val="0"/>
        <w:shd w:val="clear" w:color="auto" w:fill="auto"/>
        <w:tabs>
          <w:tab w:pos="354" w:val="left"/>
        </w:tabs>
        <w:bidi w:val="0"/>
        <w:spacing w:before="0" w:after="0" w:line="240" w:lineRule="auto"/>
        <w:ind w:left="0" w:right="0" w:firstLine="0"/>
        <w:jc w:val="left"/>
      </w:pPr>
      <w:bookmarkStart w:id="1968" w:name="bookmark1968"/>
      <w:r>
        <w:rPr>
          <w:rFonts w:ascii="Times New Roman" w:eastAsia="Times New Roman" w:hAnsi="Times New Roman" w:cs="Times New Roman"/>
          <w:b/>
          <w:bCs/>
          <w:color w:val="000000"/>
          <w:spacing w:val="0"/>
          <w:w w:val="100"/>
          <w:position w:val="0"/>
          <w:sz w:val="18"/>
          <w:szCs w:val="18"/>
        </w:rPr>
        <w:t>2</w:t>
      </w:r>
      <w:bookmarkEnd w:id="1968"/>
      <w:r>
        <w:rPr>
          <w:b/>
          <w:bCs/>
          <w:color w:val="000000"/>
          <w:spacing w:val="0"/>
          <w:w w:val="100"/>
          <w:position w:val="0"/>
        </w:rPr>
        <w:t>、</w:t>
        <w:tab/>
        <w:t>流动性风险</w:t>
      </w:r>
    </w:p>
    <w:p>
      <w:pPr>
        <w:pStyle w:val="Style41"/>
        <w:keepNext w:val="0"/>
        <w:keepLines w:val="0"/>
        <w:widowControl w:val="0"/>
        <w:shd w:val="clear" w:color="auto" w:fill="auto"/>
        <w:bidi w:val="0"/>
        <w:spacing w:before="0" w:after="0" w:line="468" w:lineRule="exact"/>
        <w:ind w:left="0" w:right="0"/>
        <w:jc w:val="both"/>
      </w:pPr>
      <w:r>
        <w:rPr>
          <w:color w:val="000000"/>
          <w:spacing w:val="0"/>
          <w:w w:val="100"/>
          <w:position w:val="0"/>
        </w:rPr>
        <w:t>流动性风险是指企业在履行以交付现金或其他金融资产的方式结算的义务时发生资金短缺的风险。</w:t>
      </w:r>
    </w:p>
    <w:p>
      <w:pPr>
        <w:pStyle w:val="Style41"/>
        <w:keepNext w:val="0"/>
        <w:keepLines w:val="0"/>
        <w:widowControl w:val="0"/>
        <w:shd w:val="clear" w:color="auto" w:fill="auto"/>
        <w:bidi w:val="0"/>
        <w:spacing w:before="0" w:after="0" w:line="468" w:lineRule="exact"/>
        <w:ind w:left="0" w:right="0"/>
        <w:jc w:val="both"/>
      </w:pPr>
      <w:r>
        <w:rPr>
          <w:color w:val="000000"/>
          <w:spacing w:val="0"/>
          <w:w w:val="100"/>
          <w:position w:val="0"/>
        </w:rPr>
        <w:t>本公司的政策是确保拥有充足的现金以偿还到期债务。流动性风险由本公司的财务部门集中控制。财务部门通过监控现 金余额、可随时变现的有价证券以及对未来</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个月现金流量的滚动预测，确保公司在所有合理预测的情况下拥有充足的资金 偿还债务。</w:t>
      </w:r>
    </w:p>
    <w:p>
      <w:pPr>
        <w:pStyle w:val="Style41"/>
        <w:keepNext w:val="0"/>
        <w:keepLines w:val="0"/>
        <w:widowControl w:val="0"/>
        <w:shd w:val="clear" w:color="auto" w:fill="auto"/>
        <w:bidi w:val="0"/>
        <w:spacing w:before="0" w:after="420" w:line="468" w:lineRule="exact"/>
        <w:ind w:left="0" w:right="0"/>
        <w:jc w:val="left"/>
      </w:pPr>
      <w:r>
        <w:rPr>
          <w:color w:val="000000"/>
          <w:spacing w:val="0"/>
          <w:w w:val="100"/>
          <w:position w:val="0"/>
        </w:rPr>
        <w:t>本公司各项金融负债以未折现的合同现金流量按到期日列示如下：</w:t>
      </w:r>
    </w:p>
    <w:tbl>
      <w:tblPr>
        <w:tblOverlap w:val="never"/>
        <w:jc w:val="center"/>
        <w:tblLayout w:type="fixed"/>
      </w:tblPr>
      <w:tblGrid>
        <w:gridCol w:w="2995"/>
        <w:gridCol w:w="1987"/>
        <w:gridCol w:w="1560"/>
        <w:gridCol w:w="1277"/>
        <w:gridCol w:w="1858"/>
      </w:tblGrid>
      <w:tr>
        <w:trPr>
          <w:trHeight w:val="365" w:hRule="exact"/>
        </w:trPr>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gridSpan w:val="4"/>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r>
      <w:tr>
        <w:trPr>
          <w:trHeight w:val="341" w:hRule="exact"/>
        </w:trPr>
        <w:tc>
          <w:tcPr>
            <w:vMerge/>
            <w:tcBorders>
              <w:left w:val="single" w:sz="4"/>
            </w:tcBorders>
            <w:shd w:val="clear" w:color="auto" w:fill="D7D7D7"/>
            <w:vAlign w:val="center"/>
          </w:tcPr>
          <w:p>
            <w:pP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年以内</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1-5</w:t>
            </w:r>
            <w:r>
              <w:rPr>
                <w:color w:val="000000"/>
                <w:spacing w:val="0"/>
                <w:w w:val="100"/>
                <w:position w:val="0"/>
              </w:rPr>
              <w:t>年</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5</w:t>
            </w:r>
            <w:r>
              <w:rPr>
                <w:color w:val="000000"/>
                <w:spacing w:val="0"/>
                <w:w w:val="100"/>
                <w:position w:val="0"/>
              </w:rPr>
              <w:t>年以上</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r>
      <w:tr>
        <w:trPr>
          <w:trHeight w:val="3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应付款项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left"/>
              <w:rPr>
                <w:sz w:val="18"/>
                <w:szCs w:val="18"/>
              </w:rPr>
            </w:pPr>
            <w:r>
              <w:rPr>
                <w:rFonts w:ascii="Times New Roman" w:eastAsia="Times New Roman" w:hAnsi="Times New Roman" w:cs="Times New Roman"/>
                <w:color w:val="000000"/>
                <w:spacing w:val="0"/>
                <w:w w:val="100"/>
                <w:position w:val="0"/>
                <w:sz w:val="18"/>
                <w:szCs w:val="18"/>
              </w:rPr>
              <w:t>470,377,118.47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20"/>
              <w:jc w:val="both"/>
              <w:rPr>
                <w:sz w:val="18"/>
                <w:szCs w:val="18"/>
              </w:rPr>
            </w:pPr>
            <w:r>
              <w:rPr>
                <w:rFonts w:ascii="Times New Roman" w:eastAsia="Times New Roman" w:hAnsi="Times New Roman" w:cs="Times New Roman"/>
                <w:color w:val="000000"/>
                <w:spacing w:val="0"/>
                <w:w w:val="100"/>
                <w:position w:val="0"/>
                <w:sz w:val="18"/>
                <w:szCs w:val="18"/>
              </w:rPr>
              <w:t>470,377,118.47</w:t>
            </w:r>
          </w:p>
        </w:tc>
      </w:tr>
      <w:tr>
        <w:trPr>
          <w:trHeight w:val="35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借款及利息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left"/>
              <w:rPr>
                <w:sz w:val="18"/>
                <w:szCs w:val="18"/>
              </w:rPr>
            </w:pPr>
            <w:r>
              <w:rPr>
                <w:rFonts w:ascii="Times New Roman" w:eastAsia="Times New Roman" w:hAnsi="Times New Roman" w:cs="Times New Roman"/>
                <w:color w:val="000000"/>
                <w:spacing w:val="0"/>
                <w:w w:val="100"/>
                <w:position w:val="0"/>
                <w:sz w:val="18"/>
                <w:szCs w:val="18"/>
              </w:rPr>
              <w:t>305,995,730.29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20"/>
              <w:jc w:val="both"/>
              <w:rPr>
                <w:sz w:val="18"/>
                <w:szCs w:val="18"/>
              </w:rPr>
            </w:pPr>
            <w:r>
              <w:rPr>
                <w:rFonts w:ascii="Times New Roman" w:eastAsia="Times New Roman" w:hAnsi="Times New Roman" w:cs="Times New Roman"/>
                <w:color w:val="000000"/>
                <w:spacing w:val="0"/>
                <w:w w:val="100"/>
                <w:position w:val="0"/>
                <w:sz w:val="18"/>
                <w:szCs w:val="18"/>
              </w:rPr>
              <w:t>305,995,730.29</w:t>
            </w:r>
          </w:p>
        </w:tc>
      </w:tr>
      <w:tr>
        <w:trPr>
          <w:trHeight w:val="3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一年内到期的非流动负债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55"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40"/>
              <w:jc w:val="left"/>
              <w:rPr>
                <w:sz w:val="18"/>
                <w:szCs w:val="18"/>
              </w:rPr>
            </w:pPr>
            <w:r>
              <w:rPr>
                <w:rFonts w:ascii="Times New Roman" w:eastAsia="Times New Roman" w:hAnsi="Times New Roman" w:cs="Times New Roman"/>
                <w:color w:val="000000"/>
                <w:spacing w:val="0"/>
                <w:w w:val="100"/>
                <w:position w:val="0"/>
                <w:sz w:val="18"/>
                <w:szCs w:val="18"/>
              </w:rPr>
              <w:t>776,372,848.76</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20"/>
              <w:jc w:val="both"/>
              <w:rPr>
                <w:sz w:val="18"/>
                <w:szCs w:val="18"/>
              </w:rPr>
            </w:pPr>
            <w:r>
              <w:rPr>
                <w:rFonts w:ascii="Times New Roman" w:eastAsia="Times New Roman" w:hAnsi="Times New Roman" w:cs="Times New Roman"/>
                <w:color w:val="000000"/>
                <w:spacing w:val="0"/>
                <w:w w:val="100"/>
                <w:position w:val="0"/>
                <w:sz w:val="18"/>
                <w:szCs w:val="18"/>
              </w:rPr>
              <w:t>776,372,848.76</w:t>
            </w:r>
          </w:p>
        </w:tc>
      </w:tr>
    </w:tbl>
    <w:p>
      <w:pPr>
        <w:widowControl w:val="0"/>
        <w:spacing w:after="299" w:line="1" w:lineRule="exact"/>
      </w:pPr>
    </w:p>
    <w:tbl>
      <w:tblPr>
        <w:tblOverlap w:val="never"/>
        <w:jc w:val="center"/>
        <w:tblLayout w:type="fixed"/>
      </w:tblPr>
      <w:tblGrid>
        <w:gridCol w:w="2957"/>
        <w:gridCol w:w="1992"/>
        <w:gridCol w:w="1690"/>
        <w:gridCol w:w="1200"/>
        <w:gridCol w:w="1834"/>
      </w:tblGrid>
      <w:tr>
        <w:trPr>
          <w:trHeight w:val="355" w:hRule="exact"/>
        </w:trPr>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gridSpan w:val="4"/>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上年年末余额</w:t>
            </w:r>
          </w:p>
        </w:tc>
      </w:tr>
      <w:tr>
        <w:trPr>
          <w:trHeight w:val="336" w:hRule="exact"/>
        </w:trPr>
        <w:tc>
          <w:tcPr>
            <w:vMerge/>
            <w:tcBorders>
              <w:left w:val="single" w:sz="4"/>
            </w:tcBorders>
            <w:shd w:val="clear" w:color="auto" w:fill="D7D7D7"/>
            <w:vAlign w:val="center"/>
          </w:tcPr>
          <w:p>
            <w:pP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年以内</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620"/>
              <w:jc w:val="left"/>
            </w:pPr>
            <w:r>
              <w:rPr>
                <w:rFonts w:ascii="Times New Roman" w:eastAsia="Times New Roman" w:hAnsi="Times New Roman" w:cs="Times New Roman"/>
                <w:color w:val="000000"/>
                <w:spacing w:val="0"/>
                <w:w w:val="100"/>
                <w:position w:val="0"/>
                <w:sz w:val="18"/>
                <w:szCs w:val="18"/>
              </w:rPr>
              <w:t>1-5</w:t>
            </w:r>
            <w:r>
              <w:rPr>
                <w:color w:val="000000"/>
                <w:spacing w:val="0"/>
                <w:w w:val="100"/>
                <w:position w:val="0"/>
              </w:rPr>
              <w:t>年</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5</w:t>
            </w:r>
            <w:r>
              <w:rPr>
                <w:color w:val="000000"/>
                <w:spacing w:val="0"/>
                <w:w w:val="100"/>
                <w:position w:val="0"/>
              </w:rPr>
              <w:t>年以上</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r>
      <w:tr>
        <w:trPr>
          <w:trHeight w:val="341"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应付款项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left"/>
              <w:rPr>
                <w:sz w:val="18"/>
                <w:szCs w:val="18"/>
              </w:rPr>
            </w:pPr>
            <w:r>
              <w:rPr>
                <w:rFonts w:ascii="Times New Roman" w:eastAsia="Times New Roman" w:hAnsi="Times New Roman" w:cs="Times New Roman"/>
                <w:color w:val="000000"/>
                <w:spacing w:val="0"/>
                <w:w w:val="100"/>
                <w:position w:val="0"/>
                <w:sz w:val="18"/>
                <w:szCs w:val="18"/>
              </w:rPr>
              <w:t>373,713,067.79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373,713,067.79</w:t>
            </w:r>
          </w:p>
        </w:tc>
      </w:tr>
      <w:tr>
        <w:trPr>
          <w:trHeight w:val="341"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借款及利息</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60"/>
              <w:jc w:val="left"/>
              <w:rPr>
                <w:sz w:val="18"/>
                <w:szCs w:val="18"/>
              </w:rPr>
            </w:pPr>
            <w:r>
              <w:rPr>
                <w:rFonts w:ascii="Times New Roman" w:eastAsia="Times New Roman" w:hAnsi="Times New Roman" w:cs="Times New Roman"/>
                <w:color w:val="000000"/>
                <w:spacing w:val="0"/>
                <w:w w:val="100"/>
                <w:position w:val="0"/>
                <w:sz w:val="18"/>
                <w:szCs w:val="18"/>
              </w:rPr>
              <w:t>739,312,386.40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left"/>
              <w:rPr>
                <w:sz w:val="18"/>
                <w:szCs w:val="18"/>
              </w:rPr>
            </w:pPr>
            <w:r>
              <w:rPr>
                <w:rFonts w:ascii="Times New Roman" w:eastAsia="Times New Roman" w:hAnsi="Times New Roman" w:cs="Times New Roman"/>
                <w:color w:val="000000"/>
                <w:spacing w:val="0"/>
                <w:w w:val="100"/>
                <w:position w:val="0"/>
                <w:sz w:val="18"/>
                <w:szCs w:val="18"/>
              </w:rPr>
              <w:t>32,558,391.67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771,870,778.07</w:t>
            </w:r>
          </w:p>
        </w:tc>
      </w:tr>
      <w:tr>
        <w:trPr>
          <w:trHeight w:val="3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一年内到期的非流动负债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both"/>
              <w:rPr>
                <w:sz w:val="18"/>
                <w:szCs w:val="18"/>
              </w:rPr>
            </w:pPr>
            <w:r>
              <w:rPr>
                <w:rFonts w:ascii="Times New Roman" w:eastAsia="Times New Roman" w:hAnsi="Times New Roman" w:cs="Times New Roman"/>
                <w:color w:val="000000"/>
                <w:spacing w:val="0"/>
                <w:w w:val="100"/>
                <w:position w:val="0"/>
                <w:sz w:val="18"/>
                <w:szCs w:val="18"/>
              </w:rPr>
              <w:t>30,053,900.00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30,053,900.00</w:t>
            </w:r>
          </w:p>
        </w:tc>
      </w:tr>
      <w:tr>
        <w:trPr>
          <w:trHeight w:val="350"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rPr>
                <w:sz w:val="18"/>
                <w:szCs w:val="18"/>
              </w:rPr>
            </w:pPr>
            <w:r>
              <w:rPr>
                <w:rFonts w:ascii="Times New Roman" w:eastAsia="Times New Roman" w:hAnsi="Times New Roman" w:cs="Times New Roman"/>
                <w:color w:val="000000"/>
                <w:spacing w:val="0"/>
                <w:w w:val="100"/>
                <w:position w:val="0"/>
                <w:sz w:val="18"/>
                <w:szCs w:val="18"/>
              </w:rPr>
              <w:t>1,143,079,354.19</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left"/>
              <w:rPr>
                <w:sz w:val="18"/>
                <w:szCs w:val="18"/>
              </w:rPr>
            </w:pPr>
            <w:r>
              <w:rPr>
                <w:rFonts w:ascii="Times New Roman" w:eastAsia="Times New Roman" w:hAnsi="Times New Roman" w:cs="Times New Roman"/>
                <w:color w:val="000000"/>
                <w:spacing w:val="0"/>
                <w:w w:val="100"/>
                <w:position w:val="0"/>
                <w:sz w:val="18"/>
                <w:szCs w:val="18"/>
              </w:rPr>
              <w:t>32,558,391.67</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1,175,637,745.86</w:t>
            </w:r>
          </w:p>
        </w:tc>
      </w:tr>
    </w:tbl>
    <w:p>
      <w:pPr>
        <w:widowControl w:val="0"/>
        <w:spacing w:after="359" w:line="1" w:lineRule="exact"/>
      </w:pPr>
    </w:p>
    <w:p>
      <w:pPr>
        <w:pStyle w:val="Style41"/>
        <w:keepNext w:val="0"/>
        <w:keepLines w:val="0"/>
        <w:widowControl w:val="0"/>
        <w:shd w:val="clear" w:color="auto" w:fill="auto"/>
        <w:bidi w:val="0"/>
        <w:spacing w:before="0" w:after="400" w:line="240" w:lineRule="auto"/>
        <w:ind w:left="0" w:right="0" w:firstLine="0"/>
        <w:jc w:val="left"/>
      </w:pPr>
      <w:bookmarkStart w:id="1969" w:name="bookmark1969"/>
      <w:r>
        <w:rPr>
          <w:rFonts w:ascii="Times New Roman" w:eastAsia="Times New Roman" w:hAnsi="Times New Roman" w:cs="Times New Roman"/>
          <w:b/>
          <w:bCs/>
          <w:color w:val="000000"/>
          <w:spacing w:val="0"/>
          <w:w w:val="100"/>
          <w:position w:val="0"/>
          <w:sz w:val="18"/>
          <w:szCs w:val="18"/>
        </w:rPr>
        <w:t>3</w:t>
      </w:r>
      <w:bookmarkEnd w:id="1969"/>
      <w:r>
        <w:rPr>
          <w:b/>
          <w:bCs/>
          <w:color w:val="000000"/>
          <w:spacing w:val="0"/>
          <w:w w:val="100"/>
          <w:position w:val="0"/>
        </w:rPr>
        <w:t>、市场风险</w:t>
      </w:r>
    </w:p>
    <w:p>
      <w:pPr>
        <w:pStyle w:val="Style212"/>
        <w:keepNext w:val="0"/>
        <w:keepLines w:val="0"/>
        <w:widowControl w:val="0"/>
        <w:shd w:val="clear" w:color="auto" w:fill="auto"/>
        <w:bidi w:val="0"/>
        <w:spacing w:before="0" w:after="0" w:line="240" w:lineRule="auto"/>
        <w:ind w:left="0" w:right="0" w:firstLine="0"/>
        <w:jc w:val="left"/>
      </w:pPr>
      <w:r>
        <w:rPr>
          <w:spacing w:val="0"/>
          <w:w w:val="100"/>
          <w:position w:val="0"/>
        </w:rPr>
        <w:t>Ultrapoiuer</w:t>
      </w:r>
    </w:p>
    <w:p>
      <w:pPr>
        <w:pStyle w:val="Style41"/>
        <w:keepNext w:val="0"/>
        <w:keepLines w:val="0"/>
        <w:widowControl w:val="0"/>
        <w:shd w:val="clear" w:color="auto" w:fill="auto"/>
        <w:bidi w:val="0"/>
        <w:spacing w:before="0" w:after="180" w:line="458" w:lineRule="exact"/>
        <w:ind w:left="0" w:right="0" w:firstLine="820"/>
        <w:jc w:val="both"/>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 金融工具的市场风险是指金融工具的公允价值或未来现金流量因市场价格变动而发生波动的风险，包括汇率风险、利率 风险和其他价格风险。</w:t>
      </w:r>
    </w:p>
    <w:p>
      <w:pPr>
        <w:pStyle w:val="Style41"/>
        <w:keepNext w:val="0"/>
        <w:keepLines w:val="0"/>
        <w:widowControl w:val="0"/>
        <w:shd w:val="clear" w:color="auto" w:fill="auto"/>
        <w:tabs>
          <w:tab w:pos="450" w:val="left"/>
        </w:tabs>
        <w:bidi w:val="0"/>
        <w:spacing w:before="0" w:after="0" w:line="240" w:lineRule="auto"/>
        <w:ind w:left="0" w:right="0" w:firstLine="0"/>
        <w:jc w:val="left"/>
      </w:pPr>
      <w:bookmarkStart w:id="1970" w:name="bookmark1970"/>
      <w:r>
        <w:rPr>
          <w:b/>
          <w:bCs/>
          <w:color w:val="000000"/>
          <w:spacing w:val="0"/>
          <w:w w:val="100"/>
          <w:position w:val="0"/>
        </w:rPr>
        <w:t>（</w:t>
      </w:r>
      <w:bookmarkEnd w:id="1970"/>
      <w:r>
        <w:rPr>
          <w:rFonts w:ascii="Times New Roman" w:eastAsia="Times New Roman" w:hAnsi="Times New Roman" w:cs="Times New Roman"/>
          <w:b/>
          <w:bCs/>
          <w:color w:val="000000"/>
          <w:spacing w:val="0"/>
          <w:w w:val="100"/>
          <w:position w:val="0"/>
          <w:sz w:val="18"/>
          <w:szCs w:val="18"/>
        </w:rPr>
        <w:t>1</w:t>
      </w:r>
      <w:r>
        <w:rPr>
          <w:b/>
          <w:bCs/>
          <w:color w:val="000000"/>
          <w:spacing w:val="0"/>
          <w:w w:val="100"/>
          <w:position w:val="0"/>
        </w:rPr>
        <w:t>）</w:t>
        <w:tab/>
        <w:t>利率风险</w:t>
      </w:r>
    </w:p>
    <w:p>
      <w:pPr>
        <w:pStyle w:val="Style41"/>
        <w:keepNext w:val="0"/>
        <w:keepLines w:val="0"/>
        <w:widowControl w:val="0"/>
        <w:shd w:val="clear" w:color="auto" w:fill="auto"/>
        <w:bidi w:val="0"/>
        <w:spacing w:before="0" w:after="0" w:line="473" w:lineRule="exact"/>
        <w:ind w:left="0" w:right="0"/>
        <w:jc w:val="both"/>
      </w:pPr>
      <w:r>
        <w:rPr>
          <w:color w:val="000000"/>
          <w:spacing w:val="0"/>
          <w:w w:val="100"/>
          <w:position w:val="0"/>
        </w:rPr>
        <w:t>利率风险是指金融工具的公允价值或未来现金流量因市场利率变动而发生波动的风险。</w:t>
      </w:r>
    </w:p>
    <w:p>
      <w:pPr>
        <w:pStyle w:val="Style41"/>
        <w:keepNext w:val="0"/>
        <w:keepLines w:val="0"/>
        <w:widowControl w:val="0"/>
        <w:shd w:val="clear" w:color="auto" w:fill="auto"/>
        <w:bidi w:val="0"/>
        <w:spacing w:before="0" w:after="0" w:line="473" w:lineRule="exact"/>
        <w:ind w:left="0" w:right="0"/>
        <w:jc w:val="both"/>
      </w:pPr>
      <w:r>
        <w:rPr>
          <w:color w:val="000000"/>
          <w:spacing w:val="0"/>
          <w:w w:val="100"/>
          <w:position w:val="0"/>
        </w:rPr>
        <w:t>本公司面临的利率风险主要来源于银行的短期借款等。公司目前的政策是主要以基准利率或基准利率适当上浮下浮的银 行借款或其他适当方式筹集资金。尽管上述政策不能使本公司完全避免支付的利率超出现行市场利率的风险，也不能完全消 除与利息支付波动相关的现金流量风险，但是管理层认为该政策实现了这些风险之间的合理平衡。</w:t>
      </w:r>
    </w:p>
    <w:p>
      <w:pPr>
        <w:pStyle w:val="Style41"/>
        <w:keepNext w:val="0"/>
        <w:keepLines w:val="0"/>
        <w:widowControl w:val="0"/>
        <w:shd w:val="clear" w:color="auto" w:fill="auto"/>
        <w:bidi w:val="0"/>
        <w:spacing w:before="0" w:after="480" w:line="473" w:lineRule="exact"/>
        <w:ind w:left="0" w:right="0"/>
        <w:jc w:val="both"/>
      </w:pPr>
      <w:r>
        <w:rPr>
          <w:color w:val="000000"/>
          <w:spacing w:val="0"/>
          <w:w w:val="100"/>
          <w:position w:val="0"/>
        </w:rPr>
        <w:t>于</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日，在其他变量保持不变的情况下，如果以浮动利率计算的借款利率上升或下降</w:t>
      </w:r>
      <w:r>
        <w:rPr>
          <w:rFonts w:ascii="Times New Roman" w:eastAsia="Times New Roman" w:hAnsi="Times New Roman" w:cs="Times New Roman"/>
          <w:color w:val="000000"/>
          <w:spacing w:val="0"/>
          <w:w w:val="100"/>
          <w:position w:val="0"/>
          <w:sz w:val="18"/>
          <w:szCs w:val="18"/>
        </w:rPr>
        <w:t>50</w:t>
      </w:r>
      <w:r>
        <w:rPr>
          <w:color w:val="000000"/>
          <w:spacing w:val="0"/>
          <w:w w:val="100"/>
          <w:position w:val="0"/>
        </w:rPr>
        <w:t>个基点，则本公司的 净利润将减少或增加</w:t>
      </w:r>
      <w:r>
        <w:rPr>
          <w:rFonts w:ascii="Times New Roman" w:eastAsia="Times New Roman" w:hAnsi="Times New Roman" w:cs="Times New Roman"/>
          <w:color w:val="000000"/>
          <w:spacing w:val="0"/>
          <w:w w:val="100"/>
          <w:position w:val="0"/>
          <w:sz w:val="18"/>
          <w:szCs w:val="18"/>
        </w:rPr>
        <w:t>3,245,403.98</w:t>
      </w:r>
      <w:r>
        <w:rPr>
          <w:color w:val="000000"/>
          <w:spacing w:val="0"/>
          <w:w w:val="100"/>
          <w:position w:val="0"/>
        </w:rPr>
        <w:t>元（</w:t>
      </w:r>
      <w:r>
        <w:rPr>
          <w:rFonts w:ascii="Times New Roman" w:eastAsia="Times New Roman" w:hAnsi="Times New Roman" w:cs="Times New Roman"/>
          <w:color w:val="000000"/>
          <w:spacing w:val="0"/>
          <w:w w:val="100"/>
          <w:position w:val="0"/>
          <w:sz w:val="18"/>
          <w:szCs w:val="18"/>
        </w:rPr>
        <w:t>2019</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日：</w:t>
      </w:r>
      <w:r>
        <w:rPr>
          <w:rFonts w:ascii="Times New Roman" w:eastAsia="Times New Roman" w:hAnsi="Times New Roman" w:cs="Times New Roman"/>
          <w:color w:val="000000"/>
          <w:spacing w:val="0"/>
          <w:w w:val="100"/>
          <w:position w:val="0"/>
          <w:sz w:val="18"/>
          <w:szCs w:val="18"/>
        </w:rPr>
        <w:t>2,464,459.99</w:t>
      </w:r>
      <w:r>
        <w:rPr>
          <w:color w:val="000000"/>
          <w:spacing w:val="0"/>
          <w:w w:val="100"/>
          <w:position w:val="0"/>
        </w:rPr>
        <w:t>元）。管理层认为</w:t>
      </w:r>
      <w:r>
        <w:rPr>
          <w:rFonts w:ascii="Times New Roman" w:eastAsia="Times New Roman" w:hAnsi="Times New Roman" w:cs="Times New Roman"/>
          <w:color w:val="000000"/>
          <w:spacing w:val="0"/>
          <w:w w:val="100"/>
          <w:position w:val="0"/>
          <w:sz w:val="18"/>
          <w:szCs w:val="18"/>
        </w:rPr>
        <w:t>50</w:t>
      </w:r>
      <w:r>
        <w:rPr>
          <w:color w:val="000000"/>
          <w:spacing w:val="0"/>
          <w:w w:val="100"/>
          <w:position w:val="0"/>
        </w:rPr>
        <w:t>个基点合理反映了下一年度利率可 能发生变动的合理范围。</w:t>
      </w:r>
    </w:p>
    <w:p>
      <w:pPr>
        <w:pStyle w:val="Style41"/>
        <w:keepNext w:val="0"/>
        <w:keepLines w:val="0"/>
        <w:widowControl w:val="0"/>
        <w:shd w:val="clear" w:color="auto" w:fill="auto"/>
        <w:tabs>
          <w:tab w:pos="450" w:val="left"/>
        </w:tabs>
        <w:bidi w:val="0"/>
        <w:spacing w:before="0" w:after="0" w:line="240" w:lineRule="auto"/>
        <w:ind w:left="0" w:right="0" w:firstLine="0"/>
        <w:jc w:val="left"/>
      </w:pPr>
      <w:bookmarkStart w:id="1971" w:name="bookmark1971"/>
      <w:r>
        <w:rPr>
          <w:b/>
          <w:bCs/>
          <w:color w:val="000000"/>
          <w:spacing w:val="0"/>
          <w:w w:val="100"/>
          <w:position w:val="0"/>
        </w:rPr>
        <w:t>（</w:t>
      </w:r>
      <w:bookmarkEnd w:id="1971"/>
      <w:r>
        <w:rPr>
          <w:rFonts w:ascii="Times New Roman" w:eastAsia="Times New Roman" w:hAnsi="Times New Roman" w:cs="Times New Roman"/>
          <w:b/>
          <w:bCs/>
          <w:color w:val="000000"/>
          <w:spacing w:val="0"/>
          <w:w w:val="100"/>
          <w:position w:val="0"/>
          <w:sz w:val="18"/>
          <w:szCs w:val="18"/>
        </w:rPr>
        <w:t>2</w:t>
      </w:r>
      <w:r>
        <w:rPr>
          <w:b/>
          <w:bCs/>
          <w:color w:val="000000"/>
          <w:spacing w:val="0"/>
          <w:w w:val="100"/>
          <w:position w:val="0"/>
        </w:rPr>
        <w:t>）</w:t>
        <w:tab/>
        <w:t>汇率风险</w:t>
      </w:r>
    </w:p>
    <w:p>
      <w:pPr>
        <w:pStyle w:val="Style41"/>
        <w:keepNext w:val="0"/>
        <w:keepLines w:val="0"/>
        <w:widowControl w:val="0"/>
        <w:shd w:val="clear" w:color="auto" w:fill="auto"/>
        <w:bidi w:val="0"/>
        <w:spacing w:before="0" w:after="0" w:line="470" w:lineRule="exact"/>
        <w:ind w:left="0" w:right="0"/>
        <w:jc w:val="both"/>
      </w:pPr>
      <w:r>
        <w:rPr>
          <w:color w:val="000000"/>
          <w:spacing w:val="0"/>
          <w:w w:val="100"/>
          <w:position w:val="0"/>
        </w:rPr>
        <w:t>汇率风险是指金融工具的公允价值或未来现金流量因外汇汇率变动而发生波动的风险。</w:t>
      </w:r>
    </w:p>
    <w:p>
      <w:pPr>
        <w:pStyle w:val="Style41"/>
        <w:keepNext w:val="0"/>
        <w:keepLines w:val="0"/>
        <w:widowControl w:val="0"/>
        <w:shd w:val="clear" w:color="auto" w:fill="auto"/>
        <w:bidi w:val="0"/>
        <w:spacing w:before="0" w:after="0" w:line="470" w:lineRule="exact"/>
        <w:ind w:left="0" w:right="0"/>
        <w:jc w:val="both"/>
      </w:pPr>
      <w:r>
        <w:rPr>
          <w:color w:val="000000"/>
          <w:spacing w:val="0"/>
          <w:w w:val="100"/>
          <w:position w:val="0"/>
        </w:rPr>
        <w:t>本公司尽可能将外币收入与外币支出相匹配以降低汇率风险，此外本公司未签署任何远期外汇合约或货币互换合约。</w:t>
      </w:r>
    </w:p>
    <w:p>
      <w:pPr>
        <w:pStyle w:val="Style41"/>
        <w:keepNext w:val="0"/>
        <w:keepLines w:val="0"/>
        <w:widowControl w:val="0"/>
        <w:shd w:val="clear" w:color="auto" w:fill="auto"/>
        <w:bidi w:val="0"/>
        <w:spacing w:before="0" w:after="420" w:line="470" w:lineRule="exact"/>
        <w:ind w:left="0" w:right="0"/>
        <w:jc w:val="both"/>
      </w:pPr>
      <w:r>
        <w:rPr>
          <w:color w:val="000000"/>
          <w:spacing w:val="0"/>
          <w:w w:val="100"/>
          <w:position w:val="0"/>
        </w:rPr>
        <w:t>本公司面临的汇率风险主要来源于以美元、港币计价的金融资产和金融负债，外币金融资产和外币金融负债折算成人民 币的金额列示如下：</w:t>
      </w:r>
    </w:p>
    <w:tbl>
      <w:tblPr>
        <w:tblOverlap w:val="never"/>
        <w:jc w:val="center"/>
        <w:tblLayout w:type="fixed"/>
      </w:tblPr>
      <w:tblGrid>
        <w:gridCol w:w="686"/>
        <w:gridCol w:w="869"/>
        <w:gridCol w:w="773"/>
        <w:gridCol w:w="768"/>
        <w:gridCol w:w="682"/>
        <w:gridCol w:w="576"/>
        <w:gridCol w:w="864"/>
        <w:gridCol w:w="869"/>
        <w:gridCol w:w="773"/>
        <w:gridCol w:w="782"/>
        <w:gridCol w:w="672"/>
        <w:gridCol w:w="485"/>
        <w:gridCol w:w="878"/>
      </w:tblGrid>
      <w:tr>
        <w:trPr>
          <w:trHeight w:val="355" w:hRule="exact"/>
        </w:trPr>
        <w:tc>
          <w:tcPr>
            <w:vMerge w:val="restart"/>
            <w:tcBorders>
              <w:top w:val="single" w:sz="4"/>
              <w:left w:val="single" w:sz="4"/>
            </w:tcBorders>
            <w:shd w:val="clear" w:color="auto" w:fill="D7D7D7"/>
            <w:vAlign w:val="top"/>
          </w:tcPr>
          <w:p>
            <w:pPr>
              <w:pStyle w:val="Style2"/>
              <w:keepNext w:val="0"/>
              <w:keepLines w:val="0"/>
              <w:widowControl w:val="0"/>
              <w:shd w:val="clear" w:color="auto" w:fill="auto"/>
              <w:bidi w:val="0"/>
              <w:spacing w:before="120" w:after="0" w:line="240" w:lineRule="auto"/>
              <w:ind w:left="0" w:right="0" w:firstLine="200"/>
              <w:jc w:val="left"/>
              <w:rPr>
                <w:sz w:val="12"/>
                <w:szCs w:val="12"/>
              </w:rPr>
            </w:pPr>
            <w:r>
              <w:rPr>
                <w:color w:val="000000"/>
                <w:spacing w:val="0"/>
                <w:w w:val="100"/>
                <w:position w:val="0"/>
                <w:sz w:val="12"/>
                <w:szCs w:val="12"/>
              </w:rPr>
              <w:t>项目</w:t>
            </w:r>
          </w:p>
        </w:tc>
        <w:tc>
          <w:tcPr>
            <w:gridSpan w:val="6"/>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rPr>
              <w:t>期末余额</w:t>
            </w:r>
          </w:p>
        </w:tc>
        <w:tc>
          <w:tcPr>
            <w:gridSpan w:val="6"/>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rPr>
              <w:t>上年年末余额</w:t>
            </w:r>
          </w:p>
        </w:tc>
      </w:tr>
      <w:tr>
        <w:trPr>
          <w:trHeight w:val="350" w:hRule="exact"/>
        </w:trPr>
        <w:tc>
          <w:tcPr>
            <w:vMerge/>
            <w:tcBorders>
              <w:left w:val="single" w:sz="4"/>
            </w:tcBorders>
            <w:shd w:val="clear" w:color="auto" w:fill="D7D7D7"/>
            <w:vAlign w:val="top"/>
          </w:tcPr>
          <w:p>
            <w:pP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rPr>
              <w:t>美元</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rPr>
              <w:t>港币</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rPr>
              <w:t>新加坡币</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rPr>
              <w:t>欧元</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rPr>
              <w:t>英镑</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rPr>
              <w:t>合计</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280" w:firstLine="0"/>
              <w:jc w:val="right"/>
              <w:rPr>
                <w:sz w:val="12"/>
                <w:szCs w:val="12"/>
              </w:rPr>
            </w:pPr>
            <w:r>
              <w:rPr>
                <w:color w:val="000000"/>
                <w:spacing w:val="0"/>
                <w:w w:val="100"/>
                <w:position w:val="0"/>
                <w:sz w:val="12"/>
                <w:szCs w:val="12"/>
              </w:rPr>
              <w:t>美元</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rPr>
              <w:t>港币</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right"/>
              <w:rPr>
                <w:sz w:val="12"/>
                <w:szCs w:val="12"/>
              </w:rPr>
            </w:pPr>
            <w:r>
              <w:rPr>
                <w:color w:val="000000"/>
                <w:spacing w:val="0"/>
                <w:w w:val="100"/>
                <w:position w:val="0"/>
                <w:sz w:val="12"/>
                <w:szCs w:val="12"/>
              </w:rPr>
              <w:t>新加坡币</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rPr>
                <w:sz w:val="12"/>
                <w:szCs w:val="12"/>
              </w:rPr>
            </w:pPr>
            <w:r>
              <w:rPr>
                <w:color w:val="000000"/>
                <w:spacing w:val="0"/>
                <w:w w:val="100"/>
                <w:position w:val="0"/>
                <w:sz w:val="12"/>
                <w:szCs w:val="12"/>
              </w:rPr>
              <w:t>欧元</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right"/>
              <w:rPr>
                <w:sz w:val="12"/>
                <w:szCs w:val="12"/>
              </w:rPr>
            </w:pPr>
            <w:r>
              <w:rPr>
                <w:color w:val="000000"/>
                <w:spacing w:val="0"/>
                <w:w w:val="100"/>
                <w:position w:val="0"/>
                <w:sz w:val="12"/>
                <w:szCs w:val="12"/>
              </w:rPr>
              <w:t>日元</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300" w:firstLine="0"/>
              <w:jc w:val="right"/>
              <w:rPr>
                <w:sz w:val="12"/>
                <w:szCs w:val="12"/>
              </w:rPr>
            </w:pPr>
            <w:r>
              <w:rPr>
                <w:color w:val="000000"/>
                <w:spacing w:val="0"/>
                <w:w w:val="100"/>
                <w:position w:val="0"/>
                <w:sz w:val="12"/>
                <w:szCs w:val="12"/>
              </w:rPr>
              <w:t>合计</w:t>
            </w:r>
          </w:p>
        </w:tc>
      </w:tr>
      <w:tr>
        <w:trPr>
          <w:trHeight w:val="3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rPr>
              <w:t>货币资金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276,909,432.71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26,378,012.26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rPr>
                <w:sz w:val="13"/>
                <w:szCs w:val="13"/>
              </w:rPr>
            </w:pPr>
            <w:r>
              <w:rPr>
                <w:rFonts w:ascii="Times New Roman" w:eastAsia="Times New Roman" w:hAnsi="Times New Roman" w:cs="Times New Roman"/>
                <w:color w:val="000000"/>
                <w:spacing w:val="0"/>
                <w:w w:val="100"/>
                <w:position w:val="0"/>
                <w:sz w:val="13"/>
                <w:szCs w:val="13"/>
              </w:rPr>
              <w:t>559,138.70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250,963.42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37,264.31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304,134,811.40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color w:val="000000"/>
                <w:spacing w:val="0"/>
                <w:w w:val="100"/>
                <w:position w:val="0"/>
                <w:sz w:val="13"/>
                <w:szCs w:val="13"/>
              </w:rPr>
              <w:t>277,538,664.81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13,952,617.97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1,219,439.96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color w:val="000000"/>
                <w:spacing w:val="0"/>
                <w:w w:val="100"/>
                <w:position w:val="0"/>
                <w:sz w:val="13"/>
                <w:szCs w:val="13"/>
              </w:rPr>
              <w:t>187,982.7(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color w:val="000000"/>
                <w:spacing w:val="0"/>
                <w:w w:val="100"/>
                <w:position w:val="0"/>
                <w:sz w:val="13"/>
                <w:szCs w:val="13"/>
              </w:rPr>
              <w:t>0.45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color w:val="000000"/>
                <w:spacing w:val="0"/>
                <w:w w:val="100"/>
                <w:position w:val="0"/>
                <w:sz w:val="13"/>
                <w:szCs w:val="13"/>
              </w:rPr>
              <w:t>292,898,705.89</w:t>
            </w:r>
          </w:p>
        </w:tc>
      </w:tr>
      <w:tr>
        <w:trPr>
          <w:trHeight w:val="35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rPr>
              <w:t>应收账款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174,042,544.26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8,179,529.82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rPr>
                <w:sz w:val="13"/>
                <w:szCs w:val="13"/>
              </w:rPr>
            </w:pPr>
            <w:r>
              <w:rPr>
                <w:rFonts w:ascii="Times New Roman" w:eastAsia="Times New Roman" w:hAnsi="Times New Roman" w:cs="Times New Roman"/>
                <w:color w:val="000000"/>
                <w:spacing w:val="0"/>
                <w:w w:val="100"/>
                <w:position w:val="0"/>
                <w:sz w:val="13"/>
                <w:szCs w:val="13"/>
              </w:rPr>
              <w:t>791,346.20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183,013,420.28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color w:val="000000"/>
                <w:spacing w:val="0"/>
                <w:w w:val="100"/>
                <w:position w:val="0"/>
                <w:sz w:val="13"/>
                <w:szCs w:val="13"/>
              </w:rPr>
              <w:t>84,646,698.39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12,838,8840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3"/>
                <w:szCs w:val="13"/>
              </w:rPr>
            </w:pPr>
            <w:r>
              <w:rPr>
                <w:rFonts w:ascii="Times New Roman" w:eastAsia="Times New Roman" w:hAnsi="Times New Roman" w:cs="Times New Roman"/>
                <w:color w:val="000000"/>
                <w:spacing w:val="0"/>
                <w:w w:val="100"/>
                <w:position w:val="0"/>
                <w:sz w:val="13"/>
                <w:szCs w:val="13"/>
              </w:rPr>
              <w:t>680,096.69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color w:val="000000"/>
                <w:spacing w:val="0"/>
                <w:w w:val="100"/>
                <w:position w:val="0"/>
                <w:sz w:val="13"/>
                <w:szCs w:val="13"/>
              </w:rPr>
              <w:t>98,165,679.12</w:t>
            </w:r>
          </w:p>
        </w:tc>
      </w:tr>
      <w:tr>
        <w:trPr>
          <w:trHeight w:val="3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rPr>
              <w:t>其他应收款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3"/>
                <w:szCs w:val="13"/>
              </w:rPr>
            </w:pPr>
            <w:r>
              <w:rPr>
                <w:rFonts w:ascii="Times New Roman" w:eastAsia="Times New Roman" w:hAnsi="Times New Roman" w:cs="Times New Roman"/>
                <w:color w:val="000000"/>
                <w:spacing w:val="0"/>
                <w:w w:val="100"/>
                <w:position w:val="0"/>
                <w:sz w:val="13"/>
                <w:szCs w:val="13"/>
              </w:rPr>
              <w:t>631,464.49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rPr>
                <w:sz w:val="13"/>
                <w:szCs w:val="13"/>
              </w:rPr>
            </w:pPr>
            <w:r>
              <w:rPr>
                <w:rFonts w:ascii="Times New Roman" w:eastAsia="Times New Roman" w:hAnsi="Times New Roman" w:cs="Times New Roman"/>
                <w:color w:val="000000"/>
                <w:spacing w:val="0"/>
                <w:w w:val="100"/>
                <w:position w:val="0"/>
                <w:sz w:val="13"/>
                <w:szCs w:val="13"/>
              </w:rPr>
              <w:t>118,050.37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3"/>
                <w:szCs w:val="13"/>
              </w:rPr>
            </w:pPr>
            <w:r>
              <w:rPr>
                <w:rFonts w:ascii="Times New Roman" w:eastAsia="Times New Roman" w:hAnsi="Times New Roman" w:cs="Times New Roman"/>
                <w:color w:val="000000"/>
                <w:spacing w:val="0"/>
                <w:w w:val="100"/>
                <w:position w:val="0"/>
                <w:sz w:val="13"/>
                <w:szCs w:val="13"/>
              </w:rPr>
              <w:t>749,514.86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672,099.58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3"/>
                <w:szCs w:val="13"/>
              </w:rPr>
            </w:pPr>
            <w:r>
              <w:rPr>
                <w:rFonts w:ascii="Times New Roman" w:eastAsia="Times New Roman" w:hAnsi="Times New Roman" w:cs="Times New Roman"/>
                <w:color w:val="000000"/>
                <w:spacing w:val="0"/>
                <w:w w:val="100"/>
                <w:position w:val="0"/>
                <w:sz w:val="13"/>
                <w:szCs w:val="13"/>
              </w:rPr>
              <w:t>123,855.46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color w:val="000000"/>
                <w:spacing w:val="0"/>
                <w:w w:val="100"/>
                <w:position w:val="0"/>
                <w:sz w:val="13"/>
                <w:szCs w:val="13"/>
              </w:rPr>
              <w:t>795,955.04</w:t>
            </w:r>
          </w:p>
        </w:tc>
      </w:tr>
      <w:tr>
        <w:trPr>
          <w:trHeight w:val="3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rPr>
              <w:t>应付账款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82,856,696.66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6,423,042.88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rPr>
                <w:sz w:val="13"/>
                <w:szCs w:val="13"/>
              </w:rPr>
            </w:pPr>
            <w:r>
              <w:rPr>
                <w:rFonts w:ascii="Times New Roman" w:eastAsia="Times New Roman" w:hAnsi="Times New Roman" w:cs="Times New Roman"/>
                <w:color w:val="000000"/>
                <w:spacing w:val="0"/>
                <w:w w:val="100"/>
                <w:position w:val="0"/>
                <w:sz w:val="13"/>
                <w:szCs w:val="13"/>
              </w:rPr>
              <w:t>348,353.90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3"/>
                <w:szCs w:val="13"/>
              </w:rPr>
            </w:pPr>
            <w:r>
              <w:rPr>
                <w:rFonts w:ascii="Times New Roman" w:eastAsia="Times New Roman" w:hAnsi="Times New Roman" w:cs="Times New Roman"/>
                <w:color w:val="000000"/>
                <w:spacing w:val="0"/>
                <w:w w:val="100"/>
                <w:position w:val="0"/>
                <w:sz w:val="13"/>
                <w:szCs w:val="13"/>
              </w:rPr>
              <w:t>89,628,093.44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color w:val="000000"/>
                <w:spacing w:val="0"/>
                <w:w w:val="100"/>
                <w:position w:val="0"/>
                <w:sz w:val="13"/>
                <w:szCs w:val="13"/>
              </w:rPr>
              <w:t>88,587,547.28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6,836,369.25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3"/>
                <w:szCs w:val="13"/>
              </w:rPr>
            </w:pPr>
            <w:r>
              <w:rPr>
                <w:rFonts w:ascii="Times New Roman" w:eastAsia="Times New Roman" w:hAnsi="Times New Roman" w:cs="Times New Roman"/>
                <w:color w:val="000000"/>
                <w:spacing w:val="0"/>
                <w:w w:val="100"/>
                <w:position w:val="0"/>
                <w:sz w:val="13"/>
                <w:szCs w:val="13"/>
              </w:rPr>
              <w:t>365,484.09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color w:val="000000"/>
                <w:spacing w:val="0"/>
                <w:w w:val="100"/>
                <w:position w:val="0"/>
                <w:sz w:val="13"/>
                <w:szCs w:val="13"/>
              </w:rPr>
              <w:t>95,789,400.62</w:t>
            </w:r>
          </w:p>
        </w:tc>
      </w:tr>
      <w:tr>
        <w:trPr>
          <w:trHeight w:val="35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rPr>
              <w:t>其他应付款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3"/>
                <w:szCs w:val="13"/>
              </w:rPr>
            </w:pPr>
            <w:r>
              <w:rPr>
                <w:rFonts w:ascii="Times New Roman" w:eastAsia="Times New Roman" w:hAnsi="Times New Roman" w:cs="Times New Roman"/>
                <w:color w:val="000000"/>
                <w:spacing w:val="0"/>
                <w:w w:val="100"/>
                <w:position w:val="0"/>
                <w:sz w:val="13"/>
                <w:szCs w:val="13"/>
              </w:rPr>
              <w:t>21,467.18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2,195,799.22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rPr>
                <w:sz w:val="13"/>
                <w:szCs w:val="13"/>
              </w:rPr>
            </w:pPr>
            <w:r>
              <w:rPr>
                <w:rFonts w:ascii="Times New Roman" w:eastAsia="Times New Roman" w:hAnsi="Times New Roman" w:cs="Times New Roman"/>
                <w:color w:val="000000"/>
                <w:spacing w:val="0"/>
                <w:w w:val="100"/>
                <w:position w:val="0"/>
                <w:sz w:val="13"/>
                <w:szCs w:val="13"/>
              </w:rPr>
              <w:t>885,741.48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3"/>
                <w:szCs w:val="13"/>
              </w:rPr>
            </w:pPr>
            <w:r>
              <w:rPr>
                <w:rFonts w:ascii="Times New Roman" w:eastAsia="Times New Roman" w:hAnsi="Times New Roman" w:cs="Times New Roman"/>
                <w:color w:val="000000"/>
                <w:spacing w:val="0"/>
                <w:w w:val="100"/>
                <w:position w:val="0"/>
                <w:sz w:val="13"/>
                <w:szCs w:val="13"/>
              </w:rPr>
              <w:t>3,103,007.88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color w:val="000000"/>
                <w:spacing w:val="0"/>
                <w:w w:val="100"/>
                <w:position w:val="0"/>
                <w:sz w:val="13"/>
                <w:szCs w:val="13"/>
              </w:rPr>
              <w:t>22,951.98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2,337,100.12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3"/>
                <w:szCs w:val="13"/>
              </w:rPr>
            </w:pPr>
            <w:r>
              <w:rPr>
                <w:rFonts w:ascii="Times New Roman" w:eastAsia="Times New Roman" w:hAnsi="Times New Roman" w:cs="Times New Roman"/>
                <w:color w:val="000000"/>
                <w:spacing w:val="0"/>
                <w:w w:val="100"/>
                <w:position w:val="0"/>
                <w:sz w:val="13"/>
                <w:szCs w:val="13"/>
              </w:rPr>
              <w:t>929,297.53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color w:val="000000"/>
                <w:spacing w:val="0"/>
                <w:w w:val="100"/>
                <w:position w:val="0"/>
                <w:sz w:val="13"/>
                <w:szCs w:val="13"/>
              </w:rPr>
              <w:t>3,289,349.63</w:t>
            </w:r>
          </w:p>
        </w:tc>
      </w:tr>
      <w:tr>
        <w:trPr>
          <w:trHeight w:val="355"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2"/>
                <w:szCs w:val="12"/>
              </w:rPr>
            </w:pPr>
            <w:r>
              <w:rPr>
                <w:color w:val="000000"/>
                <w:spacing w:val="0"/>
                <w:w w:val="100"/>
                <w:position w:val="0"/>
                <w:sz w:val="12"/>
                <w:szCs w:val="12"/>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533,830,140.81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43,807,848.67</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2,702,630.65</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250,963.42</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37,264.31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580,628,847.86</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color w:val="000000"/>
                <w:spacing w:val="0"/>
                <w:w w:val="100"/>
                <w:position w:val="0"/>
                <w:sz w:val="13"/>
                <w:szCs w:val="13"/>
              </w:rPr>
              <w:t>450,795,862.46</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36,637,070.96</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rPr>
              <w:t>3,318,173.73</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color w:val="000000"/>
                <w:spacing w:val="0"/>
                <w:w w:val="100"/>
                <w:position w:val="0"/>
                <w:sz w:val="13"/>
                <w:szCs w:val="13"/>
              </w:rPr>
              <w:t>187,982.7(</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color w:val="000000"/>
                <w:spacing w:val="0"/>
                <w:w w:val="100"/>
                <w:position w:val="0"/>
                <w:sz w:val="13"/>
                <w:szCs w:val="13"/>
              </w:rPr>
              <w:t>0.45</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color w:val="000000"/>
                <w:spacing w:val="0"/>
                <w:w w:val="100"/>
                <w:position w:val="0"/>
                <w:sz w:val="13"/>
                <w:szCs w:val="13"/>
              </w:rPr>
              <w:t>490,939,090.30</w:t>
            </w:r>
          </w:p>
        </w:tc>
      </w:tr>
    </w:tbl>
    <w:p>
      <w:pPr>
        <w:pStyle w:val="Style41"/>
        <w:keepNext w:val="0"/>
        <w:keepLines w:val="0"/>
        <w:widowControl w:val="0"/>
        <w:shd w:val="clear" w:color="auto" w:fill="auto"/>
        <w:bidi w:val="0"/>
        <w:spacing w:before="0" w:after="480" w:line="475" w:lineRule="exact"/>
        <w:ind w:left="0" w:right="0"/>
        <w:jc w:val="both"/>
      </w:pPr>
      <w:r>
        <w:rPr>
          <w:color w:val="000000"/>
          <w:spacing w:val="0"/>
          <w:w w:val="100"/>
          <w:position w:val="0"/>
        </w:rPr>
        <w:t>于</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日，在所有其他变量保持不变的情况下，如果人民币对美元、港币等外币综合升值或贬值</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，则公司 将减少或增加净利润</w:t>
      </w:r>
      <w:r>
        <w:rPr>
          <w:rFonts w:ascii="Times New Roman" w:eastAsia="Times New Roman" w:hAnsi="Times New Roman" w:cs="Times New Roman"/>
          <w:color w:val="000000"/>
          <w:spacing w:val="0"/>
          <w:w w:val="100"/>
          <w:position w:val="0"/>
          <w:sz w:val="18"/>
          <w:szCs w:val="18"/>
        </w:rPr>
        <w:t>42,538,284.61</w:t>
      </w:r>
      <w:r>
        <w:rPr>
          <w:color w:val="000000"/>
          <w:spacing w:val="0"/>
          <w:w w:val="100"/>
          <w:position w:val="0"/>
        </w:rPr>
        <w:t>元（</w:t>
      </w:r>
      <w:r>
        <w:rPr>
          <w:rFonts w:ascii="Times New Roman" w:eastAsia="Times New Roman" w:hAnsi="Times New Roman" w:cs="Times New Roman"/>
          <w:color w:val="000000"/>
          <w:spacing w:val="0"/>
          <w:w w:val="100"/>
          <w:position w:val="0"/>
          <w:sz w:val="18"/>
          <w:szCs w:val="18"/>
        </w:rPr>
        <w:t>2019</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日：公司将减少或增加净利润</w:t>
      </w:r>
      <w:r>
        <w:rPr>
          <w:rFonts w:ascii="Times New Roman" w:eastAsia="Times New Roman" w:hAnsi="Times New Roman" w:cs="Times New Roman"/>
          <w:color w:val="000000"/>
          <w:spacing w:val="0"/>
          <w:w w:val="100"/>
          <w:position w:val="0"/>
          <w:sz w:val="18"/>
          <w:szCs w:val="18"/>
        </w:rPr>
        <w:t>19,316,413.66</w:t>
      </w:r>
      <w:r>
        <w:rPr>
          <w:color w:val="000000"/>
          <w:spacing w:val="0"/>
          <w:w w:val="100"/>
          <w:position w:val="0"/>
        </w:rPr>
        <w:t>元）。管理层认为</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合理 反映了下一年度人民币对美元、港币等外币可能发生变动的合理范围。</w:t>
      </w:r>
    </w:p>
    <w:p>
      <w:pPr>
        <w:pStyle w:val="Style41"/>
        <w:keepNext w:val="0"/>
        <w:keepLines w:val="0"/>
        <w:widowControl w:val="0"/>
        <w:shd w:val="clear" w:color="auto" w:fill="auto"/>
        <w:bidi w:val="0"/>
        <w:spacing w:before="0" w:after="180" w:line="240" w:lineRule="auto"/>
        <w:ind w:left="0" w:right="0" w:firstLine="0"/>
        <w:jc w:val="left"/>
      </w:pPr>
      <w:bookmarkStart w:id="1972" w:name="bookmark1972"/>
      <w:r>
        <w:rPr>
          <w:b/>
          <w:bCs/>
          <w:color w:val="000000"/>
          <w:spacing w:val="0"/>
          <w:w w:val="100"/>
          <w:position w:val="0"/>
        </w:rPr>
        <w:t>（</w:t>
      </w:r>
      <w:bookmarkEnd w:id="1972"/>
      <w:r>
        <w:rPr>
          <w:rFonts w:ascii="Times New Roman" w:eastAsia="Times New Roman" w:hAnsi="Times New Roman" w:cs="Times New Roman"/>
          <w:b/>
          <w:bCs/>
          <w:color w:val="000000"/>
          <w:spacing w:val="0"/>
          <w:w w:val="100"/>
          <w:position w:val="0"/>
          <w:sz w:val="18"/>
          <w:szCs w:val="18"/>
        </w:rPr>
        <w:t>3</w:t>
      </w:r>
      <w:r>
        <w:rPr>
          <w:b/>
          <w:bCs/>
          <w:color w:val="000000"/>
          <w:spacing w:val="0"/>
          <w:w w:val="100"/>
          <w:position w:val="0"/>
        </w:rPr>
        <w:t>）其他价格风险</w:t>
      </w:r>
    </w:p>
    <w:p>
      <w:pPr>
        <w:pStyle w:val="Style41"/>
        <w:keepNext w:val="0"/>
        <w:keepLines w:val="0"/>
        <w:widowControl w:val="0"/>
        <w:shd w:val="clear" w:color="auto" w:fill="auto"/>
        <w:bidi w:val="0"/>
        <w:spacing w:before="0" w:after="260" w:line="240" w:lineRule="auto"/>
        <w:ind w:left="0" w:right="0"/>
        <w:jc w:val="both"/>
      </w:pPr>
      <w:r>
        <w:rPr>
          <w:color w:val="000000"/>
          <w:spacing w:val="0"/>
          <w:w w:val="100"/>
          <w:position w:val="0"/>
        </w:rPr>
        <w:t>本公司未持有其他上市公司的权益投资。</w:t>
      </w:r>
    </w:p>
    <w:p>
      <w:pPr>
        <w:pStyle w:val="Style41"/>
        <w:keepNext w:val="0"/>
        <w:keepLines w:val="0"/>
        <w:widowControl w:val="0"/>
        <w:shd w:val="clear" w:color="auto" w:fill="auto"/>
        <w:bidi w:val="0"/>
        <w:spacing w:before="0" w:after="260" w:line="240" w:lineRule="auto"/>
        <w:ind w:left="0" w:right="0"/>
        <w:jc w:val="both"/>
      </w:pPr>
      <w:r>
        <w:rPr>
          <w:color w:val="000000"/>
          <w:spacing w:val="0"/>
          <w:w w:val="100"/>
          <w:position w:val="0"/>
        </w:rPr>
        <w:t>于</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日，在所有其他变量保持不变的情况下，如果权益工具（非上市公司股权）的价值上涨或下跌</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,则</w:t>
      </w:r>
    </w:p>
    <w:p>
      <w:pPr>
        <w:pStyle w:val="Style41"/>
        <w:keepNext w:val="0"/>
        <w:keepLines w:val="0"/>
        <w:widowControl w:val="0"/>
        <w:shd w:val="clear" w:color="auto" w:fill="auto"/>
        <w:bidi w:val="0"/>
        <w:spacing w:before="0" w:after="260" w:line="240" w:lineRule="auto"/>
        <w:ind w:left="0" w:right="0" w:firstLine="0"/>
        <w:jc w:val="left"/>
        <w:sectPr>
          <w:headerReference w:type="default" r:id="rId439"/>
          <w:footerReference w:type="default" r:id="rId440"/>
          <w:headerReference w:type="even" r:id="rId441"/>
          <w:footerReference w:type="even" r:id="rId442"/>
          <w:footnotePr>
            <w:pos w:val="pageBottom"/>
            <w:numFmt w:val="decimal"/>
            <w:numRestart w:val="continuous"/>
          </w:footnotePr>
          <w:pgSz w:w="11904" w:h="17375"/>
          <w:pgMar w:top="1070" w:right="1039" w:bottom="1547" w:left="1082" w:header="642" w:footer="3" w:gutter="0"/>
          <w:cols w:space="720"/>
          <w:noEndnote/>
          <w:rtlGutter w:val="0"/>
          <w:docGrid w:linePitch="360"/>
        </w:sectPr>
      </w:pPr>
      <w:r>
        <w:rPr>
          <w:color w:val="000000"/>
          <w:spacing w:val="0"/>
          <w:w w:val="100"/>
          <w:position w:val="0"/>
        </w:rPr>
        <w:t>本公司将增加或减少净利润</w:t>
      </w:r>
      <w:r>
        <w:rPr>
          <w:rFonts w:ascii="Times New Roman" w:eastAsia="Times New Roman" w:hAnsi="Times New Roman" w:cs="Times New Roman"/>
          <w:color w:val="000000"/>
          <w:spacing w:val="0"/>
          <w:w w:val="100"/>
          <w:position w:val="0"/>
          <w:sz w:val="18"/>
          <w:szCs w:val="18"/>
        </w:rPr>
        <w:t>8,886,351.16</w:t>
      </w:r>
      <w:r>
        <w:rPr>
          <w:color w:val="000000"/>
          <w:spacing w:val="0"/>
          <w:w w:val="100"/>
          <w:position w:val="0"/>
        </w:rPr>
        <w:t>元、其他综合收益</w:t>
      </w:r>
      <w:r>
        <w:rPr>
          <w:rFonts w:ascii="Times New Roman" w:eastAsia="Times New Roman" w:hAnsi="Times New Roman" w:cs="Times New Roman"/>
          <w:color w:val="000000"/>
          <w:spacing w:val="0"/>
          <w:w w:val="100"/>
          <w:position w:val="0"/>
          <w:sz w:val="18"/>
          <w:szCs w:val="18"/>
        </w:rPr>
        <w:t>826,937.18</w:t>
      </w:r>
      <w:r>
        <w:rPr>
          <w:color w:val="000000"/>
          <w:spacing w:val="0"/>
          <w:w w:val="100"/>
          <w:position w:val="0"/>
        </w:rPr>
        <w:t>元。管理层认为</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 xml:space="preserve">合理反映了下一年度权益工具价值 </w:t>
      </w:r>
      <w:r>
        <w:rPr>
          <w:color w:val="000000"/>
          <w:spacing w:val="0"/>
          <w:w w:val="100"/>
          <w:position w:val="0"/>
        </w:rPr>
        <w:t>可能发生变动的合理范围。</w:t>
      </w:r>
    </w:p>
    <w:p>
      <w:pPr>
        <w:pStyle w:val="Style39"/>
        <w:keepNext/>
        <w:keepLines/>
        <w:widowControl w:val="0"/>
        <w:shd w:val="clear" w:color="auto" w:fill="auto"/>
        <w:bidi w:val="0"/>
        <w:spacing w:before="660" w:after="460" w:line="240" w:lineRule="auto"/>
        <w:ind w:left="0" w:right="0" w:firstLine="0"/>
        <w:jc w:val="left"/>
      </w:pPr>
      <w:bookmarkStart w:id="1973" w:name="bookmark1973"/>
      <w:bookmarkStart w:id="1974" w:name="bookmark1974"/>
      <w:bookmarkStart w:id="1975" w:name="bookmark1975"/>
      <w:r>
        <w:rPr>
          <w:color w:val="000000"/>
          <w:spacing w:val="0"/>
          <w:w w:val="100"/>
          <w:position w:val="0"/>
          <w:sz w:val="24"/>
          <w:szCs w:val="24"/>
        </w:rPr>
        <w:t>十一、公允价值的披露</w:t>
      </w:r>
      <w:bookmarkEnd w:id="1973"/>
      <w:bookmarkEnd w:id="1974"/>
      <w:bookmarkEnd w:id="1975"/>
    </w:p>
    <w:p>
      <w:pPr>
        <w:pStyle w:val="Style41"/>
        <w:keepNext w:val="0"/>
        <w:keepLines w:val="0"/>
        <w:widowControl w:val="0"/>
        <w:shd w:val="clear" w:color="auto" w:fill="auto"/>
        <w:bidi w:val="0"/>
        <w:spacing w:before="0" w:after="260" w:line="240" w:lineRule="auto"/>
        <w:ind w:left="0" w:right="0" w:firstLine="360"/>
        <w:jc w:val="left"/>
      </w:pPr>
      <w:r>
        <w:rPr>
          <w:color w:val="000000"/>
          <w:spacing w:val="0"/>
          <w:w w:val="100"/>
          <w:position w:val="0"/>
        </w:rPr>
        <w:t>公允价值计量所使用的输入值划分为三个层次：</w:t>
      </w:r>
    </w:p>
    <w:p>
      <w:pPr>
        <w:pStyle w:val="Style41"/>
        <w:keepNext w:val="0"/>
        <w:keepLines w:val="0"/>
        <w:widowControl w:val="0"/>
        <w:shd w:val="clear" w:color="auto" w:fill="auto"/>
        <w:bidi w:val="0"/>
        <w:spacing w:before="0" w:after="260" w:line="240" w:lineRule="auto"/>
        <w:ind w:left="0" w:right="0" w:firstLine="360"/>
        <w:jc w:val="left"/>
      </w:pPr>
      <w:r>
        <w:rPr>
          <w:color w:val="000000"/>
          <w:spacing w:val="0"/>
          <w:w w:val="100"/>
          <w:position w:val="0"/>
        </w:rPr>
        <w:t>第一层次输入值是在计量日能够取得的相同资产或负债在活跃市场上未经调整的报价。</w:t>
      </w:r>
    </w:p>
    <w:p>
      <w:pPr>
        <w:pStyle w:val="Style41"/>
        <w:keepNext w:val="0"/>
        <w:keepLines w:val="0"/>
        <w:widowControl w:val="0"/>
        <w:shd w:val="clear" w:color="auto" w:fill="auto"/>
        <w:bidi w:val="0"/>
        <w:spacing w:before="0" w:after="260" w:line="240" w:lineRule="auto"/>
        <w:ind w:left="0" w:right="0" w:firstLine="360"/>
        <w:jc w:val="left"/>
      </w:pPr>
      <w:r>
        <w:rPr>
          <w:color w:val="000000"/>
          <w:spacing w:val="0"/>
          <w:w w:val="100"/>
          <w:position w:val="0"/>
        </w:rPr>
        <w:t>第二层次输入值是除第一层次输入值外相关资产或负债直接或间接可观察的输入值。</w:t>
      </w:r>
    </w:p>
    <w:p>
      <w:pPr>
        <w:pStyle w:val="Style41"/>
        <w:keepNext w:val="0"/>
        <w:keepLines w:val="0"/>
        <w:widowControl w:val="0"/>
        <w:shd w:val="clear" w:color="auto" w:fill="auto"/>
        <w:bidi w:val="0"/>
        <w:spacing w:before="0" w:after="260" w:line="240" w:lineRule="auto"/>
        <w:ind w:left="0" w:right="0" w:firstLine="360"/>
        <w:jc w:val="left"/>
      </w:pPr>
      <w:r>
        <w:rPr>
          <w:color w:val="000000"/>
          <w:spacing w:val="0"/>
          <w:w w:val="100"/>
          <w:position w:val="0"/>
        </w:rPr>
        <w:t>第三层次输入值是相关资产或负债的不可观察输入值。</w:t>
      </w:r>
    </w:p>
    <w:p>
      <w:pPr>
        <w:pStyle w:val="Style41"/>
        <w:keepNext w:val="0"/>
        <w:keepLines w:val="0"/>
        <w:widowControl w:val="0"/>
        <w:shd w:val="clear" w:color="auto" w:fill="auto"/>
        <w:bidi w:val="0"/>
        <w:spacing w:before="0" w:after="460" w:line="240" w:lineRule="auto"/>
        <w:ind w:left="0" w:right="0" w:firstLine="360"/>
        <w:jc w:val="left"/>
      </w:pPr>
      <w:r>
        <w:rPr>
          <w:color w:val="000000"/>
          <w:spacing w:val="0"/>
          <w:w w:val="100"/>
          <w:position w:val="0"/>
        </w:rPr>
        <w:t>公允价值计量结果所属的层次，由对公允价值计量整体而言具有重要意义的输入值所属的最低层次决定。</w:t>
      </w:r>
    </w:p>
    <w:p>
      <w:pPr>
        <w:pStyle w:val="Style47"/>
        <w:keepNext/>
        <w:keepLines/>
        <w:widowControl w:val="0"/>
        <w:shd w:val="clear" w:color="auto" w:fill="auto"/>
        <w:bidi w:val="0"/>
        <w:spacing w:before="0" w:after="380" w:line="240" w:lineRule="auto"/>
        <w:ind w:left="0" w:right="0" w:firstLine="0"/>
        <w:jc w:val="left"/>
      </w:pPr>
      <w:bookmarkStart w:id="1976" w:name="bookmark1976"/>
      <w:bookmarkStart w:id="1977" w:name="bookmark1977"/>
      <w:bookmarkStart w:id="1978" w:name="bookmark1978"/>
      <w:r>
        <w:rPr>
          <w:color w:val="000000"/>
          <w:spacing w:val="0"/>
          <w:w w:val="100"/>
          <w:position w:val="0"/>
        </w:rPr>
        <w:t>1、以公允价值计量的资产和负债的期末公允价值</w:t>
      </w:r>
      <w:bookmarkEnd w:id="1976"/>
      <w:bookmarkEnd w:id="1977"/>
      <w:bookmarkEnd w:id="1978"/>
    </w:p>
    <w:p>
      <w:pPr>
        <w:pStyle w:val="Style41"/>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1997"/>
        <w:gridCol w:w="1838"/>
        <w:gridCol w:w="1915"/>
        <w:gridCol w:w="1910"/>
        <w:gridCol w:w="1925"/>
      </w:tblGrid>
      <w:tr>
        <w:trPr>
          <w:trHeight w:val="408" w:hRule="exact"/>
        </w:trPr>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gridSpan w:val="4"/>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期末公允价值</w:t>
            </w:r>
          </w:p>
        </w:tc>
      </w:tr>
      <w:tr>
        <w:trPr>
          <w:trHeight w:val="715" w:hRule="exact"/>
        </w:trPr>
        <w:tc>
          <w:tcPr>
            <w:vMerge/>
            <w:tcBorders>
              <w:left w:val="single" w:sz="4"/>
            </w:tcBorders>
            <w:shd w:val="clear" w:color="auto" w:fill="D7D7D7"/>
            <w:vAlign w:val="center"/>
          </w:tcPr>
          <w:p>
            <w:pP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120" w:line="240" w:lineRule="auto"/>
              <w:ind w:left="0" w:right="0" w:firstLine="0"/>
              <w:jc w:val="center"/>
            </w:pPr>
            <w:r>
              <w:rPr>
                <w:color w:val="000000"/>
                <w:spacing w:val="0"/>
                <w:w w:val="100"/>
                <w:position w:val="0"/>
              </w:rPr>
              <w:t>第一层次公允价值计</w:t>
            </w:r>
          </w:p>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量</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第二层次公允价值计量</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第三层次公允价值计量</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760"/>
              <w:jc w:val="left"/>
            </w:pPr>
            <w:r>
              <w:rPr>
                <w:color w:val="000000"/>
                <w:spacing w:val="0"/>
                <w:w w:val="100"/>
                <w:position w:val="0"/>
              </w:rPr>
              <w:t>合计</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一、持续的公允价值计量</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900"/>
              <w:jc w:val="left"/>
              <w:rPr>
                <w:sz w:val="18"/>
                <w:szCs w:val="18"/>
              </w:rPr>
            </w:pPr>
            <w:r>
              <w:rPr>
                <w:rFonts w:ascii="Times New Roman" w:eastAsia="Times New Roman" w:hAnsi="Times New Roman" w:cs="Times New Roman"/>
                <w:color w:val="000000"/>
                <w:spacing w:val="0"/>
                <w:w w:val="100"/>
                <w:position w:val="0"/>
                <w:sz w:val="18"/>
                <w:szCs w:val="18"/>
              </w:rPr>
              <w:t>--</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（一）交易性金融资产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rPr>
                <w:sz w:val="18"/>
                <w:szCs w:val="18"/>
              </w:rPr>
            </w:pPr>
            <w:r>
              <w:rPr>
                <w:rFonts w:ascii="Times New Roman" w:eastAsia="Times New Roman" w:hAnsi="Times New Roman" w:cs="Times New Roman"/>
                <w:color w:val="000000"/>
                <w:spacing w:val="0"/>
                <w:w w:val="100"/>
                <w:position w:val="0"/>
                <w:sz w:val="18"/>
                <w:szCs w:val="18"/>
              </w:rPr>
              <w:t>145,591,819.22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both"/>
              <w:rPr>
                <w:sz w:val="18"/>
                <w:szCs w:val="18"/>
              </w:rPr>
            </w:pPr>
            <w:r>
              <w:rPr>
                <w:rFonts w:ascii="Times New Roman" w:eastAsia="Times New Roman" w:hAnsi="Times New Roman" w:cs="Times New Roman"/>
                <w:color w:val="000000"/>
                <w:spacing w:val="0"/>
                <w:w w:val="100"/>
                <w:position w:val="0"/>
                <w:sz w:val="18"/>
                <w:szCs w:val="18"/>
              </w:rPr>
              <w:t>145,591,819.22</w:t>
            </w:r>
          </w:p>
        </w:tc>
      </w:tr>
      <w:tr>
        <w:trPr>
          <w:trHeight w:val="1027"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以公允价值计量且其变 动计入当期损益的金融 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rPr>
                <w:sz w:val="18"/>
                <w:szCs w:val="18"/>
              </w:rPr>
            </w:pPr>
            <w:r>
              <w:rPr>
                <w:rFonts w:ascii="Times New Roman" w:eastAsia="Times New Roman" w:hAnsi="Times New Roman" w:cs="Times New Roman"/>
                <w:color w:val="000000"/>
                <w:spacing w:val="0"/>
                <w:w w:val="100"/>
                <w:position w:val="0"/>
                <w:sz w:val="18"/>
                <w:szCs w:val="18"/>
              </w:rPr>
              <w:t>145,591,819.22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both"/>
              <w:rPr>
                <w:sz w:val="18"/>
                <w:szCs w:val="18"/>
              </w:rPr>
            </w:pPr>
            <w:r>
              <w:rPr>
                <w:rFonts w:ascii="Times New Roman" w:eastAsia="Times New Roman" w:hAnsi="Times New Roman" w:cs="Times New Roman"/>
                <w:color w:val="000000"/>
                <w:spacing w:val="0"/>
                <w:w w:val="100"/>
                <w:position w:val="0"/>
                <w:sz w:val="18"/>
                <w:szCs w:val="18"/>
              </w:rPr>
              <w:t>145,591,819.22</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）债务工具投资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rPr>
                <w:sz w:val="18"/>
                <w:szCs w:val="18"/>
              </w:rPr>
            </w:pPr>
            <w:r>
              <w:rPr>
                <w:rFonts w:ascii="Times New Roman" w:eastAsia="Times New Roman" w:hAnsi="Times New Roman" w:cs="Times New Roman"/>
                <w:color w:val="000000"/>
                <w:spacing w:val="0"/>
                <w:w w:val="100"/>
                <w:position w:val="0"/>
                <w:sz w:val="18"/>
                <w:szCs w:val="18"/>
              </w:rPr>
              <w:t>145,591,819.22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both"/>
              <w:rPr>
                <w:sz w:val="18"/>
                <w:szCs w:val="18"/>
              </w:rPr>
            </w:pPr>
            <w:r>
              <w:rPr>
                <w:rFonts w:ascii="Times New Roman" w:eastAsia="Times New Roman" w:hAnsi="Times New Roman" w:cs="Times New Roman"/>
                <w:color w:val="000000"/>
                <w:spacing w:val="0"/>
                <w:w w:val="100"/>
                <w:position w:val="0"/>
                <w:sz w:val="18"/>
                <w:szCs w:val="18"/>
              </w:rPr>
              <w:t>145,591,819.22</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（二）应收款项融资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9,157,699.17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9,157,699.17</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（三）其他权益工具投资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16,538,743.49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16,538,743.49</w:t>
            </w: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60" w:lineRule="exact"/>
              <w:ind w:left="0" w:right="0" w:firstLine="0"/>
              <w:jc w:val="left"/>
            </w:pPr>
            <w:r>
              <w:rPr>
                <w:color w:val="000000"/>
                <w:spacing w:val="0"/>
                <w:w w:val="100"/>
                <w:position w:val="0"/>
              </w:rPr>
              <w:t>（四）其他非流动金融资 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rPr>
                <w:sz w:val="18"/>
                <w:szCs w:val="18"/>
              </w:rPr>
            </w:pPr>
            <w:r>
              <w:rPr>
                <w:rFonts w:ascii="Times New Roman" w:eastAsia="Times New Roman" w:hAnsi="Times New Roman" w:cs="Times New Roman"/>
                <w:color w:val="000000"/>
                <w:spacing w:val="0"/>
                <w:w w:val="100"/>
                <w:position w:val="0"/>
                <w:sz w:val="18"/>
                <w:szCs w:val="18"/>
              </w:rPr>
              <w:t>177,727,023.21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both"/>
              <w:rPr>
                <w:sz w:val="18"/>
                <w:szCs w:val="18"/>
              </w:rPr>
            </w:pPr>
            <w:r>
              <w:rPr>
                <w:rFonts w:ascii="Times New Roman" w:eastAsia="Times New Roman" w:hAnsi="Times New Roman" w:cs="Times New Roman"/>
                <w:color w:val="000000"/>
                <w:spacing w:val="0"/>
                <w:w w:val="100"/>
                <w:position w:val="0"/>
                <w:sz w:val="18"/>
                <w:szCs w:val="18"/>
              </w:rPr>
              <w:t>177,727,023.21</w:t>
            </w:r>
          </w:p>
        </w:tc>
      </w:tr>
      <w:tr>
        <w:trPr>
          <w:trHeight w:val="1027"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firstLine="820"/>
              <w:jc w:val="left"/>
            </w:pPr>
            <w:r>
              <w:rPr>
                <w:color w:val="000000"/>
                <w:spacing w:val="0"/>
                <w:w w:val="100"/>
                <w:position w:val="0"/>
              </w:rPr>
              <w:t>以公允价值计</w:t>
            </w:r>
          </w:p>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量且其变动计入当期损 益的金融资产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rPr>
                <w:sz w:val="18"/>
                <w:szCs w:val="18"/>
              </w:rPr>
            </w:pPr>
            <w:r>
              <w:rPr>
                <w:rFonts w:ascii="Times New Roman" w:eastAsia="Times New Roman" w:hAnsi="Times New Roman" w:cs="Times New Roman"/>
                <w:color w:val="000000"/>
                <w:spacing w:val="0"/>
                <w:w w:val="100"/>
                <w:position w:val="0"/>
                <w:sz w:val="18"/>
                <w:szCs w:val="18"/>
              </w:rPr>
              <w:t>177,727,023.21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both"/>
              <w:rPr>
                <w:sz w:val="18"/>
                <w:szCs w:val="18"/>
              </w:rPr>
            </w:pPr>
            <w:r>
              <w:rPr>
                <w:rFonts w:ascii="Times New Roman" w:eastAsia="Times New Roman" w:hAnsi="Times New Roman" w:cs="Times New Roman"/>
                <w:color w:val="000000"/>
                <w:spacing w:val="0"/>
                <w:w w:val="100"/>
                <w:position w:val="0"/>
                <w:sz w:val="18"/>
                <w:szCs w:val="18"/>
              </w:rPr>
              <w:t>177,727,023.21</w:t>
            </w: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120" w:line="240" w:lineRule="auto"/>
              <w:ind w:left="0" w:right="0" w:firstLine="0"/>
              <w:jc w:val="right"/>
            </w:pPr>
            <w:r>
              <w:rPr>
                <w:color w:val="000000"/>
                <w:spacing w:val="0"/>
                <w:w w:val="100"/>
                <w:position w:val="0"/>
              </w:rPr>
              <w:t>权益工</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具投资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rPr>
                <w:sz w:val="18"/>
                <w:szCs w:val="18"/>
              </w:rPr>
            </w:pPr>
            <w:r>
              <w:rPr>
                <w:rFonts w:ascii="Times New Roman" w:eastAsia="Times New Roman" w:hAnsi="Times New Roman" w:cs="Times New Roman"/>
                <w:color w:val="000000"/>
                <w:spacing w:val="0"/>
                <w:w w:val="100"/>
                <w:position w:val="0"/>
                <w:sz w:val="18"/>
                <w:szCs w:val="18"/>
              </w:rPr>
              <w:t>177,727,023.21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both"/>
              <w:rPr>
                <w:sz w:val="18"/>
                <w:szCs w:val="18"/>
              </w:rPr>
            </w:pPr>
            <w:r>
              <w:rPr>
                <w:rFonts w:ascii="Times New Roman" w:eastAsia="Times New Roman" w:hAnsi="Times New Roman" w:cs="Times New Roman"/>
                <w:color w:val="000000"/>
                <w:spacing w:val="0"/>
                <w:w w:val="100"/>
                <w:position w:val="0"/>
                <w:sz w:val="18"/>
                <w:szCs w:val="18"/>
              </w:rPr>
              <w:t>177,727,023.21</w:t>
            </w:r>
          </w:p>
        </w:tc>
      </w:tr>
      <w:tr>
        <w:trPr>
          <w:trHeight w:val="710"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持续以公允价值计量的 资产总额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rPr>
                <w:sz w:val="18"/>
                <w:szCs w:val="18"/>
              </w:rPr>
            </w:pPr>
            <w:r>
              <w:rPr>
                <w:rFonts w:ascii="Times New Roman" w:eastAsia="Times New Roman" w:hAnsi="Times New Roman" w:cs="Times New Roman"/>
                <w:color w:val="000000"/>
                <w:spacing w:val="0"/>
                <w:w w:val="100"/>
                <w:position w:val="0"/>
                <w:sz w:val="18"/>
                <w:szCs w:val="18"/>
              </w:rPr>
              <w:t>154,749,518.39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rPr>
                <w:sz w:val="18"/>
                <w:szCs w:val="18"/>
              </w:rPr>
            </w:pPr>
            <w:r>
              <w:rPr>
                <w:rFonts w:ascii="Times New Roman" w:eastAsia="Times New Roman" w:hAnsi="Times New Roman" w:cs="Times New Roman"/>
                <w:color w:val="000000"/>
                <w:spacing w:val="0"/>
                <w:w w:val="100"/>
                <w:position w:val="0"/>
                <w:sz w:val="18"/>
                <w:szCs w:val="18"/>
              </w:rPr>
              <w:t>194,265,766.70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both"/>
              <w:rPr>
                <w:sz w:val="18"/>
                <w:szCs w:val="18"/>
              </w:rPr>
            </w:pPr>
            <w:r>
              <w:rPr>
                <w:rFonts w:ascii="Times New Roman" w:eastAsia="Times New Roman" w:hAnsi="Times New Roman" w:cs="Times New Roman"/>
                <w:color w:val="000000"/>
                <w:spacing w:val="0"/>
                <w:w w:val="100"/>
                <w:position w:val="0"/>
                <w:sz w:val="18"/>
                <w:szCs w:val="18"/>
              </w:rPr>
              <w:t>349,015,285.09</w:t>
            </w:r>
          </w:p>
        </w:tc>
      </w:tr>
      <w:tr>
        <w:trPr>
          <w:trHeight w:val="725"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346" w:lineRule="exact"/>
              <w:ind w:left="0" w:right="0" w:firstLine="0"/>
              <w:jc w:val="left"/>
            </w:pPr>
            <w:r>
              <w:rPr>
                <w:color w:val="000000"/>
                <w:spacing w:val="0"/>
                <w:w w:val="100"/>
                <w:position w:val="0"/>
              </w:rPr>
              <w:t>二、非持续的公允价值计 量</w:t>
            </w:r>
          </w:p>
        </w:tc>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900"/>
              <w:jc w:val="left"/>
              <w:rPr>
                <w:sz w:val="18"/>
                <w:szCs w:val="18"/>
              </w:rPr>
            </w:pPr>
            <w:r>
              <w:rPr>
                <w:rFonts w:ascii="Times New Roman" w:eastAsia="Times New Roman" w:hAnsi="Times New Roman" w:cs="Times New Roman"/>
                <w:color w:val="000000"/>
                <w:spacing w:val="0"/>
                <w:w w:val="100"/>
                <w:position w:val="0"/>
                <w:sz w:val="18"/>
                <w:szCs w:val="18"/>
              </w:rPr>
              <w:t>--</w:t>
            </w:r>
          </w:p>
        </w:tc>
      </w:tr>
    </w:tbl>
    <w:p>
      <w:pPr>
        <w:pStyle w:val="Style47"/>
        <w:keepNext/>
        <w:keepLines/>
        <w:widowControl w:val="0"/>
        <w:shd w:val="clear" w:color="auto" w:fill="auto"/>
        <w:tabs>
          <w:tab w:pos="378" w:val="left"/>
        </w:tabs>
        <w:bidi w:val="0"/>
        <w:spacing w:before="0" w:after="400" w:line="240" w:lineRule="auto"/>
        <w:ind w:left="0" w:right="0" w:firstLine="0"/>
        <w:jc w:val="both"/>
      </w:pPr>
      <w:bookmarkStart w:id="1979" w:name="bookmark1979"/>
      <w:bookmarkStart w:id="1980" w:name="bookmark1980"/>
      <w:bookmarkStart w:id="1981" w:name="bookmark1981"/>
      <w:bookmarkStart w:id="1982" w:name="bookmark1982"/>
      <w:r>
        <w:rPr>
          <w:color w:val="000000"/>
          <w:spacing w:val="0"/>
          <w:w w:val="100"/>
          <w:position w:val="0"/>
        </w:rPr>
        <w:t>2</w:t>
      </w:r>
      <w:bookmarkEnd w:id="1981"/>
      <w:r>
        <w:rPr>
          <w:color w:val="000000"/>
          <w:spacing w:val="0"/>
          <w:w w:val="100"/>
          <w:position w:val="0"/>
        </w:rPr>
        <w:t>、</w:t>
        <w:tab/>
        <w:t>持续和非持续第一层次公允价值计量项目市价的确定依据</w:t>
      </w:r>
      <w:bookmarkEnd w:id="1979"/>
      <w:bookmarkEnd w:id="1980"/>
      <w:bookmarkEnd w:id="1982"/>
    </w:p>
    <w:p>
      <w:pPr>
        <w:pStyle w:val="Style41"/>
        <w:keepNext w:val="0"/>
        <w:keepLines w:val="0"/>
        <w:widowControl w:val="0"/>
        <w:shd w:val="clear" w:color="auto" w:fill="auto"/>
        <w:bidi w:val="0"/>
        <w:spacing w:before="0" w:after="400" w:line="466" w:lineRule="exact"/>
        <w:ind w:left="0" w:right="0"/>
        <w:jc w:val="both"/>
      </w:pPr>
      <w:r>
        <w:rPr>
          <w:color w:val="000000"/>
          <w:spacing w:val="0"/>
          <w:w w:val="100"/>
          <w:position w:val="0"/>
        </w:rPr>
        <w:t>无。</w:t>
      </w:r>
    </w:p>
    <w:p>
      <w:pPr>
        <w:pStyle w:val="Style47"/>
        <w:keepNext/>
        <w:keepLines/>
        <w:widowControl w:val="0"/>
        <w:shd w:val="clear" w:color="auto" w:fill="auto"/>
        <w:tabs>
          <w:tab w:pos="378" w:val="left"/>
        </w:tabs>
        <w:bidi w:val="0"/>
        <w:spacing w:before="0" w:after="200" w:line="240" w:lineRule="auto"/>
        <w:ind w:left="0" w:right="0" w:firstLine="0"/>
        <w:jc w:val="both"/>
      </w:pPr>
      <w:bookmarkStart w:id="1983" w:name="bookmark1983"/>
      <w:bookmarkStart w:id="1984" w:name="bookmark1984"/>
      <w:bookmarkStart w:id="1985" w:name="bookmark1985"/>
      <w:bookmarkStart w:id="1986" w:name="bookmark1986"/>
      <w:r>
        <w:rPr>
          <w:color w:val="000000"/>
          <w:spacing w:val="0"/>
          <w:w w:val="100"/>
          <w:position w:val="0"/>
        </w:rPr>
        <w:t>3</w:t>
      </w:r>
      <w:bookmarkEnd w:id="1985"/>
      <w:r>
        <w:rPr>
          <w:color w:val="000000"/>
          <w:spacing w:val="0"/>
          <w:w w:val="100"/>
          <w:position w:val="0"/>
        </w:rPr>
        <w:t>、</w:t>
        <w:tab/>
        <w:t>持续和非持续第二层次公允价值计量项目，采用的估值技术和重要参数的定性及定量信息</w:t>
      </w:r>
      <w:bookmarkEnd w:id="1983"/>
      <w:bookmarkEnd w:id="1984"/>
      <w:bookmarkEnd w:id="1986"/>
    </w:p>
    <w:p>
      <w:pPr>
        <w:pStyle w:val="Style41"/>
        <w:keepNext w:val="0"/>
        <w:keepLines w:val="0"/>
        <w:widowControl w:val="0"/>
        <w:shd w:val="clear" w:color="auto" w:fill="auto"/>
        <w:bidi w:val="0"/>
        <w:spacing w:before="0" w:after="400" w:line="475" w:lineRule="exact"/>
        <w:ind w:left="0" w:right="0"/>
        <w:jc w:val="both"/>
      </w:pPr>
      <w:r>
        <w:rPr>
          <w:color w:val="000000"/>
          <w:spacing w:val="0"/>
          <w:w w:val="100"/>
          <w:position w:val="0"/>
        </w:rPr>
        <w:t>本公司第二层次公允价值计量项目为购买的银行理财、以及通过证券公司购买的基金等产品，期末金额按照其公开信息 中的净值列示。</w:t>
      </w:r>
    </w:p>
    <w:p>
      <w:pPr>
        <w:pStyle w:val="Style47"/>
        <w:keepNext/>
        <w:keepLines/>
        <w:widowControl w:val="0"/>
        <w:shd w:val="clear" w:color="auto" w:fill="auto"/>
        <w:tabs>
          <w:tab w:pos="378" w:val="left"/>
        </w:tabs>
        <w:bidi w:val="0"/>
        <w:spacing w:before="0" w:after="200" w:line="240" w:lineRule="auto"/>
        <w:ind w:left="0" w:right="0" w:firstLine="0"/>
        <w:jc w:val="both"/>
      </w:pPr>
      <w:bookmarkStart w:id="1987" w:name="bookmark1987"/>
      <w:bookmarkStart w:id="1988" w:name="bookmark1988"/>
      <w:bookmarkStart w:id="1989" w:name="bookmark1989"/>
      <w:bookmarkStart w:id="1990" w:name="bookmark1990"/>
      <w:r>
        <w:rPr>
          <w:color w:val="000000"/>
          <w:spacing w:val="0"/>
          <w:w w:val="100"/>
          <w:position w:val="0"/>
        </w:rPr>
        <w:t>4</w:t>
      </w:r>
      <w:bookmarkEnd w:id="1989"/>
      <w:r>
        <w:rPr>
          <w:color w:val="000000"/>
          <w:spacing w:val="0"/>
          <w:w w:val="100"/>
          <w:position w:val="0"/>
        </w:rPr>
        <w:t>、</w:t>
        <w:tab/>
        <w:t>持续和非持续第三层次公允价值计量项目，采用的估值技术和重要参数的定性及定量信息</w:t>
      </w:r>
      <w:bookmarkEnd w:id="1987"/>
      <w:bookmarkEnd w:id="1988"/>
      <w:bookmarkEnd w:id="1990"/>
    </w:p>
    <w:p>
      <w:pPr>
        <w:pStyle w:val="Style41"/>
        <w:keepNext w:val="0"/>
        <w:keepLines w:val="0"/>
        <w:widowControl w:val="0"/>
        <w:shd w:val="clear" w:color="auto" w:fill="auto"/>
        <w:bidi w:val="0"/>
        <w:spacing w:before="0" w:after="0" w:line="466" w:lineRule="exact"/>
        <w:ind w:left="0" w:right="0"/>
        <w:jc w:val="both"/>
      </w:pPr>
      <w:r>
        <w:rPr>
          <w:color w:val="000000"/>
          <w:spacing w:val="0"/>
          <w:w w:val="100"/>
          <w:position w:val="0"/>
        </w:rPr>
        <w:t>本公司第三层次公允价值计量项目包括：</w:t>
      </w:r>
    </w:p>
    <w:p>
      <w:pPr>
        <w:pStyle w:val="Style41"/>
        <w:keepNext w:val="0"/>
        <w:keepLines w:val="0"/>
        <w:widowControl w:val="0"/>
        <w:shd w:val="clear" w:color="auto" w:fill="auto"/>
        <w:bidi w:val="0"/>
        <w:spacing w:before="0" w:after="0" w:line="466" w:lineRule="exact"/>
        <w:ind w:left="0" w:right="0"/>
        <w:jc w:val="both"/>
      </w:pPr>
      <w:r>
        <w:rPr>
          <w:color w:val="000000"/>
          <w:spacing w:val="0"/>
          <w:w w:val="100"/>
          <w:position w:val="0"/>
        </w:rPr>
        <w:t>（</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）其他权益工具投资，系公司持有无控制、共同控制和重大影响的</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三无</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股权投资，包括如下情况：</w:t>
      </w:r>
    </w:p>
    <w:p>
      <w:pPr>
        <w:pStyle w:val="Style41"/>
        <w:keepNext w:val="0"/>
        <w:keepLines w:val="0"/>
        <w:widowControl w:val="0"/>
        <w:shd w:val="clear" w:color="auto" w:fill="auto"/>
        <w:tabs>
          <w:tab w:pos="896" w:val="left"/>
        </w:tabs>
        <w:bidi w:val="0"/>
        <w:spacing w:before="0" w:after="0" w:line="466" w:lineRule="exact"/>
        <w:ind w:left="0" w:right="0" w:firstLine="560"/>
        <w:jc w:val="both"/>
      </w:pPr>
      <w:bookmarkStart w:id="1991" w:name="bookmark1991"/>
      <w:r>
        <w:rPr>
          <w:rFonts w:ascii="Times New Roman" w:eastAsia="Times New Roman" w:hAnsi="Times New Roman" w:cs="Times New Roman"/>
          <w:color w:val="000000"/>
          <w:spacing w:val="0"/>
          <w:w w:val="100"/>
          <w:position w:val="0"/>
          <w:sz w:val="18"/>
          <w:szCs w:val="18"/>
        </w:rPr>
        <w:t>1</w:t>
      </w:r>
      <w:bookmarkEnd w:id="1991"/>
      <w:r>
        <w:rPr>
          <w:color w:val="000000"/>
          <w:spacing w:val="0"/>
          <w:w w:val="100"/>
          <w:position w:val="0"/>
        </w:rPr>
        <w:t>）</w:t>
        <w:tab/>
        <w:t>由于被投资单位经营环境和经营情况、财务状况等未发生重大变化，所以公司按投资成本作为公允价值的合理估 计进行计量；</w:t>
      </w:r>
    </w:p>
    <w:p>
      <w:pPr>
        <w:pStyle w:val="Style41"/>
        <w:keepNext w:val="0"/>
        <w:keepLines w:val="0"/>
        <w:widowControl w:val="0"/>
        <w:shd w:val="clear" w:color="auto" w:fill="auto"/>
        <w:tabs>
          <w:tab w:pos="928" w:val="left"/>
        </w:tabs>
        <w:bidi w:val="0"/>
        <w:spacing w:before="0" w:after="0" w:line="466" w:lineRule="exact"/>
        <w:ind w:left="0" w:right="0" w:firstLine="560"/>
        <w:jc w:val="left"/>
      </w:pPr>
      <w:bookmarkStart w:id="1992" w:name="bookmark1992"/>
      <w:r>
        <w:rPr>
          <w:rFonts w:ascii="Times New Roman" w:eastAsia="Times New Roman" w:hAnsi="Times New Roman" w:cs="Times New Roman"/>
          <w:color w:val="000000"/>
          <w:spacing w:val="0"/>
          <w:w w:val="100"/>
          <w:position w:val="0"/>
          <w:sz w:val="18"/>
          <w:szCs w:val="18"/>
        </w:rPr>
        <w:t>2</w:t>
      </w:r>
      <w:bookmarkEnd w:id="1992"/>
      <w:r>
        <w:rPr>
          <w:color w:val="000000"/>
          <w:spacing w:val="0"/>
          <w:w w:val="100"/>
          <w:position w:val="0"/>
        </w:rPr>
        <w:t>）</w:t>
        <w:tab/>
        <w:t>因被投资企业经营环境和经营情况、财务状况恶化，所以公司以零元作为公允价值的合理估计进行计量；</w:t>
      </w:r>
    </w:p>
    <w:p>
      <w:pPr>
        <w:pStyle w:val="Style41"/>
        <w:keepNext w:val="0"/>
        <w:keepLines w:val="0"/>
        <w:widowControl w:val="0"/>
        <w:shd w:val="clear" w:color="auto" w:fill="auto"/>
        <w:tabs>
          <w:tab w:pos="906" w:val="left"/>
        </w:tabs>
        <w:bidi w:val="0"/>
        <w:spacing w:before="0" w:after="480" w:line="466" w:lineRule="exact"/>
        <w:ind w:left="0" w:right="0" w:firstLine="560"/>
        <w:jc w:val="both"/>
      </w:pPr>
      <w:bookmarkStart w:id="1993" w:name="bookmark1993"/>
      <w:r>
        <w:rPr>
          <w:rFonts w:ascii="Times New Roman" w:eastAsia="Times New Roman" w:hAnsi="Times New Roman" w:cs="Times New Roman"/>
          <w:color w:val="000000"/>
          <w:spacing w:val="0"/>
          <w:w w:val="100"/>
          <w:position w:val="0"/>
          <w:sz w:val="18"/>
          <w:szCs w:val="18"/>
        </w:rPr>
        <w:t>3</w:t>
      </w:r>
      <w:bookmarkEnd w:id="1993"/>
      <w:r>
        <w:rPr>
          <w:color w:val="000000"/>
          <w:spacing w:val="0"/>
          <w:w w:val="100"/>
          <w:position w:val="0"/>
        </w:rPr>
        <w:t>）</w:t>
        <w:tab/>
        <w:t>被投资企业经营环境和经营情况、财务状况有显著改善，且存在可比上市公司，可以充分可靠的获取可比公司的 经营和财务数据，因此采取市场法并将可比公司的</w:t>
      </w:r>
      <w:r>
        <w:rPr>
          <w:rFonts w:ascii="Times New Roman" w:eastAsia="Times New Roman" w:hAnsi="Times New Roman" w:cs="Times New Roman"/>
          <w:color w:val="000000"/>
          <w:spacing w:val="0"/>
          <w:w w:val="100"/>
          <w:position w:val="0"/>
          <w:sz w:val="18"/>
          <w:szCs w:val="18"/>
        </w:rPr>
        <w:t>PB</w:t>
      </w:r>
      <w:r>
        <w:rPr>
          <w:color w:val="000000"/>
          <w:spacing w:val="0"/>
          <w:w w:val="100"/>
          <w:position w:val="0"/>
        </w:rPr>
        <w:t>取平均值并考虑流动性折扣，对被投资企业股权公允价值进行计量。</w:t>
      </w:r>
    </w:p>
    <w:p>
      <w:pPr>
        <w:pStyle w:val="Style47"/>
        <w:keepNext/>
        <w:keepLines/>
        <w:widowControl w:val="0"/>
        <w:shd w:val="clear" w:color="auto" w:fill="auto"/>
        <w:tabs>
          <w:tab w:pos="378" w:val="left"/>
        </w:tabs>
        <w:bidi w:val="0"/>
        <w:spacing w:before="0" w:after="400" w:line="240" w:lineRule="auto"/>
        <w:ind w:left="0" w:right="0" w:firstLine="0"/>
        <w:jc w:val="both"/>
      </w:pPr>
      <w:bookmarkStart w:id="1994" w:name="bookmark1994"/>
      <w:bookmarkStart w:id="1995" w:name="bookmark1995"/>
      <w:bookmarkStart w:id="1996" w:name="bookmark1996"/>
      <w:bookmarkStart w:id="1997" w:name="bookmark1997"/>
      <w:r>
        <w:rPr>
          <w:color w:val="000000"/>
          <w:spacing w:val="0"/>
          <w:w w:val="100"/>
          <w:position w:val="0"/>
        </w:rPr>
        <w:t>5</w:t>
      </w:r>
      <w:bookmarkEnd w:id="1996"/>
      <w:r>
        <w:rPr>
          <w:color w:val="000000"/>
          <w:spacing w:val="0"/>
          <w:w w:val="100"/>
          <w:position w:val="0"/>
        </w:rPr>
        <w:t>、</w:t>
        <w:tab/>
        <w:t>持续的第三层次公允价值计量项目，期初与期末账面价值间的调节信息及不可观察参数敏感性分析</w:t>
      </w:r>
      <w:bookmarkEnd w:id="1994"/>
      <w:bookmarkEnd w:id="1995"/>
      <w:bookmarkEnd w:id="1997"/>
    </w:p>
    <w:p>
      <w:pPr>
        <w:pStyle w:val="Style41"/>
        <w:keepNext w:val="0"/>
        <w:keepLines w:val="0"/>
        <w:widowControl w:val="0"/>
        <w:shd w:val="clear" w:color="auto" w:fill="auto"/>
        <w:bidi w:val="0"/>
        <w:spacing w:before="0" w:after="400" w:line="466" w:lineRule="exact"/>
        <w:ind w:left="0" w:right="0"/>
        <w:jc w:val="both"/>
      </w:pPr>
      <w:r>
        <w:rPr>
          <w:color w:val="000000"/>
          <w:spacing w:val="0"/>
          <w:w w:val="100"/>
          <w:position w:val="0"/>
        </w:rPr>
        <w:t>无。</w:t>
      </w:r>
    </w:p>
    <w:p>
      <w:pPr>
        <w:pStyle w:val="Style47"/>
        <w:keepNext/>
        <w:keepLines/>
        <w:widowControl w:val="0"/>
        <w:shd w:val="clear" w:color="auto" w:fill="auto"/>
        <w:tabs>
          <w:tab w:pos="378" w:val="left"/>
        </w:tabs>
        <w:bidi w:val="0"/>
        <w:spacing w:before="0" w:after="400" w:line="240" w:lineRule="auto"/>
        <w:ind w:left="0" w:right="0" w:firstLine="0"/>
        <w:jc w:val="both"/>
      </w:pPr>
      <w:bookmarkStart w:id="1998" w:name="bookmark1998"/>
      <w:bookmarkStart w:id="1999" w:name="bookmark1999"/>
      <w:bookmarkStart w:id="2000" w:name="bookmark2000"/>
      <w:bookmarkStart w:id="2001" w:name="bookmark2001"/>
      <w:r>
        <w:rPr>
          <w:color w:val="000000"/>
          <w:spacing w:val="0"/>
          <w:w w:val="100"/>
          <w:position w:val="0"/>
        </w:rPr>
        <w:t>6</w:t>
      </w:r>
      <w:bookmarkEnd w:id="2000"/>
      <w:r>
        <w:rPr>
          <w:color w:val="000000"/>
          <w:spacing w:val="0"/>
          <w:w w:val="100"/>
          <w:position w:val="0"/>
        </w:rPr>
        <w:t>、</w:t>
        <w:tab/>
        <w:t>持续的公允价值计量项目，本期内发生各层级之间转换的，转换的原因及确定转换时点的政策</w:t>
      </w:r>
      <w:bookmarkEnd w:id="1998"/>
      <w:bookmarkEnd w:id="1999"/>
      <w:bookmarkEnd w:id="2001"/>
    </w:p>
    <w:p>
      <w:pPr>
        <w:pStyle w:val="Style41"/>
        <w:keepNext w:val="0"/>
        <w:keepLines w:val="0"/>
        <w:widowControl w:val="0"/>
        <w:shd w:val="clear" w:color="auto" w:fill="auto"/>
        <w:bidi w:val="0"/>
        <w:spacing w:before="0" w:after="400" w:line="466" w:lineRule="exact"/>
        <w:ind w:left="0" w:right="0"/>
        <w:jc w:val="both"/>
      </w:pPr>
      <w:r>
        <w:rPr>
          <w:color w:val="000000"/>
          <w:spacing w:val="0"/>
          <w:w w:val="100"/>
          <w:position w:val="0"/>
        </w:rPr>
        <w:t>无。</w:t>
      </w:r>
    </w:p>
    <w:p>
      <w:pPr>
        <w:pStyle w:val="Style47"/>
        <w:keepNext/>
        <w:keepLines/>
        <w:widowControl w:val="0"/>
        <w:shd w:val="clear" w:color="auto" w:fill="auto"/>
        <w:tabs>
          <w:tab w:pos="378" w:val="left"/>
        </w:tabs>
        <w:bidi w:val="0"/>
        <w:spacing w:before="0" w:after="400" w:line="240" w:lineRule="auto"/>
        <w:ind w:left="0" w:right="0" w:firstLine="0"/>
        <w:jc w:val="left"/>
      </w:pPr>
      <w:bookmarkStart w:id="2002" w:name="bookmark2002"/>
      <w:bookmarkStart w:id="2003" w:name="bookmark2003"/>
      <w:bookmarkStart w:id="2004" w:name="bookmark2004"/>
      <w:bookmarkStart w:id="2005" w:name="bookmark2005"/>
      <w:r>
        <w:rPr>
          <w:color w:val="000000"/>
          <w:spacing w:val="0"/>
          <w:w w:val="100"/>
          <w:position w:val="0"/>
        </w:rPr>
        <w:t>7</w:t>
      </w:r>
      <w:bookmarkEnd w:id="2004"/>
      <w:r>
        <w:rPr>
          <w:color w:val="000000"/>
          <w:spacing w:val="0"/>
          <w:w w:val="100"/>
          <w:position w:val="0"/>
        </w:rPr>
        <w:t>、</w:t>
        <w:tab/>
        <w:t>本期内发生的估值技术变更及变更原因</w:t>
      </w:r>
      <w:bookmarkEnd w:id="2002"/>
      <w:bookmarkEnd w:id="2003"/>
      <w:bookmarkEnd w:id="2005"/>
    </w:p>
    <w:p>
      <w:pPr>
        <w:pStyle w:val="Style41"/>
        <w:keepNext w:val="0"/>
        <w:keepLines w:val="0"/>
        <w:widowControl w:val="0"/>
        <w:shd w:val="clear" w:color="auto" w:fill="auto"/>
        <w:bidi w:val="0"/>
        <w:spacing w:before="0" w:after="400" w:line="466" w:lineRule="exact"/>
        <w:ind w:left="0" w:right="0"/>
        <w:jc w:val="both"/>
      </w:pPr>
      <w:r>
        <w:rPr>
          <w:color w:val="000000"/>
          <w:spacing w:val="0"/>
          <w:w w:val="100"/>
          <w:position w:val="0"/>
        </w:rPr>
        <w:t>无。</w:t>
      </w:r>
    </w:p>
    <w:p>
      <w:pPr>
        <w:pStyle w:val="Style47"/>
        <w:keepNext/>
        <w:keepLines/>
        <w:widowControl w:val="0"/>
        <w:shd w:val="clear" w:color="auto" w:fill="auto"/>
        <w:tabs>
          <w:tab w:pos="378" w:val="left"/>
        </w:tabs>
        <w:bidi w:val="0"/>
        <w:spacing w:before="0" w:after="400" w:line="240" w:lineRule="auto"/>
        <w:ind w:left="0" w:right="0" w:firstLine="0"/>
        <w:jc w:val="both"/>
      </w:pPr>
      <w:bookmarkStart w:id="2006" w:name="bookmark2006"/>
      <w:bookmarkStart w:id="2007" w:name="bookmark2007"/>
      <w:bookmarkStart w:id="2008" w:name="bookmark2008"/>
      <w:bookmarkStart w:id="2009" w:name="bookmark2009"/>
      <w:r>
        <w:rPr>
          <w:color w:val="000000"/>
          <w:spacing w:val="0"/>
          <w:w w:val="100"/>
          <w:position w:val="0"/>
        </w:rPr>
        <w:t>8</w:t>
      </w:r>
      <w:bookmarkEnd w:id="2008"/>
      <w:r>
        <w:rPr>
          <w:color w:val="000000"/>
          <w:spacing w:val="0"/>
          <w:w w:val="100"/>
          <w:position w:val="0"/>
        </w:rPr>
        <w:t>、</w:t>
        <w:tab/>
        <w:t>不以公允价值计量的金融资产和金融负债的公允价值情况</w:t>
      </w:r>
      <w:bookmarkEnd w:id="2006"/>
      <w:bookmarkEnd w:id="2007"/>
      <w:bookmarkEnd w:id="2009"/>
    </w:p>
    <w:p>
      <w:pPr>
        <w:pStyle w:val="Style41"/>
        <w:keepNext w:val="0"/>
        <w:keepLines w:val="0"/>
        <w:widowControl w:val="0"/>
        <w:shd w:val="clear" w:color="auto" w:fill="auto"/>
        <w:bidi w:val="0"/>
        <w:spacing w:before="0" w:after="400" w:line="466" w:lineRule="exact"/>
        <w:ind w:left="0" w:right="0"/>
        <w:jc w:val="both"/>
      </w:pPr>
      <w:r>
        <w:rPr>
          <w:color w:val="000000"/>
          <w:spacing w:val="0"/>
          <w:w w:val="100"/>
          <w:position w:val="0"/>
        </w:rPr>
        <w:t>无。</w:t>
      </w:r>
    </w:p>
    <w:p>
      <w:pPr>
        <w:pStyle w:val="Style47"/>
        <w:keepNext/>
        <w:keepLines/>
        <w:widowControl w:val="0"/>
        <w:shd w:val="clear" w:color="auto" w:fill="auto"/>
        <w:tabs>
          <w:tab w:pos="378" w:val="left"/>
        </w:tabs>
        <w:bidi w:val="0"/>
        <w:spacing w:before="0" w:after="400" w:line="240" w:lineRule="auto"/>
        <w:ind w:left="0" w:right="0" w:firstLine="0"/>
        <w:jc w:val="both"/>
      </w:pPr>
      <w:bookmarkStart w:id="2010" w:name="bookmark2010"/>
      <w:bookmarkStart w:id="2011" w:name="bookmark2011"/>
      <w:bookmarkStart w:id="2012" w:name="bookmark2012"/>
      <w:bookmarkStart w:id="2013" w:name="bookmark2013"/>
      <w:r>
        <w:rPr>
          <w:color w:val="000000"/>
          <w:spacing w:val="0"/>
          <w:w w:val="100"/>
          <w:position w:val="0"/>
        </w:rPr>
        <w:t>9</w:t>
      </w:r>
      <w:bookmarkEnd w:id="2012"/>
      <w:r>
        <w:rPr>
          <w:color w:val="000000"/>
          <w:spacing w:val="0"/>
          <w:w w:val="100"/>
          <w:position w:val="0"/>
        </w:rPr>
        <w:t>、</w:t>
        <w:tab/>
        <w:t>其他</w:t>
      </w:r>
      <w:bookmarkEnd w:id="2010"/>
      <w:bookmarkEnd w:id="2011"/>
      <w:bookmarkEnd w:id="2013"/>
    </w:p>
    <w:p>
      <w:pPr>
        <w:pStyle w:val="Style41"/>
        <w:keepNext w:val="0"/>
        <w:keepLines w:val="0"/>
        <w:widowControl w:val="0"/>
        <w:shd w:val="clear" w:color="auto" w:fill="auto"/>
        <w:bidi w:val="0"/>
        <w:spacing w:before="0" w:after="400" w:line="466" w:lineRule="exact"/>
        <w:ind w:left="0" w:right="0"/>
        <w:jc w:val="both"/>
      </w:pPr>
      <w:r>
        <w:rPr>
          <w:color w:val="000000"/>
          <w:spacing w:val="0"/>
          <w:w w:val="100"/>
          <w:position w:val="0"/>
        </w:rPr>
        <w:t>无。</w:t>
      </w:r>
      <w:r>
        <w:br w:type="page"/>
      </w:r>
    </w:p>
    <w:p>
      <w:pPr>
        <w:pStyle w:val="Style39"/>
        <w:keepNext/>
        <w:keepLines/>
        <w:widowControl w:val="0"/>
        <w:shd w:val="clear" w:color="auto" w:fill="auto"/>
        <w:bidi w:val="0"/>
        <w:spacing w:before="0" w:after="360" w:line="240" w:lineRule="auto"/>
        <w:ind w:left="0" w:right="0" w:firstLine="0"/>
        <w:jc w:val="left"/>
      </w:pPr>
      <w:bookmarkStart w:id="2014" w:name="bookmark2014"/>
      <w:bookmarkStart w:id="2015" w:name="bookmark2015"/>
      <w:bookmarkStart w:id="2016" w:name="bookmark2016"/>
      <w:r>
        <w:rPr>
          <w:color w:val="000000"/>
          <w:spacing w:val="0"/>
          <w:w w:val="100"/>
          <w:position w:val="0"/>
          <w:sz w:val="24"/>
          <w:szCs w:val="24"/>
        </w:rPr>
        <w:t>十二、关联方及关联交易</w:t>
      </w:r>
      <w:bookmarkEnd w:id="2014"/>
      <w:bookmarkEnd w:id="2015"/>
      <w:bookmarkEnd w:id="2016"/>
    </w:p>
    <w:p>
      <w:pPr>
        <w:pStyle w:val="Style47"/>
        <w:keepNext/>
        <w:keepLines/>
        <w:widowControl w:val="0"/>
        <w:shd w:val="clear" w:color="auto" w:fill="auto"/>
        <w:bidi w:val="0"/>
        <w:spacing w:before="0" w:after="360" w:line="240" w:lineRule="auto"/>
        <w:ind w:left="0" w:right="0" w:firstLine="0"/>
        <w:jc w:val="left"/>
      </w:pPr>
      <w:bookmarkStart w:id="2017" w:name="bookmark2017"/>
      <w:bookmarkStart w:id="2018" w:name="bookmark2018"/>
      <w:bookmarkStart w:id="2019" w:name="bookmark2019"/>
      <w:r>
        <w:rPr>
          <w:color w:val="000000"/>
          <w:spacing w:val="0"/>
          <w:w w:val="100"/>
          <w:position w:val="0"/>
        </w:rPr>
        <w:t>1、本企业的母公司情况</w:t>
      </w:r>
      <w:bookmarkEnd w:id="2017"/>
      <w:bookmarkEnd w:id="2018"/>
      <w:bookmarkEnd w:id="2019"/>
    </w:p>
    <w:tbl>
      <w:tblPr>
        <w:tblOverlap w:val="never"/>
        <w:jc w:val="center"/>
        <w:tblLayout w:type="fixed"/>
      </w:tblPr>
      <w:tblGrid>
        <w:gridCol w:w="758"/>
        <w:gridCol w:w="1286"/>
        <w:gridCol w:w="1291"/>
        <w:gridCol w:w="797"/>
        <w:gridCol w:w="1277"/>
        <w:gridCol w:w="1277"/>
        <w:gridCol w:w="1435"/>
        <w:gridCol w:w="1555"/>
      </w:tblGrid>
      <w:tr>
        <w:trPr>
          <w:trHeight w:val="662"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股东名称</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年初余额</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持股比例(</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本期增加</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本期减少</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firstLine="0"/>
              <w:jc w:val="center"/>
              <w:rPr>
                <w:sz w:val="18"/>
                <w:szCs w:val="18"/>
              </w:rPr>
            </w:pPr>
            <w:r>
              <w:rPr>
                <w:color w:val="000000"/>
                <w:spacing w:val="0"/>
                <w:w w:val="100"/>
                <w:position w:val="0"/>
                <w:sz w:val="17"/>
                <w:szCs w:val="17"/>
              </w:rPr>
              <w:t>母公司对本公司 的持股比例</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120" w:line="240" w:lineRule="auto"/>
              <w:ind w:left="0" w:right="180" w:firstLine="0"/>
              <w:jc w:val="right"/>
            </w:pPr>
            <w:r>
              <w:rPr>
                <w:color w:val="000000"/>
                <w:spacing w:val="0"/>
                <w:w w:val="100"/>
                <w:position w:val="0"/>
              </w:rPr>
              <w:t>母公司对本公司的</w:t>
            </w:r>
          </w:p>
          <w:p>
            <w:pPr>
              <w:pStyle w:val="Style2"/>
              <w:keepNext w:val="0"/>
              <w:keepLines w:val="0"/>
              <w:widowControl w:val="0"/>
              <w:shd w:val="clear" w:color="auto" w:fill="auto"/>
              <w:bidi w:val="0"/>
              <w:spacing w:before="0" w:after="0" w:line="240" w:lineRule="auto"/>
              <w:ind w:left="0" w:right="180" w:firstLine="0"/>
              <w:jc w:val="right"/>
              <w:rPr>
                <w:sz w:val="18"/>
                <w:szCs w:val="18"/>
              </w:rPr>
            </w:pPr>
            <w:r>
              <w:rPr>
                <w:color w:val="000000"/>
                <w:spacing w:val="0"/>
                <w:w w:val="100"/>
                <w:position w:val="0"/>
                <w:sz w:val="17"/>
                <w:szCs w:val="17"/>
              </w:rPr>
              <w:t>表决权比例</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w:t>
            </w:r>
          </w:p>
        </w:tc>
      </w:tr>
      <w:tr>
        <w:trPr>
          <w:trHeight w:val="35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pPr>
            <w:r>
              <w:rPr>
                <w:color w:val="000000"/>
                <w:spacing w:val="0"/>
                <w:w w:val="100"/>
                <w:position w:val="0"/>
              </w:rPr>
              <w:t>王宁</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126,958,612.00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6.47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rFonts w:ascii="Times New Roman" w:eastAsia="Times New Roman" w:hAnsi="Times New Roman" w:cs="Times New Roman"/>
                <w:color w:val="000000"/>
                <w:spacing w:val="0"/>
                <w:w w:val="100"/>
                <w:position w:val="0"/>
                <w:sz w:val="18"/>
                <w:szCs w:val="18"/>
              </w:rPr>
              <w:t>31,250,000.00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95,708,612.00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4.88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8.37</w:t>
            </w:r>
          </w:p>
        </w:tc>
      </w:tr>
      <w:tr>
        <w:trPr>
          <w:trHeight w:val="3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pPr>
            <w:r>
              <w:rPr>
                <w:color w:val="000000"/>
                <w:spacing w:val="0"/>
                <w:w w:val="100"/>
                <w:position w:val="0"/>
              </w:rPr>
              <w:t>李力</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215,954,004.00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11.01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rFonts w:ascii="Times New Roman" w:eastAsia="Times New Roman" w:hAnsi="Times New Roman" w:cs="Times New Roman"/>
                <w:color w:val="000000"/>
                <w:spacing w:val="0"/>
                <w:w w:val="100"/>
                <w:position w:val="0"/>
                <w:sz w:val="18"/>
                <w:szCs w:val="18"/>
              </w:rPr>
              <w:t>38,340,000.00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177,614,004.00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9.06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9.06</w:t>
            </w:r>
          </w:p>
        </w:tc>
      </w:tr>
      <w:tr>
        <w:trPr>
          <w:trHeight w:val="360"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342,912,616.00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17.48</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rFonts w:ascii="Times New Roman" w:eastAsia="Times New Roman" w:hAnsi="Times New Roman" w:cs="Times New Roman"/>
                <w:color w:val="000000"/>
                <w:spacing w:val="0"/>
                <w:w w:val="100"/>
                <w:position w:val="0"/>
                <w:sz w:val="18"/>
                <w:szCs w:val="18"/>
              </w:rPr>
              <w:t>69,590,000.00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273,322,616.00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13.94</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17.43</w:t>
            </w:r>
          </w:p>
        </w:tc>
      </w:tr>
    </w:tbl>
    <w:p>
      <w:pPr>
        <w:widowControl w:val="0"/>
        <w:spacing w:after="399" w:line="1" w:lineRule="exact"/>
      </w:pPr>
    </w:p>
    <w:p>
      <w:pPr>
        <w:pStyle w:val="Style41"/>
        <w:keepNext w:val="0"/>
        <w:keepLines w:val="0"/>
        <w:widowControl w:val="0"/>
        <w:shd w:val="clear" w:color="auto" w:fill="auto"/>
        <w:bidi w:val="0"/>
        <w:spacing w:before="0" w:after="120" w:line="240" w:lineRule="auto"/>
        <w:ind w:left="0" w:right="0" w:firstLine="0"/>
        <w:jc w:val="left"/>
      </w:pPr>
      <w:r>
        <w:rPr>
          <w:color w:val="000000"/>
          <w:spacing w:val="0"/>
          <w:w w:val="100"/>
          <w:position w:val="0"/>
        </w:rPr>
        <w:t>本企业最终控制方是王宁、李力共同控制。</w:t>
      </w:r>
    </w:p>
    <w:p>
      <w:pPr>
        <w:pStyle w:val="Style41"/>
        <w:keepNext w:val="0"/>
        <w:keepLines w:val="0"/>
        <w:widowControl w:val="0"/>
        <w:shd w:val="clear" w:color="auto" w:fill="auto"/>
        <w:bidi w:val="0"/>
        <w:spacing w:before="0" w:after="360" w:line="240" w:lineRule="auto"/>
        <w:ind w:left="0" w:right="0" w:firstLine="0"/>
        <w:jc w:val="left"/>
      </w:pPr>
      <w:r>
        <w:rPr>
          <w:color w:val="000000"/>
          <w:spacing w:val="0"/>
          <w:w w:val="100"/>
          <w:position w:val="0"/>
        </w:rPr>
        <w:t>本公司的实质控制人为王宁先生、李力先生，签订了一致行动协议，为一致行动人。</w:t>
      </w:r>
    </w:p>
    <w:p>
      <w:pPr>
        <w:pStyle w:val="Style47"/>
        <w:keepNext/>
        <w:keepLines/>
        <w:widowControl w:val="0"/>
        <w:shd w:val="clear" w:color="auto" w:fill="auto"/>
        <w:tabs>
          <w:tab w:pos="378" w:val="left"/>
        </w:tabs>
        <w:bidi w:val="0"/>
        <w:spacing w:before="0" w:after="400" w:line="240" w:lineRule="auto"/>
        <w:ind w:left="0" w:right="0" w:firstLine="0"/>
        <w:jc w:val="left"/>
      </w:pPr>
      <w:bookmarkStart w:id="2020" w:name="bookmark2020"/>
      <w:bookmarkStart w:id="2021" w:name="bookmark2021"/>
      <w:bookmarkStart w:id="2022" w:name="bookmark2022"/>
      <w:bookmarkStart w:id="2023" w:name="bookmark2023"/>
      <w:r>
        <w:rPr>
          <w:color w:val="000000"/>
          <w:spacing w:val="0"/>
          <w:w w:val="100"/>
          <w:position w:val="0"/>
        </w:rPr>
        <w:t>2</w:t>
      </w:r>
      <w:bookmarkEnd w:id="2022"/>
      <w:r>
        <w:rPr>
          <w:color w:val="000000"/>
          <w:spacing w:val="0"/>
          <w:w w:val="100"/>
          <w:position w:val="0"/>
        </w:rPr>
        <w:t>、</w:t>
        <w:tab/>
        <w:t>本企业的子公司情况</w:t>
      </w:r>
      <w:bookmarkEnd w:id="2020"/>
      <w:bookmarkEnd w:id="2021"/>
      <w:bookmarkEnd w:id="2023"/>
    </w:p>
    <w:p>
      <w:pPr>
        <w:pStyle w:val="Style41"/>
        <w:keepNext w:val="0"/>
        <w:keepLines w:val="0"/>
        <w:widowControl w:val="0"/>
        <w:shd w:val="clear" w:color="auto" w:fill="auto"/>
        <w:bidi w:val="0"/>
        <w:spacing w:before="0" w:after="360" w:line="240" w:lineRule="auto"/>
        <w:ind w:left="0" w:right="0" w:firstLine="0"/>
        <w:jc w:val="left"/>
      </w:pPr>
      <w:r>
        <w:rPr>
          <w:color w:val="000000"/>
          <w:spacing w:val="0"/>
          <w:w w:val="100"/>
          <w:position w:val="0"/>
        </w:rPr>
        <w:t>本企业子公司的情况详见附注九。</w:t>
      </w:r>
    </w:p>
    <w:p>
      <w:pPr>
        <w:pStyle w:val="Style47"/>
        <w:keepNext/>
        <w:keepLines/>
        <w:widowControl w:val="0"/>
        <w:shd w:val="clear" w:color="auto" w:fill="auto"/>
        <w:tabs>
          <w:tab w:pos="378" w:val="left"/>
        </w:tabs>
        <w:bidi w:val="0"/>
        <w:spacing w:before="0" w:after="400" w:line="240" w:lineRule="auto"/>
        <w:ind w:left="0" w:right="0" w:firstLine="0"/>
        <w:jc w:val="left"/>
      </w:pPr>
      <w:bookmarkStart w:id="2024" w:name="bookmark2024"/>
      <w:bookmarkStart w:id="2025" w:name="bookmark2025"/>
      <w:bookmarkStart w:id="2026" w:name="bookmark2026"/>
      <w:bookmarkStart w:id="2027" w:name="bookmark2027"/>
      <w:r>
        <w:rPr>
          <w:color w:val="000000"/>
          <w:spacing w:val="0"/>
          <w:w w:val="100"/>
          <w:position w:val="0"/>
        </w:rPr>
        <w:t>3</w:t>
      </w:r>
      <w:bookmarkEnd w:id="2026"/>
      <w:r>
        <w:rPr>
          <w:color w:val="000000"/>
          <w:spacing w:val="0"/>
          <w:w w:val="100"/>
          <w:position w:val="0"/>
        </w:rPr>
        <w:t>、</w:t>
        <w:tab/>
        <w:t>本企业合营和联营企业情况</w:t>
      </w:r>
      <w:bookmarkEnd w:id="2024"/>
      <w:bookmarkEnd w:id="2025"/>
      <w:bookmarkEnd w:id="2027"/>
    </w:p>
    <w:p>
      <w:pPr>
        <w:pStyle w:val="Style41"/>
        <w:keepNext w:val="0"/>
        <w:keepLines w:val="0"/>
        <w:widowControl w:val="0"/>
        <w:shd w:val="clear" w:color="auto" w:fill="auto"/>
        <w:bidi w:val="0"/>
        <w:spacing w:before="0" w:after="120" w:line="240" w:lineRule="auto"/>
        <w:ind w:left="0" w:right="0" w:firstLine="0"/>
        <w:jc w:val="left"/>
      </w:pPr>
      <w:r>
        <w:rPr>
          <w:color w:val="000000"/>
          <w:spacing w:val="0"/>
          <w:w w:val="100"/>
          <w:position w:val="0"/>
        </w:rPr>
        <w:t>本企业重要的合营或联营企业详见附注九。</w:t>
      </w:r>
    </w:p>
    <w:p>
      <w:pPr>
        <w:pStyle w:val="Style41"/>
        <w:keepNext w:val="0"/>
        <w:keepLines w:val="0"/>
        <w:widowControl w:val="0"/>
        <w:shd w:val="clear" w:color="auto" w:fill="auto"/>
        <w:bidi w:val="0"/>
        <w:spacing w:before="0" w:after="120" w:line="240" w:lineRule="auto"/>
        <w:ind w:left="0" w:right="0" w:firstLine="0"/>
        <w:jc w:val="left"/>
      </w:pPr>
      <w:r>
        <w:rPr>
          <w:color w:val="000000"/>
          <w:spacing w:val="0"/>
          <w:w w:val="100"/>
          <w:position w:val="0"/>
        </w:rPr>
        <w:t>本期与本公司发生关联方交易，或前期与本公司发生关联方交易形成余额的其他合营或联营企业情况如下:</w:t>
      </w:r>
    </w:p>
    <w:tbl>
      <w:tblPr>
        <w:tblOverlap w:val="never"/>
        <w:jc w:val="center"/>
        <w:tblLayout w:type="fixed"/>
      </w:tblPr>
      <w:tblGrid>
        <w:gridCol w:w="4790"/>
        <w:gridCol w:w="4790"/>
      </w:tblGrid>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合营或联营企业名称</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与本企业关系</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北京神州良品电子商务科技股份有限公司</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联营企业</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宁波泰岳梧桐投资管理有限公司</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联营企业</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珠海神州泰岳投资管理有限公司</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联营企业</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珠海泰岳梧桐投资管理有限公司</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联营企业</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中建智能技术有限公司</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联营企业</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北京神州泰岳教育科技有限公司</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联营企业</w:t>
            </w:r>
          </w:p>
        </w:tc>
      </w:tr>
      <w:tr>
        <w:trPr>
          <w:trHeight w:val="41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北京神州泰岳智能数据技术有限公司</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联营企业</w:t>
            </w:r>
          </w:p>
        </w:tc>
      </w:tr>
    </w:tbl>
    <w:p>
      <w:pPr>
        <w:widowControl w:val="0"/>
        <w:spacing w:after="359" w:line="1" w:lineRule="exact"/>
      </w:pPr>
    </w:p>
    <w:p>
      <w:pPr>
        <w:pStyle w:val="Style47"/>
        <w:keepNext/>
        <w:keepLines/>
        <w:widowControl w:val="0"/>
        <w:shd w:val="clear" w:color="auto" w:fill="auto"/>
        <w:bidi w:val="0"/>
        <w:spacing w:before="0" w:after="360" w:line="240" w:lineRule="auto"/>
        <w:ind w:left="0" w:right="0" w:firstLine="0"/>
        <w:jc w:val="left"/>
      </w:pPr>
      <w:bookmarkStart w:id="2028" w:name="bookmark2028"/>
      <w:bookmarkStart w:id="2029" w:name="bookmark2029"/>
      <w:bookmarkStart w:id="2030" w:name="bookmark2030"/>
      <w:bookmarkStart w:id="2031" w:name="bookmark2031"/>
      <w:r>
        <w:rPr>
          <w:color w:val="000000"/>
          <w:spacing w:val="0"/>
          <w:w w:val="100"/>
          <w:position w:val="0"/>
        </w:rPr>
        <w:t>4</w:t>
      </w:r>
      <w:bookmarkEnd w:id="2030"/>
      <w:r>
        <w:rPr>
          <w:color w:val="000000"/>
          <w:spacing w:val="0"/>
          <w:w w:val="100"/>
          <w:position w:val="0"/>
        </w:rPr>
        <w:t>、其他关联方情况</w:t>
      </w:r>
      <w:bookmarkEnd w:id="2028"/>
      <w:bookmarkEnd w:id="2029"/>
      <w:bookmarkEnd w:id="2031"/>
    </w:p>
    <w:tbl>
      <w:tblPr>
        <w:tblOverlap w:val="never"/>
        <w:jc w:val="center"/>
        <w:tblLayout w:type="fixed"/>
      </w:tblPr>
      <w:tblGrid>
        <w:gridCol w:w="4790"/>
        <w:gridCol w:w="4790"/>
      </w:tblGrid>
      <w:tr>
        <w:trPr>
          <w:trHeight w:val="40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其他关联方名称</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其他关联方与本企业关系</w:t>
            </w:r>
          </w:p>
        </w:tc>
      </w:tr>
      <w:tr>
        <w:trPr>
          <w:trHeight w:val="102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翟一兵、冒大卫、易律、沈阳、王雪春、刘铁民、郝岩、丁 彦超、陈伟、胡加明、林红、戈爱晶、高峰、董越、艾东、 刘洪宁</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除实际控制人以外的其他关键管理人员</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重庆泰岳优才科技有限公司</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公司高管担任执行董事的公司的子公司</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北京云中融信网络科技有限公司</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公司投资的参股企业</w:t>
            </w:r>
          </w:p>
        </w:tc>
      </w:tr>
      <w:tr>
        <w:trPr>
          <w:trHeight w:val="41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泰岳金服(北京)科技有限公司</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公司投资的参股企业</w:t>
            </w:r>
          </w:p>
        </w:tc>
      </w:tr>
    </w:tbl>
    <w:p>
      <w:pPr>
        <w:sectPr>
          <w:headerReference w:type="default" r:id="rId443"/>
          <w:footerReference w:type="default" r:id="rId444"/>
          <w:headerReference w:type="even" r:id="rId445"/>
          <w:footerReference w:type="even" r:id="rId446"/>
          <w:headerReference w:type="first" r:id="rId447"/>
          <w:footerReference w:type="first" r:id="rId448"/>
          <w:footnotePr>
            <w:pos w:val="pageBottom"/>
            <w:numFmt w:val="decimal"/>
            <w:numRestart w:val="continuous"/>
          </w:footnotePr>
          <w:pgSz w:w="11904" w:h="17375"/>
          <w:pgMar w:top="1677" w:right="1040" w:bottom="1673" w:left="995" w:header="0" w:footer="3" w:gutter="0"/>
          <w:cols w:space="720"/>
          <w:noEndnote/>
          <w:titlePg/>
          <w:rtlGutter w:val="0"/>
          <w:docGrid w:linePitch="360"/>
        </w:sectPr>
      </w:pPr>
    </w:p>
    <w:tbl>
      <w:tblPr>
        <w:tblOverlap w:val="never"/>
        <w:jc w:val="center"/>
        <w:tblLayout w:type="fixed"/>
      </w:tblPr>
      <w:tblGrid>
        <w:gridCol w:w="4786"/>
        <w:gridCol w:w="4795"/>
      </w:tblGrid>
      <w:tr>
        <w:trPr>
          <w:trHeight w:val="48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北京国信安石科技有限责任公司</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公司高管担任执行董事的公司</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北京神州泰奇互动科技有限公司</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公司投资的参股企业的子公司</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北京神州云联科技有限公司</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公司投资的参股企业</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成都斯沃茨科技有限公司</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公司投资的参股企业</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北京裂变科技有限公司</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公司投资的参股企业</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北京帝派智能科技有限公司</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公司投资的参股企业</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神州泰奇（香港）有限公司</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公司投资的参股企业的子公司</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天津智子网络科技有限公司</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公司投资的参股企业</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Ultrapower </w:t>
            </w:r>
            <w:r>
              <w:rPr>
                <w:rFonts w:ascii="Times New Roman" w:eastAsia="Times New Roman" w:hAnsi="Times New Roman" w:cs="Times New Roman"/>
                <w:color w:val="000000"/>
                <w:spacing w:val="0"/>
                <w:w w:val="100"/>
                <w:position w:val="0"/>
                <w:sz w:val="18"/>
                <w:szCs w:val="18"/>
              </w:rPr>
              <w:t xml:space="preserve">360 </w:t>
            </w:r>
            <w:r>
              <w:rPr>
                <w:rFonts w:ascii="Times New Roman" w:eastAsia="Times New Roman" w:hAnsi="Times New Roman" w:cs="Times New Roman"/>
                <w:color w:val="000000"/>
                <w:spacing w:val="0"/>
                <w:w w:val="100"/>
                <w:position w:val="0"/>
                <w:sz w:val="18"/>
                <w:szCs w:val="18"/>
              </w:rPr>
              <w:t>PTE LTD</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公司投资的参股企业</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UQSOFT(SINGAPORE)PTE LTD</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公司投资的参股企业的子公司</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UQSOFT (THAILAND)</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公司投资的参股企业的子公司</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中信网络科技股份有限公司</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历史关联方</w:t>
            </w:r>
          </w:p>
        </w:tc>
      </w:tr>
      <w:tr>
        <w:trPr>
          <w:trHeight w:val="41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大连华信计算机技术股份有限公司</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历史关联方</w:t>
            </w:r>
          </w:p>
        </w:tc>
      </w:tr>
    </w:tbl>
    <w:p>
      <w:pPr>
        <w:widowControl w:val="0"/>
        <w:spacing w:after="319" w:line="1" w:lineRule="exact"/>
      </w:pPr>
    </w:p>
    <w:p>
      <w:pPr>
        <w:pStyle w:val="Style47"/>
        <w:keepNext/>
        <w:keepLines/>
        <w:widowControl w:val="0"/>
        <w:shd w:val="clear" w:color="auto" w:fill="auto"/>
        <w:bidi w:val="0"/>
        <w:spacing w:before="0" w:after="380" w:line="240" w:lineRule="auto"/>
        <w:ind w:left="0" w:right="0" w:firstLine="0"/>
        <w:jc w:val="both"/>
      </w:pPr>
      <w:bookmarkStart w:id="2032" w:name="bookmark2032"/>
      <w:bookmarkStart w:id="2033" w:name="bookmark2033"/>
      <w:bookmarkStart w:id="2034" w:name="bookmark2034"/>
      <w:bookmarkStart w:id="2035" w:name="bookmark2035"/>
      <w:r>
        <w:rPr>
          <w:color w:val="000000"/>
          <w:spacing w:val="0"/>
          <w:w w:val="100"/>
          <w:position w:val="0"/>
        </w:rPr>
        <w:t>5</w:t>
      </w:r>
      <w:bookmarkEnd w:id="2034"/>
      <w:r>
        <w:rPr>
          <w:color w:val="000000"/>
          <w:spacing w:val="0"/>
          <w:w w:val="100"/>
          <w:position w:val="0"/>
        </w:rPr>
        <w:t>、关联交易情况</w:t>
      </w:r>
      <w:bookmarkEnd w:id="2032"/>
      <w:bookmarkEnd w:id="2033"/>
      <w:bookmarkEnd w:id="2035"/>
    </w:p>
    <w:p>
      <w:pPr>
        <w:pStyle w:val="Style58"/>
        <w:keepNext/>
        <w:keepLines/>
        <w:widowControl w:val="0"/>
        <w:shd w:val="clear" w:color="auto" w:fill="auto"/>
        <w:bidi w:val="0"/>
        <w:spacing w:before="0" w:after="380" w:line="240" w:lineRule="auto"/>
        <w:ind w:left="0" w:right="0" w:firstLine="0"/>
        <w:jc w:val="left"/>
        <w:rPr>
          <w:sz w:val="20"/>
          <w:szCs w:val="20"/>
        </w:rPr>
      </w:pPr>
      <w:bookmarkStart w:id="2036" w:name="bookmark2036"/>
      <w:bookmarkStart w:id="2037" w:name="bookmark2037"/>
      <w:bookmarkStart w:id="2038" w:name="bookmark2038"/>
      <w:r>
        <w:rPr>
          <w:b/>
          <w:bCs/>
          <w:color w:val="000000"/>
          <w:spacing w:val="0"/>
          <w:w w:val="100"/>
          <w:position w:val="0"/>
          <w:sz w:val="20"/>
          <w:szCs w:val="20"/>
        </w:rPr>
        <w:t>（1）购销商品、提供和接受劳务的关联交易</w:t>
      </w:r>
      <w:bookmarkEnd w:id="2036"/>
      <w:bookmarkEnd w:id="2037"/>
      <w:bookmarkEnd w:id="2038"/>
    </w:p>
    <w:p>
      <w:pPr>
        <w:pStyle w:val="Style41"/>
        <w:keepNext w:val="0"/>
        <w:keepLines w:val="0"/>
        <w:widowControl w:val="0"/>
        <w:shd w:val="clear" w:color="auto" w:fill="auto"/>
        <w:bidi w:val="0"/>
        <w:spacing w:before="0" w:after="120" w:line="240" w:lineRule="auto"/>
        <w:ind w:left="0" w:right="0" w:firstLine="0"/>
        <w:jc w:val="left"/>
      </w:pPr>
      <w:r>
        <w:rPr>
          <w:color w:val="000000"/>
          <w:spacing w:val="0"/>
          <w:w w:val="100"/>
          <w:position w:val="0"/>
        </w:rPr>
        <w:t>采购商品</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接受劳务情况表</w:t>
      </w:r>
    </w:p>
    <w:p>
      <w:pPr>
        <w:pStyle w:val="Style41"/>
        <w:keepNext w:val="0"/>
        <w:keepLines w:val="0"/>
        <w:widowControl w:val="0"/>
        <w:shd w:val="clear" w:color="auto" w:fill="auto"/>
        <w:bidi w:val="0"/>
        <w:spacing w:before="0" w:after="80" w:line="240" w:lineRule="auto"/>
        <w:ind w:left="8920" w:right="0" w:firstLine="0"/>
        <w:jc w:val="left"/>
      </w:pPr>
      <w:r>
        <w:rPr>
          <w:color w:val="000000"/>
          <w:spacing w:val="0"/>
          <w:w w:val="100"/>
          <w:position w:val="0"/>
        </w:rPr>
        <w:t>单位：元</w:t>
      </w:r>
    </w:p>
    <w:tbl>
      <w:tblPr>
        <w:tblOverlap w:val="never"/>
        <w:jc w:val="center"/>
        <w:tblLayout w:type="fixed"/>
      </w:tblPr>
      <w:tblGrid>
        <w:gridCol w:w="2981"/>
        <w:gridCol w:w="1421"/>
        <w:gridCol w:w="1272"/>
        <w:gridCol w:w="1421"/>
        <w:gridCol w:w="1133"/>
        <w:gridCol w:w="1358"/>
      </w:tblGrid>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关联方</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160"/>
              <w:jc w:val="left"/>
            </w:pPr>
            <w:r>
              <w:rPr>
                <w:color w:val="000000"/>
                <w:spacing w:val="0"/>
                <w:w w:val="100"/>
                <w:position w:val="0"/>
              </w:rPr>
              <w:t>关联交易内容</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获批的交易额度</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是否超过交 易额度</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220" w:firstLine="0"/>
              <w:jc w:val="right"/>
            </w:pPr>
            <w:r>
              <w:rPr>
                <w:color w:val="000000"/>
                <w:spacing w:val="0"/>
                <w:w w:val="100"/>
                <w:position w:val="0"/>
              </w:rPr>
              <w:t>上期发生额</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北京神州泰奇互动科技有限公司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游戏渠道分成款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-5,075.34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-5,075.34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both"/>
              <w:rPr>
                <w:sz w:val="18"/>
                <w:szCs w:val="18"/>
              </w:rPr>
            </w:pPr>
            <w:r>
              <w:rPr>
                <w:rFonts w:ascii="Times New Roman" w:eastAsia="Times New Roman" w:hAnsi="Times New Roman" w:cs="Times New Roman"/>
                <w:color w:val="000000"/>
                <w:spacing w:val="0"/>
                <w:w w:val="100"/>
                <w:position w:val="0"/>
                <w:sz w:val="18"/>
                <w:szCs w:val="18"/>
              </w:rPr>
              <w:t>4,427,139.21</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北京云中融信网络科技有限公司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技术开发服务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-432,034.92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-432,034.92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both"/>
              <w:rPr>
                <w:sz w:val="18"/>
                <w:szCs w:val="18"/>
              </w:rPr>
            </w:pPr>
            <w:r>
              <w:rPr>
                <w:rFonts w:ascii="Times New Roman" w:eastAsia="Times New Roman" w:hAnsi="Times New Roman" w:cs="Times New Roman"/>
                <w:color w:val="000000"/>
                <w:spacing w:val="0"/>
                <w:w w:val="100"/>
                <w:position w:val="0"/>
                <w:sz w:val="18"/>
                <w:szCs w:val="18"/>
              </w:rPr>
              <w:t>2,191,264.02</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天津智子网络科技有限公司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游戏研发费用</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游</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戏分成</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设计费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2,999,928.31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2,999,928.31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both"/>
              <w:rPr>
                <w:sz w:val="18"/>
                <w:szCs w:val="18"/>
              </w:rPr>
            </w:pPr>
            <w:r>
              <w:rPr>
                <w:rFonts w:ascii="Times New Roman" w:eastAsia="Times New Roman" w:hAnsi="Times New Roman" w:cs="Times New Roman"/>
                <w:color w:val="000000"/>
                <w:spacing w:val="0"/>
                <w:w w:val="100"/>
                <w:position w:val="0"/>
                <w:sz w:val="18"/>
                <w:szCs w:val="18"/>
              </w:rPr>
              <w:t>3,789,358.70</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中建智能技术有限公司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接受劳务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15,919,398.23</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泰岳金服（北京）科技有限公司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采购商品</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368,868.02</w:t>
            </w:r>
          </w:p>
        </w:tc>
      </w:tr>
      <w:tr>
        <w:trPr>
          <w:trHeight w:val="41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北京神州泰岳智能数据技术有限公司</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采购商品</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1,030,129.72</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1,030,129.72</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pStyle w:val="Style20"/>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出售商品</w:t>
      </w:r>
      <w:r>
        <w:rPr>
          <w:rFonts w:ascii="Times New Roman" w:eastAsia="Times New Roman" w:hAnsi="Times New Roman" w:cs="Times New Roman"/>
          <w:color w:val="000000"/>
          <w:spacing w:val="0"/>
          <w:w w:val="100"/>
          <w:position w:val="0"/>
          <w:sz w:val="18"/>
          <w:szCs w:val="18"/>
        </w:rPr>
        <w:t>/</w:t>
      </w:r>
      <w:r>
        <w:rPr>
          <w:rFonts w:ascii="SimSun" w:eastAsia="SimSun" w:hAnsi="SimSun" w:cs="SimSun"/>
          <w:color w:val="000000"/>
          <w:spacing w:val="0"/>
          <w:w w:val="100"/>
          <w:position w:val="0"/>
          <w:sz w:val="17"/>
          <w:szCs w:val="17"/>
        </w:rPr>
        <w:t>提供劳务情况表</w:t>
      </w:r>
    </w:p>
    <w:p>
      <w:pPr>
        <w:widowControl w:val="0"/>
        <w:spacing w:after="119" w:line="1" w:lineRule="exact"/>
      </w:pPr>
    </w:p>
    <w:p>
      <w:pPr>
        <w:pStyle w:val="Style41"/>
        <w:keepNext w:val="0"/>
        <w:keepLines w:val="0"/>
        <w:widowControl w:val="0"/>
        <w:shd w:val="clear" w:color="auto" w:fill="auto"/>
        <w:bidi w:val="0"/>
        <w:spacing w:before="0" w:after="80" w:line="240" w:lineRule="auto"/>
        <w:ind w:left="8920" w:right="0" w:firstLine="0"/>
        <w:jc w:val="left"/>
      </w:pPr>
      <w:r>
        <w:rPr>
          <w:color w:val="000000"/>
          <w:spacing w:val="0"/>
          <w:w w:val="100"/>
          <w:position w:val="0"/>
        </w:rPr>
        <w:t>单位：元</w:t>
      </w:r>
    </w:p>
    <w:tbl>
      <w:tblPr>
        <w:tblOverlap w:val="never"/>
        <w:jc w:val="center"/>
        <w:tblLayout w:type="fixed"/>
      </w:tblPr>
      <w:tblGrid>
        <w:gridCol w:w="3691"/>
        <w:gridCol w:w="2549"/>
        <w:gridCol w:w="1843"/>
        <w:gridCol w:w="1498"/>
      </w:tblGrid>
      <w:tr>
        <w:trPr>
          <w:trHeight w:val="40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关联方</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关联交易内容</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280"/>
              <w:jc w:val="left"/>
            </w:pPr>
            <w:r>
              <w:rPr>
                <w:color w:val="000000"/>
                <w:spacing w:val="0"/>
                <w:w w:val="100"/>
                <w:position w:val="0"/>
              </w:rPr>
              <w:t>上期发生额</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神州泰奇（香港）有限公司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游戏授权收入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218,988.74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104,166.20</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北京神州泰岳教育科技有限公司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技术开发服务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82,264.61</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中建智能技术有限公司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产品销售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4,483,638.66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983,536.32</w:t>
            </w:r>
          </w:p>
        </w:tc>
      </w:tr>
      <w:tr>
        <w:trPr>
          <w:trHeight w:val="41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大连华信计算机技术股份有限公司</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产品销售</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2,735,849.06</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2,547,169.81</w:t>
            </w:r>
          </w:p>
        </w:tc>
      </w:tr>
    </w:tbl>
    <w:p>
      <w:pPr>
        <w:spacing w:lineRule="exact" w:line="1"/>
        <w:rPr>
          <w:sz w:val="2"/>
          <w:szCs w:val="2"/>
        </w:rPr>
      </w:pPr>
      <w:r>
        <w:br w:type="page"/>
      </w:r>
    </w:p>
    <w:p>
      <w:pPr>
        <w:pStyle w:val="Style58"/>
        <w:keepNext/>
        <w:keepLines/>
        <w:widowControl w:val="0"/>
        <w:shd w:val="clear" w:color="auto" w:fill="auto"/>
        <w:bidi w:val="0"/>
        <w:spacing w:before="0" w:after="480" w:line="240" w:lineRule="auto"/>
        <w:ind w:left="0" w:right="0" w:firstLine="0"/>
        <w:jc w:val="left"/>
        <w:rPr>
          <w:sz w:val="20"/>
          <w:szCs w:val="20"/>
        </w:rPr>
      </w:pPr>
      <w:bookmarkStart w:id="2039" w:name="bookmark2039"/>
      <w:bookmarkStart w:id="2040" w:name="bookmark2040"/>
      <w:bookmarkStart w:id="2041" w:name="bookmark2041"/>
      <w:r>
        <w:rPr>
          <w:b/>
          <w:bCs/>
          <w:color w:val="000000"/>
          <w:spacing w:val="0"/>
          <w:w w:val="100"/>
          <w:position w:val="0"/>
          <w:sz w:val="20"/>
          <w:szCs w:val="20"/>
        </w:rPr>
        <w:t>（2）</w:t>
      </w:r>
      <w:r>
        <w:rPr>
          <w:b/>
          <w:bCs/>
          <w:color w:val="000000"/>
          <w:spacing w:val="0"/>
          <w:w w:val="100"/>
          <w:position w:val="0"/>
          <w:sz w:val="20"/>
          <w:szCs w:val="20"/>
        </w:rPr>
        <w:t>关联受托管理/承包及委托管理/出包情况</w:t>
      </w:r>
      <w:bookmarkEnd w:id="2039"/>
      <w:bookmarkEnd w:id="2040"/>
      <w:bookmarkEnd w:id="2041"/>
    </w:p>
    <w:p>
      <w:pPr>
        <w:pStyle w:val="Style41"/>
        <w:keepNext w:val="0"/>
        <w:keepLines w:val="0"/>
        <w:widowControl w:val="0"/>
        <w:shd w:val="clear" w:color="auto" w:fill="auto"/>
        <w:bidi w:val="0"/>
        <w:spacing w:before="0" w:after="480" w:line="240" w:lineRule="auto"/>
        <w:ind w:left="0" w:right="0" w:firstLine="360"/>
        <w:jc w:val="left"/>
      </w:pPr>
      <w:r>
        <w:rPr>
          <w:color w:val="000000"/>
          <w:spacing w:val="0"/>
          <w:w w:val="100"/>
          <w:position w:val="0"/>
        </w:rPr>
        <w:t>无。</w:t>
      </w:r>
    </w:p>
    <w:p>
      <w:pPr>
        <w:pStyle w:val="Style58"/>
        <w:keepNext/>
        <w:keepLines/>
        <w:widowControl w:val="0"/>
        <w:shd w:val="clear" w:color="auto" w:fill="auto"/>
        <w:bidi w:val="0"/>
        <w:spacing w:before="0" w:after="400" w:line="240" w:lineRule="auto"/>
        <w:ind w:left="0" w:right="0" w:firstLine="0"/>
        <w:jc w:val="left"/>
        <w:rPr>
          <w:sz w:val="20"/>
          <w:szCs w:val="20"/>
        </w:rPr>
      </w:pPr>
      <w:bookmarkStart w:id="2042" w:name="bookmark2042"/>
      <w:bookmarkStart w:id="2043" w:name="bookmark2043"/>
      <w:bookmarkStart w:id="2044" w:name="bookmark2044"/>
      <w:bookmarkStart w:id="2045" w:name="bookmark2045"/>
      <w:r>
        <w:rPr>
          <w:b/>
          <w:bCs/>
          <w:color w:val="000000"/>
          <w:spacing w:val="0"/>
          <w:w w:val="100"/>
          <w:position w:val="0"/>
          <w:sz w:val="20"/>
          <w:szCs w:val="20"/>
        </w:rPr>
        <w:t>（</w:t>
      </w:r>
      <w:bookmarkEnd w:id="2044"/>
      <w:r>
        <w:rPr>
          <w:b/>
          <w:bCs/>
          <w:color w:val="000000"/>
          <w:spacing w:val="0"/>
          <w:w w:val="100"/>
          <w:position w:val="0"/>
          <w:sz w:val="20"/>
          <w:szCs w:val="20"/>
        </w:rPr>
        <w:t>3）关联租赁情况</w:t>
      </w:r>
      <w:bookmarkEnd w:id="2042"/>
      <w:bookmarkEnd w:id="2043"/>
      <w:bookmarkEnd w:id="2045"/>
    </w:p>
    <w:p>
      <w:pPr>
        <w:pStyle w:val="Style41"/>
        <w:keepNext w:val="0"/>
        <w:keepLines w:val="0"/>
        <w:widowControl w:val="0"/>
        <w:shd w:val="clear" w:color="auto" w:fill="auto"/>
        <w:bidi w:val="0"/>
        <w:spacing w:before="0" w:after="140" w:line="240" w:lineRule="auto"/>
        <w:ind w:left="0" w:right="0" w:firstLine="0"/>
        <w:jc w:val="left"/>
      </w:pPr>
      <w:r>
        <w:rPr>
          <w:color w:val="000000"/>
          <w:spacing w:val="0"/>
          <w:w w:val="100"/>
          <w:position w:val="0"/>
        </w:rPr>
        <w:t>本公司作为出租方：</w:t>
      </w:r>
    </w:p>
    <w:p>
      <w:pPr>
        <w:pStyle w:val="Style41"/>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center"/>
        <w:tblLayout w:type="fixed"/>
      </w:tblPr>
      <w:tblGrid>
        <w:gridCol w:w="3547"/>
        <w:gridCol w:w="1704"/>
        <w:gridCol w:w="2126"/>
        <w:gridCol w:w="2203"/>
      </w:tblGrid>
      <w:tr>
        <w:trPr>
          <w:trHeight w:val="40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承租方名称</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300"/>
              <w:jc w:val="left"/>
            </w:pPr>
            <w:r>
              <w:rPr>
                <w:color w:val="000000"/>
                <w:spacing w:val="0"/>
                <w:w w:val="100"/>
                <w:position w:val="0"/>
              </w:rPr>
              <w:t>租赁资产种类</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240" w:firstLine="0"/>
              <w:jc w:val="right"/>
            </w:pPr>
            <w:r>
              <w:rPr>
                <w:color w:val="000000"/>
                <w:spacing w:val="0"/>
                <w:w w:val="100"/>
                <w:position w:val="0"/>
              </w:rPr>
              <w:t>本期确认的租赁收入</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280"/>
              <w:jc w:val="left"/>
            </w:pPr>
            <w:r>
              <w:rPr>
                <w:color w:val="000000"/>
                <w:spacing w:val="0"/>
                <w:w w:val="100"/>
                <w:position w:val="0"/>
              </w:rPr>
              <w:t>上期确认的租赁收入</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中信网络科技股份有限公司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房屋建筑物</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40" w:right="0" w:firstLine="0"/>
              <w:jc w:val="left"/>
              <w:rPr>
                <w:sz w:val="18"/>
                <w:szCs w:val="18"/>
              </w:rPr>
            </w:pPr>
            <w:r>
              <w:rPr>
                <w:rFonts w:ascii="Times New Roman" w:eastAsia="Times New Roman" w:hAnsi="Times New Roman" w:cs="Times New Roman"/>
                <w:color w:val="000000"/>
                <w:spacing w:val="0"/>
                <w:w w:val="100"/>
                <w:position w:val="0"/>
                <w:sz w:val="18"/>
                <w:szCs w:val="18"/>
              </w:rPr>
              <w:t>2,189,113.87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20" w:right="0" w:firstLine="0"/>
              <w:jc w:val="both"/>
              <w:rPr>
                <w:sz w:val="18"/>
                <w:szCs w:val="18"/>
              </w:rPr>
            </w:pPr>
            <w:r>
              <w:rPr>
                <w:rFonts w:ascii="Times New Roman" w:eastAsia="Times New Roman" w:hAnsi="Times New Roman" w:cs="Times New Roman"/>
                <w:color w:val="000000"/>
                <w:spacing w:val="0"/>
                <w:w w:val="100"/>
                <w:position w:val="0"/>
                <w:sz w:val="18"/>
                <w:szCs w:val="18"/>
              </w:rPr>
              <w:t>4,248,727.50</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宁波泰岳梧桐投资管理有限公司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房屋建筑物</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80" w:right="0" w:firstLine="0"/>
              <w:jc w:val="both"/>
              <w:rPr>
                <w:sz w:val="18"/>
                <w:szCs w:val="18"/>
              </w:rPr>
            </w:pPr>
            <w:r>
              <w:rPr>
                <w:rFonts w:ascii="Times New Roman" w:eastAsia="Times New Roman" w:hAnsi="Times New Roman" w:cs="Times New Roman"/>
                <w:color w:val="000000"/>
                <w:spacing w:val="0"/>
                <w:w w:val="100"/>
                <w:position w:val="0"/>
                <w:sz w:val="18"/>
                <w:szCs w:val="18"/>
              </w:rPr>
              <w:t>133,120.22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225,952.38</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北京神州良品电子商务科技股份有限公司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房屋建筑物</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80" w:right="0" w:firstLine="0"/>
              <w:jc w:val="both"/>
              <w:rPr>
                <w:sz w:val="18"/>
                <w:szCs w:val="18"/>
              </w:rPr>
            </w:pPr>
            <w:r>
              <w:rPr>
                <w:rFonts w:ascii="Times New Roman" w:eastAsia="Times New Roman" w:hAnsi="Times New Roman" w:cs="Times New Roman"/>
                <w:color w:val="000000"/>
                <w:spacing w:val="0"/>
                <w:w w:val="100"/>
                <w:position w:val="0"/>
                <w:sz w:val="18"/>
                <w:szCs w:val="18"/>
              </w:rPr>
              <w:t>532,344.62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20" w:right="0" w:firstLine="0"/>
              <w:jc w:val="both"/>
              <w:rPr>
                <w:sz w:val="18"/>
                <w:szCs w:val="18"/>
              </w:rPr>
            </w:pPr>
            <w:r>
              <w:rPr>
                <w:rFonts w:ascii="Times New Roman" w:eastAsia="Times New Roman" w:hAnsi="Times New Roman" w:cs="Times New Roman"/>
                <w:color w:val="000000"/>
                <w:spacing w:val="0"/>
                <w:w w:val="100"/>
                <w:position w:val="0"/>
                <w:sz w:val="18"/>
                <w:szCs w:val="18"/>
              </w:rPr>
              <w:t>1,262,900.00</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珠海泰岳梧桐投资管理有限公司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房屋建筑物</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31,768.52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54,228.57</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珠海神州泰岳投资管理有限公司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房屋建筑物</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80" w:right="0" w:firstLine="0"/>
              <w:jc w:val="both"/>
              <w:rPr>
                <w:sz w:val="18"/>
                <w:szCs w:val="18"/>
              </w:rPr>
            </w:pPr>
            <w:r>
              <w:rPr>
                <w:rFonts w:ascii="Times New Roman" w:eastAsia="Times New Roman" w:hAnsi="Times New Roman" w:cs="Times New Roman"/>
                <w:color w:val="000000"/>
                <w:spacing w:val="0"/>
                <w:w w:val="100"/>
                <w:position w:val="0"/>
                <w:sz w:val="18"/>
                <w:szCs w:val="18"/>
              </w:rPr>
              <w:t>126,732.30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185,099.08</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北京云中融信网络科技有限公司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房屋建筑物</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40" w:right="0" w:firstLine="0"/>
              <w:jc w:val="left"/>
              <w:rPr>
                <w:sz w:val="18"/>
                <w:szCs w:val="18"/>
              </w:rPr>
            </w:pPr>
            <w:r>
              <w:rPr>
                <w:rFonts w:ascii="Times New Roman" w:eastAsia="Times New Roman" w:hAnsi="Times New Roman" w:cs="Times New Roman"/>
                <w:color w:val="000000"/>
                <w:spacing w:val="0"/>
                <w:w w:val="100"/>
                <w:position w:val="0"/>
                <w:sz w:val="18"/>
                <w:szCs w:val="18"/>
              </w:rPr>
              <w:t>1,420,000.00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20" w:right="0" w:firstLine="0"/>
              <w:jc w:val="both"/>
              <w:rPr>
                <w:sz w:val="18"/>
                <w:szCs w:val="18"/>
              </w:rPr>
            </w:pPr>
            <w:r>
              <w:rPr>
                <w:rFonts w:ascii="Times New Roman" w:eastAsia="Times New Roman" w:hAnsi="Times New Roman" w:cs="Times New Roman"/>
                <w:color w:val="000000"/>
                <w:spacing w:val="0"/>
                <w:w w:val="100"/>
                <w:position w:val="0"/>
                <w:sz w:val="18"/>
                <w:szCs w:val="18"/>
              </w:rPr>
              <w:t>3,341,650.21</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北京国信安石科技有限责任公司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房屋建筑物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85,649.93</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北京帝派智能科技有限公司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房屋建筑物</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80" w:right="0" w:firstLine="0"/>
              <w:jc w:val="left"/>
              <w:rPr>
                <w:sz w:val="18"/>
                <w:szCs w:val="18"/>
              </w:rPr>
            </w:pPr>
            <w:r>
              <w:rPr>
                <w:rFonts w:ascii="Times New Roman" w:eastAsia="Times New Roman" w:hAnsi="Times New Roman" w:cs="Times New Roman"/>
                <w:color w:val="000000"/>
                <w:spacing w:val="0"/>
                <w:w w:val="100"/>
                <w:position w:val="0"/>
                <w:sz w:val="18"/>
                <w:szCs w:val="18"/>
              </w:rPr>
              <w:t>398,208.00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314,386.67</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北京神州泰奇互动科技有限公司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房屋建筑物</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80" w:right="0" w:firstLine="0"/>
              <w:jc w:val="left"/>
              <w:rPr>
                <w:sz w:val="18"/>
                <w:szCs w:val="18"/>
              </w:rPr>
            </w:pPr>
            <w:r>
              <w:rPr>
                <w:rFonts w:ascii="Times New Roman" w:eastAsia="Times New Roman" w:hAnsi="Times New Roman" w:cs="Times New Roman"/>
                <w:color w:val="000000"/>
                <w:spacing w:val="0"/>
                <w:w w:val="100"/>
                <w:position w:val="0"/>
                <w:sz w:val="18"/>
                <w:szCs w:val="18"/>
              </w:rPr>
              <w:t>122,000.00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192,720.00</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北京神州云联科技有限公司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房屋建筑物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92,466.67</w:t>
            </w:r>
          </w:p>
        </w:tc>
      </w:tr>
      <w:tr>
        <w:trPr>
          <w:trHeight w:val="41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北京神州泰岳智能数据技术有限公司</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房屋建筑物</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80" w:right="0" w:firstLine="0"/>
              <w:jc w:val="left"/>
              <w:rPr>
                <w:sz w:val="18"/>
                <w:szCs w:val="18"/>
              </w:rPr>
            </w:pPr>
            <w:r>
              <w:rPr>
                <w:rFonts w:ascii="Times New Roman" w:eastAsia="Times New Roman" w:hAnsi="Times New Roman" w:cs="Times New Roman"/>
                <w:color w:val="000000"/>
                <w:spacing w:val="0"/>
                <w:w w:val="100"/>
                <w:position w:val="0"/>
                <w:sz w:val="18"/>
                <w:szCs w:val="18"/>
              </w:rPr>
              <w:t>374,822.97</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339" w:line="1" w:lineRule="exact"/>
      </w:pPr>
    </w:p>
    <w:p>
      <w:pPr>
        <w:pStyle w:val="Style58"/>
        <w:keepNext/>
        <w:keepLines/>
        <w:widowControl w:val="0"/>
        <w:shd w:val="clear" w:color="auto" w:fill="auto"/>
        <w:bidi w:val="0"/>
        <w:spacing w:before="0" w:after="400" w:line="240" w:lineRule="auto"/>
        <w:ind w:left="0" w:right="0" w:firstLine="0"/>
        <w:jc w:val="left"/>
        <w:rPr>
          <w:sz w:val="20"/>
          <w:szCs w:val="20"/>
        </w:rPr>
      </w:pPr>
      <w:bookmarkStart w:id="2046" w:name="bookmark2046"/>
      <w:bookmarkStart w:id="2047" w:name="bookmark2047"/>
      <w:bookmarkStart w:id="2048" w:name="bookmark2048"/>
      <w:bookmarkStart w:id="2049" w:name="bookmark2049"/>
      <w:r>
        <w:rPr>
          <w:b/>
          <w:bCs/>
          <w:color w:val="000000"/>
          <w:spacing w:val="0"/>
          <w:w w:val="100"/>
          <w:position w:val="0"/>
          <w:sz w:val="20"/>
          <w:szCs w:val="20"/>
        </w:rPr>
        <w:t>（</w:t>
      </w:r>
      <w:bookmarkEnd w:id="2048"/>
      <w:r>
        <w:rPr>
          <w:b/>
          <w:bCs/>
          <w:color w:val="000000"/>
          <w:spacing w:val="0"/>
          <w:w w:val="100"/>
          <w:position w:val="0"/>
          <w:sz w:val="20"/>
          <w:szCs w:val="20"/>
        </w:rPr>
        <w:t>4）关联担保情况</w:t>
      </w:r>
      <w:bookmarkEnd w:id="2046"/>
      <w:bookmarkEnd w:id="2047"/>
      <w:bookmarkEnd w:id="2049"/>
    </w:p>
    <w:p>
      <w:pPr>
        <w:pStyle w:val="Style41"/>
        <w:keepNext w:val="0"/>
        <w:keepLines w:val="0"/>
        <w:widowControl w:val="0"/>
        <w:shd w:val="clear" w:color="auto" w:fill="auto"/>
        <w:bidi w:val="0"/>
        <w:spacing w:before="0" w:after="140" w:line="240" w:lineRule="auto"/>
        <w:ind w:left="0" w:right="0" w:firstLine="0"/>
        <w:jc w:val="left"/>
      </w:pPr>
      <w:r>
        <w:rPr>
          <w:color w:val="000000"/>
          <w:spacing w:val="0"/>
          <w:w w:val="100"/>
          <w:position w:val="0"/>
        </w:rPr>
        <w:t>本公司作为被担保方</w:t>
      </w:r>
    </w:p>
    <w:p>
      <w:pPr>
        <w:pStyle w:val="Style41"/>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center"/>
        <w:tblLayout w:type="fixed"/>
      </w:tblPr>
      <w:tblGrid>
        <w:gridCol w:w="1920"/>
        <w:gridCol w:w="1915"/>
        <w:gridCol w:w="1920"/>
        <w:gridCol w:w="1906"/>
        <w:gridCol w:w="1925"/>
      </w:tblGrid>
      <w:tr>
        <w:trPr>
          <w:trHeight w:val="40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担保方</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担保金额</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担保起始日</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担保到期日</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担保是否已经履行完毕</w:t>
            </w:r>
          </w:p>
        </w:tc>
      </w:tr>
      <w:tr>
        <w:trPr>
          <w:trHeight w:val="725"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北京新媒传信科技有限 公司</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rPr>
                <w:sz w:val="18"/>
                <w:szCs w:val="18"/>
              </w:rPr>
            </w:pPr>
            <w:r>
              <w:rPr>
                <w:rFonts w:ascii="Times New Roman" w:eastAsia="Times New Roman" w:hAnsi="Times New Roman" w:cs="Times New Roman"/>
                <w:color w:val="000000"/>
                <w:spacing w:val="0"/>
                <w:w w:val="100"/>
                <w:position w:val="0"/>
                <w:sz w:val="18"/>
                <w:szCs w:val="18"/>
              </w:rPr>
              <w:t>105,637,139.64</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05</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21</w:t>
            </w:r>
            <w:r>
              <w:rPr>
                <w:color w:val="000000"/>
                <w:spacing w:val="0"/>
                <w:w w:val="100"/>
                <w:position w:val="0"/>
              </w:rPr>
              <w:t>日</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2021</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04</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22</w:t>
            </w:r>
            <w:r>
              <w:rPr>
                <w:color w:val="000000"/>
                <w:spacing w:val="0"/>
                <w:w w:val="100"/>
                <w:position w:val="0"/>
              </w:rPr>
              <w:t>日</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bl>
    <w:p>
      <w:pPr>
        <w:widowControl w:val="0"/>
        <w:spacing w:after="339" w:line="1" w:lineRule="exact"/>
      </w:pPr>
    </w:p>
    <w:p>
      <w:pPr>
        <w:pStyle w:val="Style58"/>
        <w:keepNext/>
        <w:keepLines/>
        <w:widowControl w:val="0"/>
        <w:shd w:val="clear" w:color="auto" w:fill="auto"/>
        <w:bidi w:val="0"/>
        <w:spacing w:before="0" w:after="400" w:line="240" w:lineRule="auto"/>
        <w:ind w:left="0" w:right="0" w:firstLine="0"/>
        <w:jc w:val="left"/>
        <w:rPr>
          <w:sz w:val="20"/>
          <w:szCs w:val="20"/>
        </w:rPr>
      </w:pPr>
      <w:bookmarkStart w:id="2050" w:name="bookmark2050"/>
      <w:bookmarkStart w:id="2051" w:name="bookmark2051"/>
      <w:bookmarkStart w:id="2052" w:name="bookmark2052"/>
      <w:bookmarkStart w:id="2053" w:name="bookmark2053"/>
      <w:r>
        <w:rPr>
          <w:b/>
          <w:bCs/>
          <w:color w:val="000000"/>
          <w:spacing w:val="0"/>
          <w:w w:val="100"/>
          <w:position w:val="0"/>
          <w:sz w:val="20"/>
          <w:szCs w:val="20"/>
        </w:rPr>
        <w:t>（</w:t>
      </w:r>
      <w:bookmarkEnd w:id="2052"/>
      <w:r>
        <w:rPr>
          <w:b/>
          <w:bCs/>
          <w:color w:val="000000"/>
          <w:spacing w:val="0"/>
          <w:w w:val="100"/>
          <w:position w:val="0"/>
          <w:sz w:val="20"/>
          <w:szCs w:val="20"/>
        </w:rPr>
        <w:t>5）关联方资金拆借</w:t>
      </w:r>
      <w:bookmarkEnd w:id="2050"/>
      <w:bookmarkEnd w:id="2051"/>
      <w:bookmarkEnd w:id="2053"/>
    </w:p>
    <w:p>
      <w:pPr>
        <w:pStyle w:val="Style41"/>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center"/>
        <w:tblLayout w:type="fixed"/>
      </w:tblPr>
      <w:tblGrid>
        <w:gridCol w:w="2981"/>
        <w:gridCol w:w="1421"/>
        <w:gridCol w:w="1699"/>
        <w:gridCol w:w="1560"/>
        <w:gridCol w:w="1925"/>
      </w:tblGrid>
      <w:tr>
        <w:trPr>
          <w:trHeight w:val="40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关联方</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340"/>
              <w:jc w:val="left"/>
            </w:pPr>
            <w:r>
              <w:rPr>
                <w:color w:val="000000"/>
                <w:spacing w:val="0"/>
                <w:w w:val="100"/>
                <w:position w:val="0"/>
              </w:rPr>
              <w:t>拆借金额</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起始日</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到期日</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说明</w:t>
            </w:r>
          </w:p>
        </w:tc>
      </w:tr>
      <w:tr>
        <w:trPr>
          <w:trHeight w:val="403" w:hRule="exact"/>
        </w:trPr>
        <w:tc>
          <w:tcPr>
            <w:gridSpan w:val="5"/>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拆入</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北京创董创新实业有限公司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rPr>
                <w:sz w:val="18"/>
                <w:szCs w:val="18"/>
              </w:rPr>
            </w:pPr>
            <w:r>
              <w:rPr>
                <w:rFonts w:ascii="Times New Roman" w:eastAsia="Times New Roman" w:hAnsi="Times New Roman" w:cs="Times New Roman"/>
                <w:color w:val="000000"/>
                <w:spacing w:val="0"/>
                <w:w w:val="100"/>
                <w:position w:val="0"/>
                <w:sz w:val="18"/>
                <w:szCs w:val="18"/>
              </w:rPr>
              <w:t>3,000,000.00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25</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到期日另行协商</w:t>
            </w:r>
          </w:p>
        </w:tc>
      </w:tr>
      <w:tr>
        <w:trPr>
          <w:trHeight w:val="398" w:hRule="exact"/>
        </w:trPr>
        <w:tc>
          <w:tcPr>
            <w:gridSpan w:val="5"/>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拆出</w:t>
            </w:r>
          </w:p>
        </w:tc>
      </w:tr>
      <w:tr>
        <w:trPr>
          <w:trHeight w:val="725"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北京神州泰岳智能数据技术有限公司</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15,000,000.00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01</w:t>
            </w:r>
            <w:r>
              <w:rPr>
                <w:color w:val="000000"/>
                <w:spacing w:val="0"/>
                <w:w w:val="100"/>
                <w:position w:val="0"/>
              </w:rPr>
              <w:t>日</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2021</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日</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借款利率为年化利率</w:t>
            </w:r>
          </w:p>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5%</w:t>
            </w:r>
          </w:p>
        </w:tc>
      </w:tr>
    </w:tbl>
    <w:p>
      <w:pPr>
        <w:spacing w:lineRule="exact" w:line="1"/>
        <w:rPr>
          <w:sz w:val="2"/>
          <w:szCs w:val="2"/>
        </w:rPr>
      </w:pPr>
      <w:r>
        <w:br w:type="page"/>
      </w:r>
    </w:p>
    <w:p>
      <w:pPr>
        <w:pStyle w:val="Style58"/>
        <w:keepNext/>
        <w:keepLines/>
        <w:widowControl w:val="0"/>
        <w:numPr>
          <w:ilvl w:val="0"/>
          <w:numId w:val="43"/>
        </w:numPr>
        <w:shd w:val="clear" w:color="auto" w:fill="auto"/>
        <w:bidi w:val="0"/>
        <w:spacing w:before="0" w:after="480" w:line="240" w:lineRule="auto"/>
        <w:ind w:left="0" w:right="0" w:firstLine="0"/>
        <w:jc w:val="left"/>
        <w:rPr>
          <w:sz w:val="20"/>
          <w:szCs w:val="20"/>
        </w:rPr>
      </w:pPr>
      <w:bookmarkStart w:id="2054" w:name="bookmark2054"/>
      <w:bookmarkStart w:id="2055" w:name="bookmark2055"/>
      <w:bookmarkStart w:id="2056" w:name="bookmark2056"/>
      <w:bookmarkStart w:id="2057" w:name="bookmark2057"/>
      <w:bookmarkEnd w:id="2056"/>
      <w:r>
        <w:rPr>
          <w:b/>
          <w:bCs/>
          <w:color w:val="000000"/>
          <w:spacing w:val="0"/>
          <w:w w:val="100"/>
          <w:position w:val="0"/>
          <w:sz w:val="20"/>
          <w:szCs w:val="20"/>
        </w:rPr>
        <w:t>关联方资产转让、债务重组情况</w:t>
      </w:r>
      <w:bookmarkEnd w:id="2054"/>
      <w:bookmarkEnd w:id="2055"/>
      <w:bookmarkEnd w:id="2057"/>
    </w:p>
    <w:p>
      <w:pPr>
        <w:pStyle w:val="Style41"/>
        <w:keepNext w:val="0"/>
        <w:keepLines w:val="0"/>
        <w:widowControl w:val="0"/>
        <w:shd w:val="clear" w:color="auto" w:fill="auto"/>
        <w:bidi w:val="0"/>
        <w:spacing w:before="0" w:after="480" w:line="240" w:lineRule="auto"/>
        <w:ind w:left="0" w:right="0" w:firstLine="360"/>
        <w:jc w:val="left"/>
      </w:pPr>
      <w:r>
        <w:rPr>
          <w:color w:val="000000"/>
          <w:spacing w:val="0"/>
          <w:w w:val="100"/>
          <w:position w:val="0"/>
        </w:rPr>
        <w:t>无。</w:t>
      </w:r>
    </w:p>
    <w:p>
      <w:pPr>
        <w:pStyle w:val="Style58"/>
        <w:keepNext/>
        <w:keepLines/>
        <w:widowControl w:val="0"/>
        <w:numPr>
          <w:ilvl w:val="0"/>
          <w:numId w:val="43"/>
        </w:numPr>
        <w:shd w:val="clear" w:color="auto" w:fill="auto"/>
        <w:bidi w:val="0"/>
        <w:spacing w:before="0" w:after="400" w:line="240" w:lineRule="auto"/>
        <w:ind w:left="0" w:right="0" w:firstLine="0"/>
        <w:jc w:val="left"/>
        <w:rPr>
          <w:sz w:val="20"/>
          <w:szCs w:val="20"/>
        </w:rPr>
      </w:pPr>
      <w:bookmarkStart w:id="2058" w:name="bookmark2058"/>
      <w:bookmarkStart w:id="2059" w:name="bookmark2059"/>
      <w:bookmarkStart w:id="2060" w:name="bookmark2060"/>
      <w:bookmarkStart w:id="2061" w:name="bookmark2061"/>
      <w:bookmarkEnd w:id="2060"/>
      <w:r>
        <w:rPr>
          <w:b/>
          <w:bCs/>
          <w:color w:val="000000"/>
          <w:spacing w:val="0"/>
          <w:w w:val="100"/>
          <w:position w:val="0"/>
          <w:sz w:val="20"/>
          <w:szCs w:val="20"/>
        </w:rPr>
        <w:t>关键管理人员报酬</w:t>
      </w:r>
      <w:bookmarkEnd w:id="2058"/>
      <w:bookmarkEnd w:id="2059"/>
      <w:bookmarkEnd w:id="2061"/>
    </w:p>
    <w:p>
      <w:pPr>
        <w:pStyle w:val="Style41"/>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3192"/>
        <w:gridCol w:w="3192"/>
        <w:gridCol w:w="3202"/>
      </w:tblGrid>
      <w:tr>
        <w:trPr>
          <w:trHeight w:val="40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40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关键管理人员薪酬</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25,930,600.52</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13,972,400.00</w:t>
            </w:r>
          </w:p>
        </w:tc>
      </w:tr>
    </w:tbl>
    <w:p>
      <w:pPr>
        <w:widowControl w:val="0"/>
        <w:spacing w:after="319" w:line="1" w:lineRule="exact"/>
      </w:pPr>
    </w:p>
    <w:p>
      <w:pPr>
        <w:pStyle w:val="Style58"/>
        <w:keepNext/>
        <w:keepLines/>
        <w:widowControl w:val="0"/>
        <w:numPr>
          <w:ilvl w:val="0"/>
          <w:numId w:val="43"/>
        </w:numPr>
        <w:shd w:val="clear" w:color="auto" w:fill="auto"/>
        <w:bidi w:val="0"/>
        <w:spacing w:before="0" w:after="480" w:line="240" w:lineRule="auto"/>
        <w:ind w:left="0" w:right="0" w:firstLine="0"/>
        <w:jc w:val="left"/>
        <w:rPr>
          <w:sz w:val="20"/>
          <w:szCs w:val="20"/>
        </w:rPr>
      </w:pPr>
      <w:bookmarkStart w:id="2062" w:name="bookmark2062"/>
      <w:bookmarkStart w:id="2063" w:name="bookmark2063"/>
      <w:bookmarkStart w:id="2064" w:name="bookmark2064"/>
      <w:bookmarkStart w:id="2065" w:name="bookmark2065"/>
      <w:bookmarkEnd w:id="2064"/>
      <w:r>
        <w:rPr>
          <w:b/>
          <w:bCs/>
          <w:color w:val="000000"/>
          <w:spacing w:val="0"/>
          <w:w w:val="100"/>
          <w:position w:val="0"/>
          <w:sz w:val="20"/>
          <w:szCs w:val="20"/>
        </w:rPr>
        <w:t>其他关联交易</w:t>
      </w:r>
      <w:bookmarkEnd w:id="2062"/>
      <w:bookmarkEnd w:id="2063"/>
      <w:bookmarkEnd w:id="2065"/>
    </w:p>
    <w:p>
      <w:pPr>
        <w:pStyle w:val="Style41"/>
        <w:keepNext w:val="0"/>
        <w:keepLines w:val="0"/>
        <w:widowControl w:val="0"/>
        <w:shd w:val="clear" w:color="auto" w:fill="auto"/>
        <w:bidi w:val="0"/>
        <w:spacing w:before="0" w:after="480" w:line="240" w:lineRule="auto"/>
        <w:ind w:left="0" w:right="0" w:firstLine="360"/>
        <w:jc w:val="left"/>
      </w:pPr>
      <w:r>
        <w:rPr>
          <w:color w:val="000000"/>
          <w:spacing w:val="0"/>
          <w:w w:val="100"/>
          <w:position w:val="0"/>
        </w:rPr>
        <w:t>无。</w:t>
      </w:r>
    </w:p>
    <w:p>
      <w:pPr>
        <w:pStyle w:val="Style47"/>
        <w:keepNext/>
        <w:keepLines/>
        <w:widowControl w:val="0"/>
        <w:shd w:val="clear" w:color="auto" w:fill="auto"/>
        <w:bidi w:val="0"/>
        <w:spacing w:before="0" w:after="400" w:line="240" w:lineRule="auto"/>
        <w:ind w:left="0" w:right="0" w:firstLine="0"/>
        <w:jc w:val="left"/>
      </w:pPr>
      <w:bookmarkStart w:id="2066" w:name="bookmark2066"/>
      <w:bookmarkStart w:id="2067" w:name="bookmark2067"/>
      <w:bookmarkStart w:id="2068" w:name="bookmark2068"/>
      <w:bookmarkStart w:id="2069" w:name="bookmark2069"/>
      <w:r>
        <w:rPr>
          <w:color w:val="000000"/>
          <w:spacing w:val="0"/>
          <w:w w:val="100"/>
          <w:position w:val="0"/>
        </w:rPr>
        <w:t>6</w:t>
      </w:r>
      <w:bookmarkEnd w:id="2068"/>
      <w:r>
        <w:rPr>
          <w:color w:val="000000"/>
          <w:spacing w:val="0"/>
          <w:w w:val="100"/>
          <w:position w:val="0"/>
        </w:rPr>
        <w:t>、关联方应收应付款项</w:t>
      </w:r>
      <w:bookmarkEnd w:id="2066"/>
      <w:bookmarkEnd w:id="2067"/>
      <w:bookmarkEnd w:id="2069"/>
    </w:p>
    <w:p>
      <w:pPr>
        <w:pStyle w:val="Style58"/>
        <w:keepNext/>
        <w:keepLines/>
        <w:widowControl w:val="0"/>
        <w:shd w:val="clear" w:color="auto" w:fill="auto"/>
        <w:bidi w:val="0"/>
        <w:spacing w:before="0" w:after="400" w:line="240" w:lineRule="auto"/>
        <w:ind w:left="0" w:right="0" w:firstLine="0"/>
        <w:jc w:val="left"/>
        <w:rPr>
          <w:sz w:val="20"/>
          <w:szCs w:val="20"/>
        </w:rPr>
      </w:pPr>
      <w:bookmarkStart w:id="2070" w:name="bookmark2070"/>
      <w:bookmarkStart w:id="2071" w:name="bookmark2071"/>
      <w:bookmarkStart w:id="2072" w:name="bookmark2072"/>
      <w:r>
        <w:rPr>
          <w:b/>
          <w:bCs/>
          <w:color w:val="000000"/>
          <w:spacing w:val="0"/>
          <w:w w:val="100"/>
          <w:position w:val="0"/>
          <w:sz w:val="20"/>
          <w:szCs w:val="20"/>
        </w:rPr>
        <w:t>(1)应收项目</w:t>
      </w:r>
      <w:bookmarkEnd w:id="2070"/>
      <w:bookmarkEnd w:id="2071"/>
      <w:bookmarkEnd w:id="2072"/>
    </w:p>
    <w:p>
      <w:pPr>
        <w:pStyle w:val="Style41"/>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1138"/>
        <w:gridCol w:w="3264"/>
        <w:gridCol w:w="1291"/>
        <w:gridCol w:w="1291"/>
        <w:gridCol w:w="1296"/>
        <w:gridCol w:w="1301"/>
      </w:tblGrid>
      <w:tr>
        <w:trPr>
          <w:trHeight w:val="403" w:hRule="exact"/>
        </w:trPr>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200"/>
              <w:jc w:val="left"/>
            </w:pPr>
            <w:r>
              <w:rPr>
                <w:color w:val="000000"/>
                <w:spacing w:val="0"/>
                <w:w w:val="100"/>
                <w:position w:val="0"/>
              </w:rPr>
              <w:t>项目名称</w:t>
            </w:r>
          </w:p>
        </w:tc>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关联方</w:t>
            </w:r>
          </w:p>
        </w:tc>
        <w:tc>
          <w:tcPr>
            <w:gridSpan w:val="2"/>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gridSpan w:val="2"/>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403" w:hRule="exact"/>
        </w:trPr>
        <w:tc>
          <w:tcPr>
            <w:vMerge/>
            <w:tcBorders>
              <w:left w:val="single" w:sz="4"/>
            </w:tcBorders>
            <w:shd w:val="clear" w:color="auto" w:fill="D7D7D7"/>
            <w:vAlign w:val="center"/>
          </w:tcPr>
          <w:p>
            <w:pPr/>
          </w:p>
        </w:tc>
        <w:tc>
          <w:tcPr>
            <w:vMerge/>
            <w:tcBorders>
              <w:left w:val="single" w:sz="4"/>
            </w:tcBorders>
            <w:shd w:val="clear" w:color="auto" w:fill="D7D7D7"/>
            <w:vAlign w:val="center"/>
          </w:tcPr>
          <w:p>
            <w:pP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应收账款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成都斯沃茨科技有限公司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both"/>
              <w:rPr>
                <w:sz w:val="18"/>
                <w:szCs w:val="18"/>
              </w:rPr>
            </w:pPr>
            <w:r>
              <w:rPr>
                <w:rFonts w:ascii="Times New Roman" w:eastAsia="Times New Roman" w:hAnsi="Times New Roman" w:cs="Times New Roman"/>
                <w:color w:val="000000"/>
                <w:spacing w:val="0"/>
                <w:w w:val="100"/>
                <w:position w:val="0"/>
                <w:sz w:val="18"/>
                <w:szCs w:val="18"/>
              </w:rPr>
              <w:t>1,350,000.00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405,000.00</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应收账款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大连华信计算机技术股份有限公司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both"/>
              <w:rPr>
                <w:sz w:val="18"/>
                <w:szCs w:val="18"/>
              </w:rPr>
            </w:pPr>
            <w:r>
              <w:rPr>
                <w:rFonts w:ascii="Times New Roman" w:eastAsia="Times New Roman" w:hAnsi="Times New Roman" w:cs="Times New Roman"/>
                <w:color w:val="000000"/>
                <w:spacing w:val="0"/>
                <w:w w:val="100"/>
                <w:position w:val="0"/>
                <w:sz w:val="18"/>
                <w:szCs w:val="18"/>
              </w:rPr>
              <w:t>3,761,541.56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614,804.75</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应收账款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中信网络科技股份有限公司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both"/>
              <w:rPr>
                <w:sz w:val="18"/>
                <w:szCs w:val="18"/>
              </w:rPr>
            </w:pPr>
            <w:r>
              <w:rPr>
                <w:rFonts w:ascii="Times New Roman" w:eastAsia="Times New Roman" w:hAnsi="Times New Roman" w:cs="Times New Roman"/>
                <w:color w:val="000000"/>
                <w:spacing w:val="0"/>
                <w:w w:val="100"/>
                <w:position w:val="0"/>
                <w:sz w:val="18"/>
                <w:szCs w:val="18"/>
              </w:rPr>
              <w:t>260,057.14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13,002.86</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应收账款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北京裂变科技有限公司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rPr>
                <w:sz w:val="18"/>
                <w:szCs w:val="18"/>
              </w:rPr>
            </w:pPr>
            <w:r>
              <w:rPr>
                <w:rFonts w:ascii="Times New Roman" w:eastAsia="Times New Roman" w:hAnsi="Times New Roman" w:cs="Times New Roman"/>
                <w:color w:val="000000"/>
                <w:spacing w:val="0"/>
                <w:w w:val="100"/>
                <w:position w:val="0"/>
                <w:sz w:val="18"/>
                <w:szCs w:val="18"/>
              </w:rPr>
              <w:t>2,634,466.73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2,634,466.73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both"/>
              <w:rPr>
                <w:sz w:val="18"/>
                <w:szCs w:val="18"/>
              </w:rPr>
            </w:pPr>
            <w:r>
              <w:rPr>
                <w:rFonts w:ascii="Times New Roman" w:eastAsia="Times New Roman" w:hAnsi="Times New Roman" w:cs="Times New Roman"/>
                <w:color w:val="000000"/>
                <w:spacing w:val="0"/>
                <w:w w:val="100"/>
                <w:position w:val="0"/>
                <w:sz w:val="18"/>
                <w:szCs w:val="18"/>
              </w:rPr>
              <w:t>2,634,466.73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447,056.27</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应收账款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北京云中融信网络科技有限公司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both"/>
              <w:rPr>
                <w:sz w:val="18"/>
                <w:szCs w:val="18"/>
              </w:rPr>
            </w:pPr>
            <w:r>
              <w:rPr>
                <w:rFonts w:ascii="Times New Roman" w:eastAsia="Times New Roman" w:hAnsi="Times New Roman" w:cs="Times New Roman"/>
                <w:color w:val="000000"/>
                <w:spacing w:val="0"/>
                <w:w w:val="100"/>
                <w:position w:val="0"/>
                <w:sz w:val="18"/>
                <w:szCs w:val="18"/>
              </w:rPr>
              <w:t>1,425,801.71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71,290.09</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应收账款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北京国信安石科技有限责任公司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both"/>
              <w:rPr>
                <w:sz w:val="18"/>
                <w:szCs w:val="18"/>
              </w:rPr>
            </w:pPr>
            <w:r>
              <w:rPr>
                <w:rFonts w:ascii="Times New Roman" w:eastAsia="Times New Roman" w:hAnsi="Times New Roman" w:cs="Times New Roman"/>
                <w:color w:val="000000"/>
                <w:spacing w:val="0"/>
                <w:w w:val="100"/>
                <w:position w:val="0"/>
                <w:sz w:val="18"/>
                <w:szCs w:val="18"/>
              </w:rPr>
              <w:t>1,515,169.00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264,685.88</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应收账款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北京神州泰奇互动科技有限公司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rPr>
                <w:sz w:val="18"/>
                <w:szCs w:val="18"/>
              </w:rPr>
            </w:pPr>
            <w:r>
              <w:rPr>
                <w:rFonts w:ascii="Times New Roman" w:eastAsia="Times New Roman" w:hAnsi="Times New Roman" w:cs="Times New Roman"/>
                <w:color w:val="000000"/>
                <w:spacing w:val="0"/>
                <w:w w:val="100"/>
                <w:position w:val="0"/>
                <w:sz w:val="18"/>
                <w:szCs w:val="18"/>
              </w:rPr>
              <w:t>1,059,091.05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287,282.93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both"/>
              <w:rPr>
                <w:sz w:val="18"/>
                <w:szCs w:val="18"/>
              </w:rPr>
            </w:pPr>
            <w:r>
              <w:rPr>
                <w:rFonts w:ascii="Times New Roman" w:eastAsia="Times New Roman" w:hAnsi="Times New Roman" w:cs="Times New Roman"/>
                <w:color w:val="000000"/>
                <w:spacing w:val="0"/>
                <w:w w:val="100"/>
                <w:position w:val="0"/>
                <w:sz w:val="18"/>
                <w:szCs w:val="18"/>
              </w:rPr>
              <w:t>1,177,321.05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180,284.39</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应收账款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神州泰奇(香港)有限公司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rPr>
                <w:sz w:val="18"/>
                <w:szCs w:val="18"/>
              </w:rPr>
            </w:pPr>
            <w:r>
              <w:rPr>
                <w:rFonts w:ascii="Times New Roman" w:eastAsia="Times New Roman" w:hAnsi="Times New Roman" w:cs="Times New Roman"/>
                <w:color w:val="000000"/>
                <w:spacing w:val="0"/>
                <w:w w:val="100"/>
                <w:position w:val="0"/>
                <w:sz w:val="18"/>
                <w:szCs w:val="18"/>
              </w:rPr>
              <w:t>209,269.83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62,887.25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both"/>
              <w:rPr>
                <w:sz w:val="18"/>
                <w:szCs w:val="18"/>
              </w:rPr>
            </w:pPr>
            <w:r>
              <w:rPr>
                <w:rFonts w:ascii="Times New Roman" w:eastAsia="Times New Roman" w:hAnsi="Times New Roman" w:cs="Times New Roman"/>
                <w:color w:val="000000"/>
                <w:spacing w:val="0"/>
                <w:w w:val="100"/>
                <w:position w:val="0"/>
                <w:sz w:val="18"/>
                <w:szCs w:val="18"/>
              </w:rPr>
              <w:t>159,349.10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60,391.21</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应收账款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北京神州泰岳教育科技有限公司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rPr>
                <w:sz w:val="18"/>
                <w:szCs w:val="18"/>
              </w:rPr>
            </w:pPr>
            <w:r>
              <w:rPr>
                <w:rFonts w:ascii="Times New Roman" w:eastAsia="Times New Roman" w:hAnsi="Times New Roman" w:cs="Times New Roman"/>
                <w:color w:val="000000"/>
                <w:spacing w:val="0"/>
                <w:w w:val="100"/>
                <w:position w:val="0"/>
                <w:sz w:val="18"/>
                <w:szCs w:val="18"/>
              </w:rPr>
              <w:t>140,976.14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140,976.14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both"/>
              <w:rPr>
                <w:sz w:val="18"/>
                <w:szCs w:val="18"/>
              </w:rPr>
            </w:pPr>
            <w:r>
              <w:rPr>
                <w:rFonts w:ascii="Times New Roman" w:eastAsia="Times New Roman" w:hAnsi="Times New Roman" w:cs="Times New Roman"/>
                <w:color w:val="000000"/>
                <w:spacing w:val="0"/>
                <w:w w:val="100"/>
                <w:position w:val="0"/>
                <w:sz w:val="18"/>
                <w:szCs w:val="18"/>
              </w:rPr>
              <w:t>140,976.14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140,976.14</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应收账款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北京神州云联科技有限公司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97,090.00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97,090.00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97,090.00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4,854.50</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应收账款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中建智能技术有限公司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rPr>
                <w:sz w:val="18"/>
                <w:szCs w:val="18"/>
              </w:rPr>
            </w:pPr>
            <w:r>
              <w:rPr>
                <w:rFonts w:ascii="Times New Roman" w:eastAsia="Times New Roman" w:hAnsi="Times New Roman" w:cs="Times New Roman"/>
                <w:color w:val="000000"/>
                <w:spacing w:val="0"/>
                <w:w w:val="100"/>
                <w:position w:val="0"/>
                <w:sz w:val="18"/>
                <w:szCs w:val="18"/>
              </w:rPr>
              <w:t>3,149,652.20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162,642.91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60"/>
              <w:jc w:val="both"/>
              <w:rPr>
                <w:sz w:val="18"/>
                <w:szCs w:val="18"/>
              </w:rPr>
            </w:pPr>
            <w:r>
              <w:rPr>
                <w:rFonts w:ascii="Times New Roman" w:eastAsia="Times New Roman" w:hAnsi="Times New Roman" w:cs="Times New Roman"/>
                <w:color w:val="000000"/>
                <w:spacing w:val="0"/>
                <w:w w:val="100"/>
                <w:position w:val="0"/>
                <w:sz w:val="18"/>
                <w:szCs w:val="18"/>
              </w:rPr>
              <w:t>798,778.00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39,938.90</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应收账款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北京神州泰岳智能数据技术有限公司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rPr>
                <w:sz w:val="18"/>
                <w:szCs w:val="18"/>
              </w:rPr>
            </w:pPr>
            <w:r>
              <w:rPr>
                <w:rFonts w:ascii="Times New Roman" w:eastAsia="Times New Roman" w:hAnsi="Times New Roman" w:cs="Times New Roman"/>
                <w:color w:val="000000"/>
                <w:spacing w:val="0"/>
                <w:w w:val="100"/>
                <w:position w:val="0"/>
                <w:sz w:val="18"/>
                <w:szCs w:val="18"/>
              </w:rPr>
              <w:t>551,473.98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30,338.70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预付款项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天津智子网络科技有限公司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rPr>
                <w:sz w:val="18"/>
                <w:szCs w:val="18"/>
              </w:rPr>
            </w:pPr>
            <w:r>
              <w:rPr>
                <w:rFonts w:ascii="Times New Roman" w:eastAsia="Times New Roman" w:hAnsi="Times New Roman" w:cs="Times New Roman"/>
                <w:color w:val="000000"/>
                <w:spacing w:val="0"/>
                <w:w w:val="100"/>
                <w:position w:val="0"/>
                <w:sz w:val="18"/>
                <w:szCs w:val="18"/>
              </w:rPr>
              <w:t>2,373,275.86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both"/>
              <w:rPr>
                <w:sz w:val="18"/>
                <w:szCs w:val="18"/>
              </w:rPr>
            </w:pPr>
            <w:r>
              <w:rPr>
                <w:rFonts w:ascii="Times New Roman" w:eastAsia="Times New Roman" w:hAnsi="Times New Roman" w:cs="Times New Roman"/>
                <w:color w:val="000000"/>
                <w:spacing w:val="0"/>
                <w:w w:val="100"/>
                <w:position w:val="0"/>
                <w:sz w:val="18"/>
                <w:szCs w:val="18"/>
              </w:rPr>
              <w:t>1,886,792.40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其他应收款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北京神州泰岳智能数据技术有限公司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15,000,000.00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7,500,000.00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其他应收款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Ultrapower </w:t>
            </w:r>
            <w:r>
              <w:rPr>
                <w:rFonts w:ascii="Times New Roman" w:eastAsia="Times New Roman" w:hAnsi="Times New Roman" w:cs="Times New Roman"/>
                <w:color w:val="000000"/>
                <w:spacing w:val="0"/>
                <w:w w:val="100"/>
                <w:position w:val="0"/>
                <w:sz w:val="18"/>
                <w:szCs w:val="18"/>
              </w:rPr>
              <w:t xml:space="preserve">360 </w:t>
            </w:r>
            <w:r>
              <w:rPr>
                <w:rFonts w:ascii="Times New Roman" w:eastAsia="Times New Roman" w:hAnsi="Times New Roman" w:cs="Times New Roman"/>
                <w:color w:val="000000"/>
                <w:spacing w:val="0"/>
                <w:w w:val="100"/>
                <w:position w:val="0"/>
                <w:sz w:val="18"/>
                <w:szCs w:val="18"/>
              </w:rPr>
              <w:t>PTE LTD</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1,850.80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55.52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1,941.82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58.25</w:t>
            </w:r>
          </w:p>
        </w:tc>
      </w:tr>
      <w:tr>
        <w:trPr>
          <w:trHeight w:val="41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其他应收款</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UQSOFT(SINGAPORE)PTE LTD</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4,909.85</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147.30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5,151.29</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154.53</w:t>
            </w:r>
          </w:p>
        </w:tc>
      </w:tr>
    </w:tbl>
    <w:p>
      <w:pPr>
        <w:spacing w:lineRule="exact" w:line="1"/>
        <w:rPr>
          <w:sz w:val="2"/>
          <w:szCs w:val="2"/>
        </w:rPr>
      </w:pPr>
      <w:r>
        <w:br w:type="page"/>
      </w:r>
    </w:p>
    <w:tbl>
      <w:tblPr>
        <w:tblOverlap w:val="never"/>
        <w:jc w:val="center"/>
        <w:tblLayout w:type="fixed"/>
      </w:tblPr>
      <w:tblGrid>
        <w:gridCol w:w="1138"/>
        <w:gridCol w:w="3264"/>
        <w:gridCol w:w="1291"/>
        <w:gridCol w:w="1291"/>
        <w:gridCol w:w="1296"/>
        <w:gridCol w:w="1301"/>
      </w:tblGrid>
      <w:tr>
        <w:trPr>
          <w:trHeight w:val="490"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其他应收款</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UQSOFT (THAILAND)</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7,110.73</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213.32</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7,460.40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223.81</w:t>
            </w:r>
          </w:p>
        </w:tc>
      </w:tr>
    </w:tbl>
    <w:p>
      <w:pPr>
        <w:widowControl w:val="0"/>
        <w:spacing w:after="319" w:line="1" w:lineRule="exact"/>
      </w:pPr>
    </w:p>
    <w:p>
      <w:pPr>
        <w:pStyle w:val="Style58"/>
        <w:keepNext/>
        <w:keepLines/>
        <w:widowControl w:val="0"/>
        <w:shd w:val="clear" w:color="auto" w:fill="auto"/>
        <w:bidi w:val="0"/>
        <w:spacing w:before="0" w:after="400" w:line="240" w:lineRule="auto"/>
        <w:ind w:left="0" w:right="0" w:firstLine="0"/>
        <w:jc w:val="both"/>
        <w:rPr>
          <w:sz w:val="20"/>
          <w:szCs w:val="20"/>
        </w:rPr>
      </w:pPr>
      <w:bookmarkStart w:id="2073" w:name="bookmark2073"/>
      <w:bookmarkStart w:id="2074" w:name="bookmark2074"/>
      <w:bookmarkStart w:id="2075" w:name="bookmark2075"/>
      <w:r>
        <w:rPr>
          <w:b/>
          <w:bCs/>
          <w:color w:val="000000"/>
          <w:spacing w:val="0"/>
          <w:w w:val="100"/>
          <w:position w:val="0"/>
          <w:sz w:val="20"/>
          <w:szCs w:val="20"/>
        </w:rPr>
        <w:t>(2)应付项目</w:t>
      </w:r>
      <w:bookmarkEnd w:id="2073"/>
      <w:bookmarkEnd w:id="2074"/>
      <w:bookmarkEnd w:id="2075"/>
    </w:p>
    <w:p>
      <w:pPr>
        <w:pStyle w:val="Style41"/>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1704"/>
        <w:gridCol w:w="3086"/>
        <w:gridCol w:w="2390"/>
        <w:gridCol w:w="2400"/>
      </w:tblGrid>
      <w:tr>
        <w:trPr>
          <w:trHeight w:val="40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480"/>
              <w:jc w:val="left"/>
            </w:pPr>
            <w:r>
              <w:rPr>
                <w:color w:val="000000"/>
                <w:spacing w:val="0"/>
                <w:w w:val="100"/>
                <w:position w:val="0"/>
              </w:rPr>
              <w:t>项目名称</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1260" w:right="0" w:firstLine="0"/>
              <w:jc w:val="left"/>
            </w:pPr>
            <w:r>
              <w:rPr>
                <w:color w:val="000000"/>
                <w:spacing w:val="0"/>
                <w:w w:val="100"/>
                <w:position w:val="0"/>
              </w:rPr>
              <w:t>关联方</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期末账面余额</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期初账面余额</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应付账款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北京神州泰奇互动科技有限公司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768,830.00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1,095,279.91</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应付账款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北京神州云联科技有限公司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594,339.62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594,339.62</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应付账款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北京云中融信网络科技有限公司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1,556,603.77</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应付账款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天津智子网络科技有限公司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520,800.15</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应付账款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中建智能技术有限公司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15,600,532.03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17,670,532.03</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应付账款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泰岳金服(北京)科技有限公司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368,868.02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368,868.02</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应付账款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北京神州泰岳智能数据技术有限公司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1,030,956.40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其他应付款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中信网络科技股份有限公司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755,004.60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755,004.60</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其他应付款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北京云中融信网络科技有限公司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100,000.00</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其他应付款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北京裂变科技有限公司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100,000.00</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其他应付款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北京神州泰岳良品电子商务有限公司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263,970.00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386,306.65</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其他应付款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珠海泰岳梧桐投资管理有限公司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14,040.00</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其他应付款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珠海神州泰岳投资管理有限公司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56,225.00</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其他应付款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北京神州泰岳教育科技有限公司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100,000.00</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其他应付款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宁波泰岳梧桐投资管理有限公司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58,500.00</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其他应付款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北京神州云联科技有限公司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47,250.00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47,250.00</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其他应付款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北京神州泰岳智能数据技术有限公司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其他应付款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北京创董创新实业有限公司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预收款项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宁波泰岳梧桐投资管理有限公司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23,426.23</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预收款项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珠海泰岳梧桐投资管理有限公司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5,432.95</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预收款项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珠海神州泰岳投资管理有限公司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21,244.94</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预收款项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中建智能技术有限公司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485,665.50</w:t>
            </w: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预收款项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北京神州良品电子商务科技股份有限 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125,284.09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210,821.09</w:t>
            </w:r>
          </w:p>
        </w:tc>
      </w:tr>
      <w:tr>
        <w:trPr>
          <w:trHeight w:val="41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合同负债</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中建智能技术有限公司</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2,044,755.94</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319" w:line="1" w:lineRule="exact"/>
      </w:pPr>
    </w:p>
    <w:p>
      <w:pPr>
        <w:pStyle w:val="Style47"/>
        <w:keepNext/>
        <w:keepLines/>
        <w:widowControl w:val="0"/>
        <w:shd w:val="clear" w:color="auto" w:fill="auto"/>
        <w:bidi w:val="0"/>
        <w:spacing w:before="0" w:after="480" w:line="240" w:lineRule="auto"/>
        <w:ind w:left="0" w:right="0" w:firstLine="0"/>
        <w:jc w:val="both"/>
      </w:pPr>
      <w:bookmarkStart w:id="2076" w:name="bookmark2076"/>
      <w:bookmarkStart w:id="2077" w:name="bookmark2077"/>
      <w:bookmarkStart w:id="2078" w:name="bookmark2078"/>
      <w:bookmarkStart w:id="2079" w:name="bookmark2079"/>
      <w:r>
        <w:rPr>
          <w:color w:val="000000"/>
          <w:spacing w:val="0"/>
          <w:w w:val="100"/>
          <w:position w:val="0"/>
        </w:rPr>
        <w:t>7</w:t>
      </w:r>
      <w:bookmarkEnd w:id="2078"/>
      <w:r>
        <w:rPr>
          <w:color w:val="000000"/>
          <w:spacing w:val="0"/>
          <w:w w:val="100"/>
          <w:position w:val="0"/>
        </w:rPr>
        <w:t>、关联方承诺</w:t>
      </w:r>
      <w:bookmarkEnd w:id="2076"/>
      <w:bookmarkEnd w:id="2077"/>
      <w:bookmarkEnd w:id="2079"/>
    </w:p>
    <w:p>
      <w:pPr>
        <w:pStyle w:val="Style41"/>
        <w:keepNext w:val="0"/>
        <w:keepLines w:val="0"/>
        <w:widowControl w:val="0"/>
        <w:shd w:val="clear" w:color="auto" w:fill="auto"/>
        <w:bidi w:val="0"/>
        <w:spacing w:before="0" w:after="360" w:line="240" w:lineRule="auto"/>
        <w:ind w:left="0" w:right="0" w:firstLine="360"/>
        <w:jc w:val="left"/>
        <w:sectPr>
          <w:headerReference w:type="default" r:id="rId449"/>
          <w:footerReference w:type="default" r:id="rId450"/>
          <w:headerReference w:type="even" r:id="rId451"/>
          <w:footerReference w:type="even" r:id="rId452"/>
          <w:footnotePr>
            <w:pos w:val="pageBottom"/>
            <w:numFmt w:val="decimal"/>
            <w:numRestart w:val="continuous"/>
          </w:footnotePr>
          <w:pgSz w:w="11904" w:h="17375"/>
          <w:pgMar w:top="1677" w:right="1040" w:bottom="1673" w:left="995" w:header="0" w:footer="3" w:gutter="0"/>
          <w:cols w:space="720"/>
          <w:noEndnote/>
          <w:rtlGutter w:val="0"/>
          <w:docGrid w:linePitch="360"/>
        </w:sectPr>
      </w:pPr>
      <w:r>
        <w:rPr>
          <w:color w:val="000000"/>
          <w:spacing w:val="0"/>
          <w:w w:val="100"/>
          <w:position w:val="0"/>
        </w:rPr>
        <w:t>无。</w:t>
      </w:r>
    </w:p>
    <w:p>
      <w:pPr>
        <w:pStyle w:val="Style47"/>
        <w:keepNext/>
        <w:keepLines/>
        <w:widowControl w:val="0"/>
        <w:shd w:val="clear" w:color="auto" w:fill="auto"/>
        <w:bidi w:val="0"/>
        <w:spacing w:before="0" w:after="460" w:line="240" w:lineRule="auto"/>
        <w:ind w:left="0" w:right="0" w:firstLine="0"/>
        <w:jc w:val="left"/>
      </w:pPr>
      <w:bookmarkStart w:id="2080" w:name="bookmark2080"/>
      <w:bookmarkStart w:id="2081" w:name="bookmark2081"/>
      <w:bookmarkStart w:id="2082" w:name="bookmark2082"/>
      <w:bookmarkStart w:id="2083" w:name="bookmark2083"/>
      <w:r>
        <w:rPr>
          <w:color w:val="000000"/>
          <w:spacing w:val="0"/>
          <w:w w:val="100"/>
          <w:position w:val="0"/>
        </w:rPr>
        <w:t>8</w:t>
      </w:r>
      <w:bookmarkEnd w:id="2082"/>
      <w:r>
        <w:rPr>
          <w:color w:val="000000"/>
          <w:spacing w:val="0"/>
          <w:w w:val="100"/>
          <w:position w:val="0"/>
        </w:rPr>
        <w:t>、其他</w:t>
      </w:r>
      <w:bookmarkEnd w:id="2080"/>
      <w:bookmarkEnd w:id="2081"/>
      <w:bookmarkEnd w:id="2083"/>
    </w:p>
    <w:p>
      <w:pPr>
        <w:pStyle w:val="Style41"/>
        <w:keepNext w:val="0"/>
        <w:keepLines w:val="0"/>
        <w:widowControl w:val="0"/>
        <w:shd w:val="clear" w:color="auto" w:fill="auto"/>
        <w:bidi w:val="0"/>
        <w:spacing w:before="0" w:after="460" w:line="240" w:lineRule="auto"/>
        <w:ind w:left="0" w:right="0"/>
        <w:jc w:val="left"/>
      </w:pPr>
      <w:r>
        <w:rPr>
          <w:color w:val="000000"/>
          <w:spacing w:val="0"/>
          <w:w w:val="100"/>
          <w:position w:val="0"/>
        </w:rPr>
        <w:t>无。</w:t>
      </w:r>
    </w:p>
    <w:p>
      <w:pPr>
        <w:pStyle w:val="Style39"/>
        <w:keepNext/>
        <w:keepLines/>
        <w:widowControl w:val="0"/>
        <w:shd w:val="clear" w:color="auto" w:fill="auto"/>
        <w:bidi w:val="0"/>
        <w:spacing w:before="0" w:after="380" w:line="240" w:lineRule="auto"/>
        <w:ind w:left="0" w:right="0" w:firstLine="0"/>
        <w:jc w:val="left"/>
      </w:pPr>
      <w:bookmarkStart w:id="2084" w:name="bookmark2084"/>
      <w:bookmarkStart w:id="2085" w:name="bookmark2085"/>
      <w:bookmarkStart w:id="2086" w:name="bookmark2086"/>
      <w:r>
        <w:rPr>
          <w:color w:val="000000"/>
          <w:spacing w:val="0"/>
          <w:w w:val="100"/>
          <w:position w:val="0"/>
          <w:sz w:val="24"/>
          <w:szCs w:val="24"/>
        </w:rPr>
        <w:t>十三、股份支付</w:t>
      </w:r>
      <w:bookmarkEnd w:id="2084"/>
      <w:bookmarkEnd w:id="2085"/>
      <w:bookmarkEnd w:id="2086"/>
    </w:p>
    <w:p>
      <w:pPr>
        <w:pStyle w:val="Style47"/>
        <w:keepNext/>
        <w:keepLines/>
        <w:widowControl w:val="0"/>
        <w:shd w:val="clear" w:color="auto" w:fill="auto"/>
        <w:tabs>
          <w:tab w:pos="368" w:val="left"/>
        </w:tabs>
        <w:bidi w:val="0"/>
        <w:spacing w:before="0" w:after="380" w:line="240" w:lineRule="auto"/>
        <w:ind w:left="0" w:right="0" w:firstLine="0"/>
        <w:jc w:val="left"/>
      </w:pPr>
      <w:bookmarkStart w:id="2087" w:name="bookmark2087"/>
      <w:bookmarkStart w:id="2088" w:name="bookmark2088"/>
      <w:bookmarkStart w:id="2089" w:name="bookmark2089"/>
      <w:bookmarkStart w:id="2090" w:name="bookmark2090"/>
      <w:r>
        <w:rPr>
          <w:color w:val="000000"/>
          <w:spacing w:val="0"/>
          <w:w w:val="100"/>
          <w:position w:val="0"/>
        </w:rPr>
        <w:t>1</w:t>
      </w:r>
      <w:bookmarkEnd w:id="2089"/>
      <w:r>
        <w:rPr>
          <w:color w:val="000000"/>
          <w:spacing w:val="0"/>
          <w:w w:val="100"/>
          <w:position w:val="0"/>
        </w:rPr>
        <w:t>、</w:t>
        <w:tab/>
        <w:t>股份支付总体情况</w:t>
      </w:r>
      <w:bookmarkEnd w:id="2087"/>
      <w:bookmarkEnd w:id="2088"/>
      <w:bookmarkEnd w:id="2090"/>
    </w:p>
    <w:p>
      <w:pPr>
        <w:pStyle w:val="Style41"/>
        <w:keepNext w:val="0"/>
        <w:keepLines w:val="0"/>
        <w:widowControl w:val="0"/>
        <w:shd w:val="clear" w:color="auto" w:fill="auto"/>
        <w:bidi w:val="0"/>
        <w:spacing w:before="0" w:after="38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47"/>
        <w:keepNext/>
        <w:keepLines/>
        <w:widowControl w:val="0"/>
        <w:shd w:val="clear" w:color="auto" w:fill="auto"/>
        <w:tabs>
          <w:tab w:pos="378" w:val="left"/>
        </w:tabs>
        <w:bidi w:val="0"/>
        <w:spacing w:before="0" w:after="380" w:line="240" w:lineRule="auto"/>
        <w:ind w:left="0" w:right="0" w:firstLine="0"/>
        <w:jc w:val="left"/>
      </w:pPr>
      <w:bookmarkStart w:id="2091" w:name="bookmark2091"/>
      <w:bookmarkStart w:id="2092" w:name="bookmark2092"/>
      <w:bookmarkStart w:id="2093" w:name="bookmark2093"/>
      <w:bookmarkStart w:id="2094" w:name="bookmark2094"/>
      <w:r>
        <w:rPr>
          <w:color w:val="000000"/>
          <w:spacing w:val="0"/>
          <w:w w:val="100"/>
          <w:position w:val="0"/>
        </w:rPr>
        <w:t>2</w:t>
      </w:r>
      <w:bookmarkEnd w:id="2093"/>
      <w:r>
        <w:rPr>
          <w:color w:val="000000"/>
          <w:spacing w:val="0"/>
          <w:w w:val="100"/>
          <w:position w:val="0"/>
        </w:rPr>
        <w:t>、</w:t>
        <w:tab/>
        <w:t>以权益结算的股份支付情况</w:t>
      </w:r>
      <w:bookmarkEnd w:id="2091"/>
      <w:bookmarkEnd w:id="2092"/>
      <w:bookmarkEnd w:id="2094"/>
    </w:p>
    <w:p>
      <w:pPr>
        <w:pStyle w:val="Style41"/>
        <w:keepNext w:val="0"/>
        <w:keepLines w:val="0"/>
        <w:widowControl w:val="0"/>
        <w:shd w:val="clear" w:color="auto" w:fill="auto"/>
        <w:bidi w:val="0"/>
        <w:spacing w:before="0" w:after="38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47"/>
        <w:keepNext/>
        <w:keepLines/>
        <w:widowControl w:val="0"/>
        <w:shd w:val="clear" w:color="auto" w:fill="auto"/>
        <w:tabs>
          <w:tab w:pos="378" w:val="left"/>
        </w:tabs>
        <w:bidi w:val="0"/>
        <w:spacing w:before="0" w:after="380" w:line="240" w:lineRule="auto"/>
        <w:ind w:left="0" w:right="0" w:firstLine="0"/>
        <w:jc w:val="left"/>
      </w:pPr>
      <w:bookmarkStart w:id="2095" w:name="bookmark2095"/>
      <w:bookmarkStart w:id="2096" w:name="bookmark2096"/>
      <w:bookmarkStart w:id="2097" w:name="bookmark2097"/>
      <w:bookmarkStart w:id="2098" w:name="bookmark2098"/>
      <w:r>
        <w:rPr>
          <w:color w:val="000000"/>
          <w:spacing w:val="0"/>
          <w:w w:val="100"/>
          <w:position w:val="0"/>
        </w:rPr>
        <w:t>3</w:t>
      </w:r>
      <w:bookmarkEnd w:id="2097"/>
      <w:r>
        <w:rPr>
          <w:color w:val="000000"/>
          <w:spacing w:val="0"/>
          <w:w w:val="100"/>
          <w:position w:val="0"/>
        </w:rPr>
        <w:t>、</w:t>
        <w:tab/>
        <w:t>以现金结算的股份支付情况</w:t>
      </w:r>
      <w:bookmarkEnd w:id="2095"/>
      <w:bookmarkEnd w:id="2096"/>
      <w:bookmarkEnd w:id="2098"/>
    </w:p>
    <w:p>
      <w:pPr>
        <w:pStyle w:val="Style41"/>
        <w:keepNext w:val="0"/>
        <w:keepLines w:val="0"/>
        <w:widowControl w:val="0"/>
        <w:shd w:val="clear" w:color="auto" w:fill="auto"/>
        <w:bidi w:val="0"/>
        <w:spacing w:before="0" w:after="38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47"/>
        <w:keepNext/>
        <w:keepLines/>
        <w:widowControl w:val="0"/>
        <w:shd w:val="clear" w:color="auto" w:fill="auto"/>
        <w:tabs>
          <w:tab w:pos="378" w:val="left"/>
        </w:tabs>
        <w:bidi w:val="0"/>
        <w:spacing w:before="0" w:after="380" w:line="240" w:lineRule="auto"/>
        <w:ind w:left="0" w:right="0" w:firstLine="0"/>
        <w:jc w:val="left"/>
      </w:pPr>
      <w:bookmarkStart w:id="2099" w:name="bookmark2099"/>
      <w:bookmarkStart w:id="2100" w:name="bookmark2100"/>
      <w:bookmarkStart w:id="2101" w:name="bookmark2101"/>
      <w:bookmarkStart w:id="2102" w:name="bookmark2102"/>
      <w:r>
        <w:rPr>
          <w:color w:val="000000"/>
          <w:spacing w:val="0"/>
          <w:w w:val="100"/>
          <w:position w:val="0"/>
        </w:rPr>
        <w:t>4</w:t>
      </w:r>
      <w:bookmarkEnd w:id="2101"/>
      <w:r>
        <w:rPr>
          <w:color w:val="000000"/>
          <w:spacing w:val="0"/>
          <w:w w:val="100"/>
          <w:position w:val="0"/>
        </w:rPr>
        <w:t>、</w:t>
        <w:tab/>
        <w:t>股份支付的修改、终止情况</w:t>
      </w:r>
      <w:bookmarkEnd w:id="2099"/>
      <w:bookmarkEnd w:id="2100"/>
      <w:bookmarkEnd w:id="2102"/>
    </w:p>
    <w:p>
      <w:pPr>
        <w:pStyle w:val="Style41"/>
        <w:keepNext w:val="0"/>
        <w:keepLines w:val="0"/>
        <w:widowControl w:val="0"/>
        <w:shd w:val="clear" w:color="auto" w:fill="auto"/>
        <w:bidi w:val="0"/>
        <w:spacing w:before="0" w:after="380" w:line="240" w:lineRule="auto"/>
        <w:ind w:left="0" w:right="0" w:firstLine="300"/>
        <w:jc w:val="left"/>
      </w:pPr>
      <w:r>
        <w:rPr>
          <w:color w:val="000000"/>
          <w:spacing w:val="0"/>
          <w:w w:val="100"/>
          <w:position w:val="0"/>
        </w:rPr>
        <w:t>无。</w:t>
      </w:r>
    </w:p>
    <w:p>
      <w:pPr>
        <w:pStyle w:val="Style47"/>
        <w:keepNext/>
        <w:keepLines/>
        <w:widowControl w:val="0"/>
        <w:shd w:val="clear" w:color="auto" w:fill="auto"/>
        <w:tabs>
          <w:tab w:pos="378" w:val="left"/>
        </w:tabs>
        <w:bidi w:val="0"/>
        <w:spacing w:before="0" w:after="380" w:line="240" w:lineRule="auto"/>
        <w:ind w:left="0" w:right="0" w:firstLine="0"/>
        <w:jc w:val="left"/>
      </w:pPr>
      <w:bookmarkStart w:id="2103" w:name="bookmark2103"/>
      <w:bookmarkStart w:id="2104" w:name="bookmark2104"/>
      <w:bookmarkStart w:id="2105" w:name="bookmark2105"/>
      <w:bookmarkStart w:id="2106" w:name="bookmark2106"/>
      <w:r>
        <w:rPr>
          <w:color w:val="000000"/>
          <w:spacing w:val="0"/>
          <w:w w:val="100"/>
          <w:position w:val="0"/>
        </w:rPr>
        <w:t>5</w:t>
      </w:r>
      <w:bookmarkEnd w:id="2105"/>
      <w:r>
        <w:rPr>
          <w:color w:val="000000"/>
          <w:spacing w:val="0"/>
          <w:w w:val="100"/>
          <w:position w:val="0"/>
        </w:rPr>
        <w:t>、</w:t>
        <w:tab/>
        <w:t>其他</w:t>
      </w:r>
      <w:bookmarkEnd w:id="2103"/>
      <w:bookmarkEnd w:id="2104"/>
      <w:bookmarkEnd w:id="2106"/>
    </w:p>
    <w:p>
      <w:pPr>
        <w:pStyle w:val="Style41"/>
        <w:keepNext w:val="0"/>
        <w:keepLines w:val="0"/>
        <w:widowControl w:val="0"/>
        <w:shd w:val="clear" w:color="auto" w:fill="auto"/>
        <w:bidi w:val="0"/>
        <w:spacing w:before="0" w:after="680" w:line="240" w:lineRule="auto"/>
        <w:ind w:left="0" w:right="0" w:firstLine="300"/>
        <w:jc w:val="left"/>
      </w:pPr>
      <w:r>
        <w:rPr>
          <w:color w:val="000000"/>
          <w:spacing w:val="0"/>
          <w:w w:val="100"/>
          <w:position w:val="0"/>
        </w:rPr>
        <w:t>无。</w:t>
      </w:r>
    </w:p>
    <w:p>
      <w:pPr>
        <w:pStyle w:val="Style39"/>
        <w:keepNext/>
        <w:keepLines/>
        <w:widowControl w:val="0"/>
        <w:shd w:val="clear" w:color="auto" w:fill="auto"/>
        <w:bidi w:val="0"/>
        <w:spacing w:before="0" w:after="380" w:line="240" w:lineRule="auto"/>
        <w:ind w:left="0" w:right="0" w:firstLine="0"/>
        <w:jc w:val="left"/>
      </w:pPr>
      <w:bookmarkStart w:id="2107" w:name="bookmark2107"/>
      <w:bookmarkStart w:id="2108" w:name="bookmark2108"/>
      <w:bookmarkStart w:id="2109" w:name="bookmark2109"/>
      <w:r>
        <w:rPr>
          <w:color w:val="000000"/>
          <w:spacing w:val="0"/>
          <w:w w:val="100"/>
          <w:position w:val="0"/>
          <w:sz w:val="24"/>
          <w:szCs w:val="24"/>
        </w:rPr>
        <w:t>十四、承诺及或有事项</w:t>
      </w:r>
      <w:bookmarkEnd w:id="2107"/>
      <w:bookmarkEnd w:id="2108"/>
      <w:bookmarkEnd w:id="2109"/>
    </w:p>
    <w:p>
      <w:pPr>
        <w:pStyle w:val="Style47"/>
        <w:keepNext/>
        <w:keepLines/>
        <w:widowControl w:val="0"/>
        <w:shd w:val="clear" w:color="auto" w:fill="auto"/>
        <w:bidi w:val="0"/>
        <w:spacing w:before="0" w:after="460" w:line="240" w:lineRule="auto"/>
        <w:ind w:left="0" w:right="0" w:firstLine="0"/>
        <w:jc w:val="left"/>
      </w:pPr>
      <w:bookmarkStart w:id="2110" w:name="bookmark2110"/>
      <w:bookmarkStart w:id="2111" w:name="bookmark2111"/>
      <w:bookmarkStart w:id="2112" w:name="bookmark2112"/>
      <w:r>
        <w:rPr>
          <w:color w:val="000000"/>
          <w:spacing w:val="0"/>
          <w:w w:val="100"/>
          <w:position w:val="0"/>
        </w:rPr>
        <w:t>1、重要承诺事项</w:t>
      </w:r>
      <w:bookmarkEnd w:id="2110"/>
      <w:bookmarkEnd w:id="2111"/>
      <w:bookmarkEnd w:id="2112"/>
    </w:p>
    <w:p>
      <w:pPr>
        <w:pStyle w:val="Style41"/>
        <w:keepNext w:val="0"/>
        <w:keepLines w:val="0"/>
        <w:widowControl w:val="0"/>
        <w:shd w:val="clear" w:color="auto" w:fill="auto"/>
        <w:bidi w:val="0"/>
        <w:spacing w:before="0" w:after="260" w:line="240" w:lineRule="auto"/>
        <w:ind w:left="0" w:right="0"/>
        <w:jc w:val="left"/>
      </w:pPr>
      <w:r>
        <w:rPr>
          <w:color w:val="000000"/>
          <w:spacing w:val="0"/>
          <w:w w:val="100"/>
          <w:position w:val="0"/>
        </w:rPr>
        <w:t>资产负债表日存在的重要承诺</w:t>
      </w:r>
    </w:p>
    <w:p>
      <w:pPr>
        <w:pStyle w:val="Style41"/>
        <w:keepNext w:val="0"/>
        <w:keepLines w:val="0"/>
        <w:widowControl w:val="0"/>
        <w:shd w:val="clear" w:color="auto" w:fill="auto"/>
        <w:bidi w:val="0"/>
        <w:spacing w:before="0" w:after="260" w:line="240" w:lineRule="auto"/>
        <w:ind w:left="0" w:right="0"/>
        <w:jc w:val="left"/>
      </w:pPr>
      <w:r>
        <w:rPr>
          <w:color w:val="000000"/>
          <w:spacing w:val="0"/>
          <w:w w:val="100"/>
          <w:position w:val="0"/>
        </w:rPr>
        <w:t>(</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)经营租赁承诺</w:t>
      </w:r>
    </w:p>
    <w:p>
      <w:pPr>
        <w:pStyle w:val="Style41"/>
        <w:keepNext w:val="0"/>
        <w:keepLines w:val="0"/>
        <w:widowControl w:val="0"/>
        <w:shd w:val="clear" w:color="auto" w:fill="auto"/>
        <w:bidi w:val="0"/>
        <w:spacing w:before="0" w:after="120" w:line="240" w:lineRule="auto"/>
        <w:ind w:left="0" w:right="0"/>
        <w:jc w:val="left"/>
      </w:pPr>
      <w:r>
        <w:rPr>
          <w:color w:val="000000"/>
          <w:spacing w:val="0"/>
          <w:w w:val="100"/>
          <w:position w:val="0"/>
        </w:rPr>
        <w:t>根据已签订的不可撤销的经营性租赁合同，本公司于资产负债表日后应支付的最低租赁付款额如下：</w:t>
      </w:r>
    </w:p>
    <w:tbl>
      <w:tblPr>
        <w:tblOverlap w:val="never"/>
        <w:jc w:val="center"/>
        <w:tblLayout w:type="fixed"/>
      </w:tblPr>
      <w:tblGrid>
        <w:gridCol w:w="5832"/>
        <w:gridCol w:w="3845"/>
      </w:tblGrid>
      <w:tr>
        <w:trPr>
          <w:trHeight w:val="35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剩余租赁期</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最低租赁付款额</w:t>
            </w:r>
          </w:p>
        </w:tc>
      </w:tr>
      <w:tr>
        <w:trPr>
          <w:trHeight w:val="35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年以内</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880" w:right="0" w:firstLine="0"/>
              <w:jc w:val="left"/>
              <w:rPr>
                <w:sz w:val="18"/>
                <w:szCs w:val="18"/>
              </w:rPr>
            </w:pPr>
            <w:r>
              <w:rPr>
                <w:rFonts w:ascii="Times New Roman" w:eastAsia="Times New Roman" w:hAnsi="Times New Roman" w:cs="Times New Roman"/>
                <w:color w:val="000000"/>
                <w:spacing w:val="0"/>
                <w:w w:val="100"/>
                <w:position w:val="0"/>
                <w:sz w:val="18"/>
                <w:szCs w:val="18"/>
              </w:rPr>
              <w:t>7,509,924.76</w:t>
            </w:r>
          </w:p>
        </w:tc>
      </w:tr>
      <w:tr>
        <w:trPr>
          <w:trHeight w:val="3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至</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880" w:right="0" w:firstLine="0"/>
              <w:jc w:val="left"/>
              <w:rPr>
                <w:sz w:val="18"/>
                <w:szCs w:val="18"/>
              </w:rPr>
            </w:pPr>
            <w:r>
              <w:rPr>
                <w:rFonts w:ascii="Times New Roman" w:eastAsia="Times New Roman" w:hAnsi="Times New Roman" w:cs="Times New Roman"/>
                <w:color w:val="000000"/>
                <w:spacing w:val="0"/>
                <w:w w:val="100"/>
                <w:position w:val="0"/>
                <w:sz w:val="18"/>
                <w:szCs w:val="18"/>
              </w:rPr>
              <w:t>3,906,517.13</w:t>
            </w:r>
          </w:p>
        </w:tc>
      </w:tr>
      <w:tr>
        <w:trPr>
          <w:trHeight w:val="3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至</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880" w:right="0" w:firstLine="0"/>
              <w:jc w:val="left"/>
              <w:rPr>
                <w:sz w:val="18"/>
                <w:szCs w:val="18"/>
              </w:rPr>
            </w:pPr>
            <w:r>
              <w:rPr>
                <w:rFonts w:ascii="Times New Roman" w:eastAsia="Times New Roman" w:hAnsi="Times New Roman" w:cs="Times New Roman"/>
                <w:color w:val="000000"/>
                <w:spacing w:val="0"/>
                <w:w w:val="100"/>
                <w:position w:val="0"/>
                <w:sz w:val="18"/>
                <w:szCs w:val="18"/>
              </w:rPr>
              <w:t>2,926,600.47</w:t>
            </w:r>
          </w:p>
        </w:tc>
      </w:tr>
      <w:tr>
        <w:trPr>
          <w:trHeight w:val="346"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3</w:t>
            </w:r>
            <w:r>
              <w:rPr>
                <w:color w:val="000000"/>
                <w:spacing w:val="0"/>
                <w:w w:val="100"/>
                <w:position w:val="0"/>
              </w:rPr>
              <w:t>年以上</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880" w:right="0" w:firstLine="0"/>
              <w:jc w:val="left"/>
              <w:rPr>
                <w:sz w:val="18"/>
                <w:szCs w:val="18"/>
              </w:rPr>
            </w:pPr>
            <w:r>
              <w:rPr>
                <w:rFonts w:ascii="Times New Roman" w:eastAsia="Times New Roman" w:hAnsi="Times New Roman" w:cs="Times New Roman"/>
                <w:color w:val="000000"/>
                <w:spacing w:val="0"/>
                <w:w w:val="100"/>
                <w:position w:val="0"/>
                <w:sz w:val="18"/>
                <w:szCs w:val="18"/>
              </w:rPr>
              <w:t>2,542,499.77</w:t>
            </w:r>
          </w:p>
        </w:tc>
      </w:tr>
      <w:tr>
        <w:trPr>
          <w:trHeight w:val="360"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16,885,542.13</w:t>
            </w:r>
          </w:p>
        </w:tc>
      </w:tr>
    </w:tbl>
    <w:p>
      <w:pPr>
        <w:pStyle w:val="Style20"/>
        <w:keepNext w:val="0"/>
        <w:keepLines w:val="0"/>
        <w:widowControl w:val="0"/>
        <w:shd w:val="clear" w:color="auto" w:fill="auto"/>
        <w:bidi w:val="0"/>
        <w:spacing w:before="0" w:after="0" w:line="240" w:lineRule="auto"/>
        <w:ind w:left="456" w:right="0" w:firstLine="0"/>
        <w:jc w:val="left"/>
        <w:rPr>
          <w:sz w:val="17"/>
          <w:szCs w:val="17"/>
        </w:rPr>
      </w:pPr>
      <w:r>
        <w:rPr>
          <w:rFonts w:ascii="Times New Roman" w:eastAsia="Times New Roman" w:hAnsi="Times New Roman" w:cs="Times New Roman"/>
          <w:color w:val="000000"/>
          <w:spacing w:val="0"/>
          <w:w w:val="100"/>
          <w:position w:val="0"/>
          <w:sz w:val="18"/>
          <w:szCs w:val="18"/>
        </w:rPr>
        <w:t>(2</w:t>
      </w:r>
      <w:r>
        <w:rPr>
          <w:rFonts w:ascii="SimSun" w:eastAsia="SimSun" w:hAnsi="SimSun" w:cs="SimSun"/>
          <w:color w:val="000000"/>
          <w:spacing w:val="0"/>
          <w:w w:val="100"/>
          <w:position w:val="0"/>
          <w:sz w:val="17"/>
          <w:szCs w:val="17"/>
        </w:rPr>
        <w:t>)截止</w:t>
      </w:r>
      <w:r>
        <w:rPr>
          <w:rFonts w:ascii="Times New Roman" w:eastAsia="Times New Roman" w:hAnsi="Times New Roman" w:cs="Times New Roman"/>
          <w:color w:val="000000"/>
          <w:spacing w:val="0"/>
          <w:w w:val="100"/>
          <w:position w:val="0"/>
          <w:sz w:val="18"/>
          <w:szCs w:val="18"/>
        </w:rPr>
        <w:t>2020</w:t>
      </w:r>
      <w:r>
        <w:rPr>
          <w:rFonts w:ascii="SimSun" w:eastAsia="SimSun" w:hAnsi="SimSun" w:cs="SimSun"/>
          <w:color w:val="000000"/>
          <w:spacing w:val="0"/>
          <w:w w:val="100"/>
          <w:position w:val="0"/>
          <w:sz w:val="17"/>
          <w:szCs w:val="17"/>
        </w:rPr>
        <w:t>年</w:t>
      </w:r>
      <w:r>
        <w:rPr>
          <w:rFonts w:ascii="Times New Roman" w:eastAsia="Times New Roman" w:hAnsi="Times New Roman" w:cs="Times New Roman"/>
          <w:color w:val="000000"/>
          <w:spacing w:val="0"/>
          <w:w w:val="100"/>
          <w:position w:val="0"/>
          <w:sz w:val="18"/>
          <w:szCs w:val="18"/>
        </w:rPr>
        <w:t>12</w:t>
      </w:r>
      <w:r>
        <w:rPr>
          <w:rFonts w:ascii="SimSun" w:eastAsia="SimSun" w:hAnsi="SimSun" w:cs="SimSun"/>
          <w:color w:val="000000"/>
          <w:spacing w:val="0"/>
          <w:w w:val="100"/>
          <w:position w:val="0"/>
          <w:sz w:val="17"/>
          <w:szCs w:val="17"/>
        </w:rPr>
        <w:t>月</w:t>
      </w:r>
      <w:r>
        <w:rPr>
          <w:rFonts w:ascii="Times New Roman" w:eastAsia="Times New Roman" w:hAnsi="Times New Roman" w:cs="Times New Roman"/>
          <w:color w:val="000000"/>
          <w:spacing w:val="0"/>
          <w:w w:val="100"/>
          <w:position w:val="0"/>
          <w:sz w:val="18"/>
          <w:szCs w:val="18"/>
        </w:rPr>
        <w:t>31</w:t>
      </w:r>
      <w:r>
        <w:rPr>
          <w:rFonts w:ascii="SimSun" w:eastAsia="SimSun" w:hAnsi="SimSun" w:cs="SimSun"/>
          <w:color w:val="000000"/>
          <w:spacing w:val="0"/>
          <w:w w:val="100"/>
          <w:position w:val="0"/>
          <w:sz w:val="17"/>
          <w:szCs w:val="17"/>
        </w:rPr>
        <w:t>日止，公司尚未结清的银行保函为</w:t>
      </w:r>
      <w:r>
        <w:rPr>
          <w:rFonts w:ascii="Times New Roman" w:eastAsia="Times New Roman" w:hAnsi="Times New Roman" w:cs="Times New Roman"/>
          <w:color w:val="000000"/>
          <w:spacing w:val="0"/>
          <w:w w:val="100"/>
          <w:position w:val="0"/>
          <w:sz w:val="18"/>
          <w:szCs w:val="18"/>
        </w:rPr>
        <w:t>21,612,160.85</w:t>
      </w:r>
      <w:r>
        <w:rPr>
          <w:rFonts w:ascii="SimSun" w:eastAsia="SimSun" w:hAnsi="SimSun" w:cs="SimSun"/>
          <w:color w:val="000000"/>
          <w:spacing w:val="0"/>
          <w:w w:val="100"/>
          <w:position w:val="0"/>
          <w:sz w:val="17"/>
          <w:szCs w:val="17"/>
        </w:rPr>
        <w:t>元。</w:t>
      </w:r>
    </w:p>
    <w:p>
      <w:pPr>
        <w:pStyle w:val="Style47"/>
        <w:keepNext/>
        <w:keepLines/>
        <w:widowControl w:val="0"/>
        <w:shd w:val="clear" w:color="auto" w:fill="auto"/>
        <w:tabs>
          <w:tab w:pos="378" w:val="left"/>
        </w:tabs>
        <w:bidi w:val="0"/>
        <w:spacing w:before="0" w:after="380" w:line="240" w:lineRule="auto"/>
        <w:ind w:left="0" w:right="0" w:firstLine="0"/>
        <w:jc w:val="left"/>
      </w:pPr>
      <w:bookmarkStart w:id="2113" w:name="bookmark2113"/>
      <w:bookmarkStart w:id="2114" w:name="bookmark2114"/>
      <w:bookmarkStart w:id="2115" w:name="bookmark2115"/>
      <w:bookmarkStart w:id="2116" w:name="bookmark2116"/>
      <w:r>
        <w:rPr>
          <w:color w:val="000000"/>
          <w:spacing w:val="0"/>
          <w:w w:val="100"/>
          <w:position w:val="0"/>
        </w:rPr>
        <w:t>2</w:t>
      </w:r>
      <w:bookmarkEnd w:id="2115"/>
      <w:r>
        <w:rPr>
          <w:color w:val="000000"/>
          <w:spacing w:val="0"/>
          <w:w w:val="100"/>
          <w:position w:val="0"/>
        </w:rPr>
        <w:t>、</w:t>
        <w:tab/>
        <w:t>或有事项</w:t>
      </w:r>
      <w:bookmarkEnd w:id="2113"/>
      <w:bookmarkEnd w:id="2114"/>
      <w:bookmarkEnd w:id="2116"/>
    </w:p>
    <w:p>
      <w:pPr>
        <w:pStyle w:val="Style58"/>
        <w:keepNext/>
        <w:keepLines/>
        <w:widowControl w:val="0"/>
        <w:shd w:val="clear" w:color="auto" w:fill="auto"/>
        <w:tabs>
          <w:tab w:pos="493" w:val="left"/>
        </w:tabs>
        <w:bidi w:val="0"/>
        <w:spacing w:before="0" w:after="120" w:line="240" w:lineRule="auto"/>
        <w:ind w:left="0" w:right="0" w:firstLine="0"/>
        <w:jc w:val="left"/>
        <w:rPr>
          <w:sz w:val="20"/>
          <w:szCs w:val="20"/>
        </w:rPr>
      </w:pPr>
      <w:bookmarkStart w:id="2117" w:name="bookmark2117"/>
      <w:bookmarkStart w:id="2118" w:name="bookmark2118"/>
      <w:bookmarkStart w:id="2119" w:name="bookmark2119"/>
      <w:bookmarkStart w:id="2120" w:name="bookmark2120"/>
      <w:r>
        <w:rPr>
          <w:b/>
          <w:bCs/>
          <w:color w:val="000000"/>
          <w:spacing w:val="0"/>
          <w:w w:val="100"/>
          <w:position w:val="0"/>
          <w:sz w:val="20"/>
          <w:szCs w:val="20"/>
        </w:rPr>
        <w:t>（</w:t>
      </w:r>
      <w:bookmarkEnd w:id="2119"/>
      <w:r>
        <w:rPr>
          <w:b/>
          <w:bCs/>
          <w:color w:val="000000"/>
          <w:spacing w:val="0"/>
          <w:w w:val="100"/>
          <w:position w:val="0"/>
          <w:sz w:val="20"/>
          <w:szCs w:val="20"/>
        </w:rPr>
        <w:t>1）</w:t>
        <w:tab/>
        <w:t>资产负债表日存在的重要或有事项</w:t>
      </w:r>
      <w:bookmarkEnd w:id="2117"/>
      <w:bookmarkEnd w:id="2118"/>
      <w:bookmarkEnd w:id="2120"/>
    </w:p>
    <w:p>
      <w:pPr>
        <w:pStyle w:val="Style41"/>
        <w:keepNext w:val="0"/>
        <w:keepLines w:val="0"/>
        <w:widowControl w:val="0"/>
        <w:shd w:val="clear" w:color="auto" w:fill="auto"/>
        <w:bidi w:val="0"/>
        <w:spacing w:before="0" w:after="380" w:line="480" w:lineRule="exact"/>
        <w:ind w:left="0" w:right="0" w:firstLine="240"/>
        <w:jc w:val="left"/>
      </w:pPr>
      <w:r>
        <w:rPr>
          <w:color w:val="000000"/>
          <w:spacing w:val="0"/>
          <w:w w:val="100"/>
          <w:position w:val="0"/>
        </w:rPr>
        <w:t>公司没有需要披露的重要或有事项。</w:t>
      </w:r>
    </w:p>
    <w:p>
      <w:pPr>
        <w:pStyle w:val="Style58"/>
        <w:keepNext/>
        <w:keepLines/>
        <w:widowControl w:val="0"/>
        <w:shd w:val="clear" w:color="auto" w:fill="auto"/>
        <w:tabs>
          <w:tab w:pos="493" w:val="left"/>
        </w:tabs>
        <w:bidi w:val="0"/>
        <w:spacing w:before="0" w:after="120" w:line="240" w:lineRule="auto"/>
        <w:ind w:left="0" w:right="0" w:firstLine="0"/>
        <w:jc w:val="left"/>
        <w:rPr>
          <w:sz w:val="20"/>
          <w:szCs w:val="20"/>
        </w:rPr>
      </w:pPr>
      <w:bookmarkStart w:id="2121" w:name="bookmark2121"/>
      <w:bookmarkStart w:id="2122" w:name="bookmark2122"/>
      <w:bookmarkStart w:id="2123" w:name="bookmark2123"/>
      <w:bookmarkStart w:id="2124" w:name="bookmark2124"/>
      <w:r>
        <w:rPr>
          <w:b/>
          <w:bCs/>
          <w:color w:val="000000"/>
          <w:spacing w:val="0"/>
          <w:w w:val="100"/>
          <w:position w:val="0"/>
          <w:sz w:val="20"/>
          <w:szCs w:val="20"/>
        </w:rPr>
        <w:t>（</w:t>
      </w:r>
      <w:bookmarkEnd w:id="2123"/>
      <w:r>
        <w:rPr>
          <w:b/>
          <w:bCs/>
          <w:color w:val="000000"/>
          <w:spacing w:val="0"/>
          <w:w w:val="100"/>
          <w:position w:val="0"/>
          <w:sz w:val="20"/>
          <w:szCs w:val="20"/>
        </w:rPr>
        <w:t>2）</w:t>
        <w:tab/>
        <w:t>公司没有需要披露的重要或有事项，也应予以说明</w:t>
      </w:r>
      <w:bookmarkEnd w:id="2121"/>
      <w:bookmarkEnd w:id="2122"/>
      <w:bookmarkEnd w:id="2124"/>
    </w:p>
    <w:p>
      <w:pPr>
        <w:pStyle w:val="Style41"/>
        <w:keepNext w:val="0"/>
        <w:keepLines w:val="0"/>
        <w:widowControl w:val="0"/>
        <w:shd w:val="clear" w:color="auto" w:fill="auto"/>
        <w:bidi w:val="0"/>
        <w:spacing w:before="0" w:after="380" w:line="480" w:lineRule="exact"/>
        <w:ind w:left="0" w:right="0" w:firstLine="240"/>
        <w:jc w:val="left"/>
      </w:pPr>
      <w:r>
        <w:rPr>
          <w:color w:val="000000"/>
          <w:spacing w:val="0"/>
          <w:w w:val="100"/>
          <w:position w:val="0"/>
        </w:rPr>
        <w:t>公司不存在需要披露的重要或有事项。</w:t>
      </w:r>
    </w:p>
    <w:p>
      <w:pPr>
        <w:pStyle w:val="Style47"/>
        <w:keepNext/>
        <w:keepLines/>
        <w:widowControl w:val="0"/>
        <w:shd w:val="clear" w:color="auto" w:fill="auto"/>
        <w:tabs>
          <w:tab w:pos="378" w:val="left"/>
        </w:tabs>
        <w:bidi w:val="0"/>
        <w:spacing w:before="0" w:after="200" w:line="240" w:lineRule="auto"/>
        <w:ind w:left="0" w:right="0" w:firstLine="0"/>
        <w:jc w:val="left"/>
      </w:pPr>
      <w:bookmarkStart w:id="2125" w:name="bookmark2125"/>
      <w:bookmarkStart w:id="2126" w:name="bookmark2126"/>
      <w:bookmarkStart w:id="2127" w:name="bookmark2127"/>
      <w:bookmarkStart w:id="2128" w:name="bookmark2128"/>
      <w:r>
        <w:rPr>
          <w:color w:val="000000"/>
          <w:spacing w:val="0"/>
          <w:w w:val="100"/>
          <w:position w:val="0"/>
        </w:rPr>
        <w:t>3</w:t>
      </w:r>
      <w:bookmarkEnd w:id="2127"/>
      <w:r>
        <w:rPr>
          <w:color w:val="000000"/>
          <w:spacing w:val="0"/>
          <w:w w:val="100"/>
          <w:position w:val="0"/>
        </w:rPr>
        <w:t>、</w:t>
        <w:tab/>
        <w:t>其他</w:t>
      </w:r>
      <w:bookmarkEnd w:id="2125"/>
      <w:bookmarkEnd w:id="2126"/>
      <w:bookmarkEnd w:id="2128"/>
    </w:p>
    <w:p>
      <w:pPr>
        <w:pStyle w:val="Style41"/>
        <w:keepNext w:val="0"/>
        <w:keepLines w:val="0"/>
        <w:widowControl w:val="0"/>
        <w:shd w:val="clear" w:color="auto" w:fill="auto"/>
        <w:bidi w:val="0"/>
        <w:spacing w:before="0" w:after="460" w:line="480" w:lineRule="exact"/>
        <w:ind w:left="0" w:right="0"/>
        <w:jc w:val="left"/>
      </w:pPr>
      <w:r>
        <w:rPr>
          <w:color w:val="000000"/>
          <w:spacing w:val="0"/>
          <w:w w:val="100"/>
          <w:position w:val="0"/>
        </w:rPr>
        <w:t>无。</w:t>
      </w:r>
    </w:p>
    <w:p>
      <w:pPr>
        <w:pStyle w:val="Style39"/>
        <w:keepNext/>
        <w:keepLines/>
        <w:widowControl w:val="0"/>
        <w:shd w:val="clear" w:color="auto" w:fill="auto"/>
        <w:bidi w:val="0"/>
        <w:spacing w:before="0" w:after="380" w:line="240" w:lineRule="auto"/>
        <w:ind w:left="0" w:right="0" w:firstLine="0"/>
        <w:jc w:val="left"/>
      </w:pPr>
      <w:bookmarkStart w:id="2129" w:name="bookmark2129"/>
      <w:bookmarkStart w:id="2130" w:name="bookmark2130"/>
      <w:bookmarkStart w:id="2131" w:name="bookmark2131"/>
      <w:r>
        <w:rPr>
          <w:color w:val="000000"/>
          <w:spacing w:val="0"/>
          <w:w w:val="100"/>
          <w:position w:val="0"/>
          <w:sz w:val="24"/>
          <w:szCs w:val="24"/>
        </w:rPr>
        <w:t>十五、资产负债表日后事项</w:t>
      </w:r>
      <w:bookmarkEnd w:id="2129"/>
      <w:bookmarkEnd w:id="2130"/>
      <w:bookmarkEnd w:id="2131"/>
    </w:p>
    <w:p>
      <w:pPr>
        <w:pStyle w:val="Style47"/>
        <w:keepNext/>
        <w:keepLines/>
        <w:widowControl w:val="0"/>
        <w:shd w:val="clear" w:color="auto" w:fill="auto"/>
        <w:tabs>
          <w:tab w:pos="368" w:val="left"/>
        </w:tabs>
        <w:bidi w:val="0"/>
        <w:spacing w:before="0" w:after="200" w:line="240" w:lineRule="auto"/>
        <w:ind w:left="0" w:right="0" w:firstLine="0"/>
        <w:jc w:val="left"/>
      </w:pPr>
      <w:bookmarkStart w:id="2132" w:name="bookmark2132"/>
      <w:bookmarkStart w:id="2133" w:name="bookmark2133"/>
      <w:bookmarkStart w:id="2134" w:name="bookmark2134"/>
      <w:bookmarkStart w:id="2135" w:name="bookmark2135"/>
      <w:r>
        <w:rPr>
          <w:color w:val="000000"/>
          <w:spacing w:val="0"/>
          <w:w w:val="100"/>
          <w:position w:val="0"/>
        </w:rPr>
        <w:t>1</w:t>
      </w:r>
      <w:bookmarkEnd w:id="2134"/>
      <w:r>
        <w:rPr>
          <w:color w:val="000000"/>
          <w:spacing w:val="0"/>
          <w:w w:val="100"/>
          <w:position w:val="0"/>
        </w:rPr>
        <w:t>、</w:t>
        <w:tab/>
        <w:t>重要的非调整事项</w:t>
      </w:r>
      <w:bookmarkEnd w:id="2132"/>
      <w:bookmarkEnd w:id="2133"/>
      <w:bookmarkEnd w:id="2135"/>
    </w:p>
    <w:p>
      <w:pPr>
        <w:pStyle w:val="Style41"/>
        <w:keepNext w:val="0"/>
        <w:keepLines w:val="0"/>
        <w:widowControl w:val="0"/>
        <w:shd w:val="clear" w:color="auto" w:fill="auto"/>
        <w:bidi w:val="0"/>
        <w:spacing w:before="0" w:after="460" w:line="480" w:lineRule="exact"/>
        <w:ind w:left="0" w:right="0"/>
        <w:jc w:val="left"/>
      </w:pPr>
      <w:r>
        <w:rPr>
          <w:color w:val="000000"/>
          <w:spacing w:val="0"/>
          <w:w w:val="100"/>
          <w:position w:val="0"/>
        </w:rPr>
        <w:t>无。</w:t>
      </w:r>
    </w:p>
    <w:p>
      <w:pPr>
        <w:pStyle w:val="Style47"/>
        <w:keepNext/>
        <w:keepLines/>
        <w:widowControl w:val="0"/>
        <w:shd w:val="clear" w:color="auto" w:fill="auto"/>
        <w:tabs>
          <w:tab w:pos="378" w:val="left"/>
        </w:tabs>
        <w:bidi w:val="0"/>
        <w:spacing w:before="0" w:after="200" w:line="240" w:lineRule="auto"/>
        <w:ind w:left="0" w:right="0" w:firstLine="0"/>
        <w:jc w:val="left"/>
      </w:pPr>
      <w:bookmarkStart w:id="2136" w:name="bookmark2136"/>
      <w:bookmarkStart w:id="2137" w:name="bookmark2137"/>
      <w:bookmarkStart w:id="2138" w:name="bookmark2138"/>
      <w:bookmarkStart w:id="2139" w:name="bookmark2139"/>
      <w:r>
        <w:rPr>
          <w:color w:val="000000"/>
          <w:spacing w:val="0"/>
          <w:w w:val="100"/>
          <w:position w:val="0"/>
        </w:rPr>
        <w:t>2</w:t>
      </w:r>
      <w:bookmarkEnd w:id="2138"/>
      <w:r>
        <w:rPr>
          <w:color w:val="000000"/>
          <w:spacing w:val="0"/>
          <w:w w:val="100"/>
          <w:position w:val="0"/>
        </w:rPr>
        <w:t>、</w:t>
        <w:tab/>
        <w:t>利润分配情况</w:t>
      </w:r>
      <w:bookmarkEnd w:id="2136"/>
      <w:bookmarkEnd w:id="2137"/>
      <w:bookmarkEnd w:id="2139"/>
    </w:p>
    <w:p>
      <w:pPr>
        <w:pStyle w:val="Style41"/>
        <w:keepNext w:val="0"/>
        <w:keepLines w:val="0"/>
        <w:widowControl w:val="0"/>
        <w:shd w:val="clear" w:color="auto" w:fill="auto"/>
        <w:bidi w:val="0"/>
        <w:spacing w:before="0" w:after="460" w:line="480" w:lineRule="exact"/>
        <w:ind w:left="0" w:right="0"/>
        <w:jc w:val="left"/>
      </w:pPr>
      <w:r>
        <w:rPr>
          <w:color w:val="000000"/>
          <w:spacing w:val="0"/>
          <w:w w:val="100"/>
          <w:position w:val="0"/>
        </w:rPr>
        <w:t>公司</w:t>
      </w:r>
      <w:r>
        <w:rPr>
          <w:rFonts w:ascii="Times New Roman" w:eastAsia="Times New Roman" w:hAnsi="Times New Roman" w:cs="Times New Roman"/>
          <w:color w:val="000000"/>
          <w:spacing w:val="0"/>
          <w:w w:val="100"/>
          <w:position w:val="0"/>
          <w:sz w:val="18"/>
          <w:szCs w:val="18"/>
        </w:rPr>
        <w:t xml:space="preserve">2021 </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4</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27</w:t>
      </w:r>
      <w:r>
        <w:rPr>
          <w:color w:val="000000"/>
          <w:spacing w:val="0"/>
          <w:w w:val="100"/>
          <w:position w:val="0"/>
        </w:rPr>
        <w:t>日第七届董事会第四十三次会议决议，</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年度不派发现金红利，不送红股，不以资本公积金转增股 本，可供分配利润将用于公司发展和留待以后年度分配。本议案尚需提交</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年度股东大会审议。</w:t>
      </w:r>
    </w:p>
    <w:p>
      <w:pPr>
        <w:pStyle w:val="Style47"/>
        <w:keepNext/>
        <w:keepLines/>
        <w:widowControl w:val="0"/>
        <w:shd w:val="clear" w:color="auto" w:fill="auto"/>
        <w:tabs>
          <w:tab w:pos="378" w:val="left"/>
        </w:tabs>
        <w:bidi w:val="0"/>
        <w:spacing w:before="0" w:after="460" w:line="240" w:lineRule="auto"/>
        <w:ind w:left="0" w:right="0" w:firstLine="0"/>
        <w:jc w:val="left"/>
      </w:pPr>
      <w:bookmarkStart w:id="2140" w:name="bookmark2140"/>
      <w:bookmarkStart w:id="2141" w:name="bookmark2141"/>
      <w:bookmarkStart w:id="2142" w:name="bookmark2142"/>
      <w:bookmarkStart w:id="2143" w:name="bookmark2143"/>
      <w:r>
        <w:rPr>
          <w:color w:val="000000"/>
          <w:spacing w:val="0"/>
          <w:w w:val="100"/>
          <w:position w:val="0"/>
        </w:rPr>
        <w:t>3</w:t>
      </w:r>
      <w:bookmarkEnd w:id="2142"/>
      <w:r>
        <w:rPr>
          <w:color w:val="000000"/>
          <w:spacing w:val="0"/>
          <w:w w:val="100"/>
          <w:position w:val="0"/>
        </w:rPr>
        <w:t>、</w:t>
        <w:tab/>
        <w:t>销售退回</w:t>
      </w:r>
      <w:bookmarkEnd w:id="2140"/>
      <w:bookmarkEnd w:id="2141"/>
      <w:bookmarkEnd w:id="2143"/>
    </w:p>
    <w:p>
      <w:pPr>
        <w:pStyle w:val="Style41"/>
        <w:keepNext w:val="0"/>
        <w:keepLines w:val="0"/>
        <w:widowControl w:val="0"/>
        <w:shd w:val="clear" w:color="auto" w:fill="auto"/>
        <w:bidi w:val="0"/>
        <w:spacing w:before="0" w:after="460" w:line="480" w:lineRule="exact"/>
        <w:ind w:left="0" w:right="0"/>
        <w:jc w:val="left"/>
      </w:pPr>
      <w:r>
        <w:rPr>
          <w:color w:val="000000"/>
          <w:spacing w:val="0"/>
          <w:w w:val="100"/>
          <w:position w:val="0"/>
        </w:rPr>
        <w:t>无。</w:t>
      </w:r>
    </w:p>
    <w:p>
      <w:pPr>
        <w:pStyle w:val="Style47"/>
        <w:keepNext/>
        <w:keepLines/>
        <w:widowControl w:val="0"/>
        <w:shd w:val="clear" w:color="auto" w:fill="auto"/>
        <w:tabs>
          <w:tab w:pos="378" w:val="left"/>
        </w:tabs>
        <w:bidi w:val="0"/>
        <w:spacing w:before="0" w:after="460" w:line="240" w:lineRule="auto"/>
        <w:ind w:left="0" w:right="0" w:firstLine="0"/>
        <w:jc w:val="left"/>
      </w:pPr>
      <w:bookmarkStart w:id="2144" w:name="bookmark2144"/>
      <w:bookmarkStart w:id="2145" w:name="bookmark2145"/>
      <w:bookmarkStart w:id="2146" w:name="bookmark2146"/>
      <w:bookmarkStart w:id="2147" w:name="bookmark2147"/>
      <w:r>
        <w:rPr>
          <w:color w:val="000000"/>
          <w:spacing w:val="0"/>
          <w:w w:val="100"/>
          <w:position w:val="0"/>
        </w:rPr>
        <w:t>4</w:t>
      </w:r>
      <w:bookmarkEnd w:id="2146"/>
      <w:r>
        <w:rPr>
          <w:color w:val="000000"/>
          <w:spacing w:val="0"/>
          <w:w w:val="100"/>
          <w:position w:val="0"/>
        </w:rPr>
        <w:t>、</w:t>
        <w:tab/>
        <w:t>其他资产负债表日后事项说明</w:t>
      </w:r>
      <w:bookmarkEnd w:id="2144"/>
      <w:bookmarkEnd w:id="2145"/>
      <w:bookmarkEnd w:id="2147"/>
    </w:p>
    <w:p>
      <w:pPr>
        <w:pStyle w:val="Style41"/>
        <w:keepNext w:val="0"/>
        <w:keepLines w:val="0"/>
        <w:widowControl w:val="0"/>
        <w:shd w:val="clear" w:color="auto" w:fill="auto"/>
        <w:bidi w:val="0"/>
        <w:spacing w:before="0" w:after="460" w:line="480" w:lineRule="exact"/>
        <w:ind w:left="0" w:right="0"/>
        <w:jc w:val="left"/>
      </w:pPr>
      <w:r>
        <w:rPr>
          <w:color w:val="000000"/>
          <w:spacing w:val="0"/>
          <w:w w:val="100"/>
          <w:position w:val="0"/>
        </w:rPr>
        <w:t>无。</w:t>
      </w:r>
    </w:p>
    <w:p>
      <w:pPr>
        <w:pStyle w:val="Style39"/>
        <w:keepNext/>
        <w:keepLines/>
        <w:widowControl w:val="0"/>
        <w:shd w:val="clear" w:color="auto" w:fill="auto"/>
        <w:bidi w:val="0"/>
        <w:spacing w:before="0" w:after="380" w:line="240" w:lineRule="auto"/>
        <w:ind w:left="0" w:right="0" w:firstLine="0"/>
        <w:jc w:val="left"/>
      </w:pPr>
      <w:bookmarkStart w:id="2148" w:name="bookmark2148"/>
      <w:bookmarkStart w:id="2149" w:name="bookmark2149"/>
      <w:bookmarkStart w:id="2150" w:name="bookmark2150"/>
      <w:r>
        <w:rPr>
          <w:color w:val="000000"/>
          <w:spacing w:val="0"/>
          <w:w w:val="100"/>
          <w:position w:val="0"/>
          <w:sz w:val="24"/>
          <w:szCs w:val="24"/>
        </w:rPr>
        <w:t>十六、其他重要事项</w:t>
      </w:r>
      <w:bookmarkEnd w:id="2148"/>
      <w:bookmarkEnd w:id="2149"/>
      <w:bookmarkEnd w:id="2150"/>
    </w:p>
    <w:p>
      <w:pPr>
        <w:pStyle w:val="Style47"/>
        <w:keepNext/>
        <w:keepLines/>
        <w:widowControl w:val="0"/>
        <w:shd w:val="clear" w:color="auto" w:fill="auto"/>
        <w:bidi w:val="0"/>
        <w:spacing w:before="0" w:after="380" w:line="240" w:lineRule="auto"/>
        <w:ind w:left="0" w:right="0" w:firstLine="0"/>
        <w:jc w:val="left"/>
      </w:pPr>
      <w:bookmarkStart w:id="2151" w:name="bookmark2151"/>
      <w:bookmarkStart w:id="2152" w:name="bookmark2152"/>
      <w:bookmarkStart w:id="2153" w:name="bookmark2153"/>
      <w:r>
        <w:rPr>
          <w:color w:val="000000"/>
          <w:spacing w:val="0"/>
          <w:w w:val="100"/>
          <w:position w:val="0"/>
        </w:rPr>
        <w:t>1、前期会计差错更正</w:t>
      </w:r>
      <w:bookmarkEnd w:id="2151"/>
      <w:bookmarkEnd w:id="2152"/>
      <w:bookmarkEnd w:id="2153"/>
    </w:p>
    <w:p>
      <w:pPr>
        <w:pStyle w:val="Style58"/>
        <w:keepNext/>
        <w:keepLines/>
        <w:widowControl w:val="0"/>
        <w:shd w:val="clear" w:color="auto" w:fill="auto"/>
        <w:bidi w:val="0"/>
        <w:spacing w:before="0" w:after="120" w:line="240" w:lineRule="auto"/>
        <w:ind w:left="0" w:right="0" w:firstLine="0"/>
        <w:jc w:val="left"/>
        <w:rPr>
          <w:sz w:val="20"/>
          <w:szCs w:val="20"/>
        </w:rPr>
      </w:pPr>
      <w:bookmarkStart w:id="2154" w:name="bookmark2154"/>
      <w:bookmarkStart w:id="2155" w:name="bookmark2155"/>
      <w:bookmarkStart w:id="2156" w:name="bookmark2156"/>
      <w:r>
        <w:rPr>
          <w:b/>
          <w:bCs/>
          <w:color w:val="000000"/>
          <w:spacing w:val="0"/>
          <w:w w:val="100"/>
          <w:position w:val="0"/>
          <w:sz w:val="20"/>
          <w:szCs w:val="20"/>
        </w:rPr>
        <w:t>（1）追溯重述法</w:t>
      </w:r>
      <w:bookmarkEnd w:id="2154"/>
      <w:bookmarkEnd w:id="2155"/>
      <w:bookmarkEnd w:id="2156"/>
    </w:p>
    <w:p>
      <w:pPr>
        <w:pStyle w:val="Style41"/>
        <w:keepNext w:val="0"/>
        <w:keepLines w:val="0"/>
        <w:widowControl w:val="0"/>
        <w:shd w:val="clear" w:color="auto" w:fill="auto"/>
        <w:bidi w:val="0"/>
        <w:spacing w:before="0" w:after="380" w:line="480" w:lineRule="exact"/>
        <w:ind w:left="0" w:right="0"/>
        <w:jc w:val="left"/>
      </w:pPr>
      <w:r>
        <w:rPr>
          <w:color w:val="000000"/>
          <w:spacing w:val="0"/>
          <w:w w:val="100"/>
          <w:position w:val="0"/>
        </w:rPr>
        <w:t>无。</w:t>
      </w:r>
    </w:p>
    <w:p>
      <w:pPr>
        <w:pStyle w:val="Style58"/>
        <w:keepNext/>
        <w:keepLines/>
        <w:widowControl w:val="0"/>
        <w:shd w:val="clear" w:color="auto" w:fill="auto"/>
        <w:bidi w:val="0"/>
        <w:spacing w:before="0" w:after="140" w:line="240" w:lineRule="auto"/>
        <w:ind w:left="0" w:right="0" w:firstLine="0"/>
        <w:jc w:val="both"/>
        <w:rPr>
          <w:sz w:val="20"/>
          <w:szCs w:val="20"/>
        </w:rPr>
      </w:pPr>
      <w:bookmarkStart w:id="2157" w:name="bookmark2157"/>
      <w:bookmarkStart w:id="2158" w:name="bookmark2158"/>
      <w:bookmarkStart w:id="2159" w:name="bookmark2159"/>
      <w:r>
        <w:rPr>
          <w:b/>
          <w:bCs/>
          <w:color w:val="000000"/>
          <w:spacing w:val="0"/>
          <w:w w:val="100"/>
          <w:position w:val="0"/>
          <w:sz w:val="20"/>
          <w:szCs w:val="20"/>
        </w:rPr>
        <w:t>（2）未来适用法</w:t>
      </w:r>
      <w:bookmarkEnd w:id="2157"/>
      <w:bookmarkEnd w:id="2158"/>
      <w:bookmarkEnd w:id="2159"/>
    </w:p>
    <w:p>
      <w:pPr>
        <w:pStyle w:val="Style41"/>
        <w:keepNext w:val="0"/>
        <w:keepLines w:val="0"/>
        <w:widowControl w:val="0"/>
        <w:shd w:val="clear" w:color="auto" w:fill="auto"/>
        <w:bidi w:val="0"/>
        <w:spacing w:before="0" w:after="380" w:line="468" w:lineRule="exact"/>
        <w:ind w:left="0" w:right="0"/>
        <w:jc w:val="both"/>
      </w:pPr>
      <w:r>
        <w:rPr>
          <w:color w:val="000000"/>
          <w:spacing w:val="0"/>
          <w:w w:val="100"/>
          <w:position w:val="0"/>
        </w:rPr>
        <w:t>无。</w:t>
      </w:r>
    </w:p>
    <w:p>
      <w:pPr>
        <w:pStyle w:val="Style47"/>
        <w:keepNext/>
        <w:keepLines/>
        <w:widowControl w:val="0"/>
        <w:shd w:val="clear" w:color="auto" w:fill="auto"/>
        <w:tabs>
          <w:tab w:pos="378" w:val="left"/>
        </w:tabs>
        <w:bidi w:val="0"/>
        <w:spacing w:before="0" w:after="140" w:line="240" w:lineRule="auto"/>
        <w:ind w:left="0" w:right="0" w:firstLine="0"/>
        <w:jc w:val="both"/>
      </w:pPr>
      <w:bookmarkStart w:id="2160" w:name="bookmark2160"/>
      <w:bookmarkStart w:id="2161" w:name="bookmark2161"/>
      <w:bookmarkStart w:id="2162" w:name="bookmark2162"/>
      <w:bookmarkStart w:id="2163" w:name="bookmark2163"/>
      <w:r>
        <w:rPr>
          <w:color w:val="000000"/>
          <w:spacing w:val="0"/>
          <w:w w:val="100"/>
          <w:position w:val="0"/>
        </w:rPr>
        <w:t>2</w:t>
      </w:r>
      <w:bookmarkEnd w:id="2162"/>
      <w:r>
        <w:rPr>
          <w:color w:val="000000"/>
          <w:spacing w:val="0"/>
          <w:w w:val="100"/>
          <w:position w:val="0"/>
        </w:rPr>
        <w:t>、</w:t>
        <w:tab/>
        <w:t>债务重组</w:t>
      </w:r>
      <w:bookmarkEnd w:id="2160"/>
      <w:bookmarkEnd w:id="2161"/>
      <w:bookmarkEnd w:id="2163"/>
    </w:p>
    <w:p>
      <w:pPr>
        <w:pStyle w:val="Style41"/>
        <w:keepNext w:val="0"/>
        <w:keepLines w:val="0"/>
        <w:widowControl w:val="0"/>
        <w:shd w:val="clear" w:color="auto" w:fill="auto"/>
        <w:bidi w:val="0"/>
        <w:spacing w:before="0" w:after="380" w:line="468" w:lineRule="exact"/>
        <w:ind w:left="0" w:right="0" w:firstLine="0"/>
        <w:jc w:val="both"/>
      </w:pPr>
      <w:r>
        <w:rPr>
          <w:color w:val="000000"/>
          <w:spacing w:val="0"/>
          <w:w w:val="100"/>
          <w:position w:val="0"/>
        </w:rPr>
        <w:t>无。</w:t>
      </w:r>
    </w:p>
    <w:p>
      <w:pPr>
        <w:pStyle w:val="Style47"/>
        <w:keepNext/>
        <w:keepLines/>
        <w:widowControl w:val="0"/>
        <w:shd w:val="clear" w:color="auto" w:fill="auto"/>
        <w:tabs>
          <w:tab w:pos="378" w:val="left"/>
        </w:tabs>
        <w:bidi w:val="0"/>
        <w:spacing w:before="0" w:after="140" w:line="240" w:lineRule="auto"/>
        <w:ind w:left="0" w:right="0" w:firstLine="0"/>
        <w:jc w:val="both"/>
      </w:pPr>
      <w:bookmarkStart w:id="2164" w:name="bookmark2164"/>
      <w:bookmarkStart w:id="2165" w:name="bookmark2165"/>
      <w:bookmarkStart w:id="2166" w:name="bookmark2166"/>
      <w:bookmarkStart w:id="2167" w:name="bookmark2167"/>
      <w:r>
        <w:rPr>
          <w:color w:val="000000"/>
          <w:spacing w:val="0"/>
          <w:w w:val="100"/>
          <w:position w:val="0"/>
        </w:rPr>
        <w:t>3</w:t>
      </w:r>
      <w:bookmarkEnd w:id="2166"/>
      <w:r>
        <w:rPr>
          <w:color w:val="000000"/>
          <w:spacing w:val="0"/>
          <w:w w:val="100"/>
          <w:position w:val="0"/>
        </w:rPr>
        <w:t>、</w:t>
        <w:tab/>
        <w:t>资产置换</w:t>
      </w:r>
      <w:bookmarkEnd w:id="2164"/>
      <w:bookmarkEnd w:id="2165"/>
      <w:bookmarkEnd w:id="2167"/>
    </w:p>
    <w:p>
      <w:pPr>
        <w:pStyle w:val="Style41"/>
        <w:keepNext w:val="0"/>
        <w:keepLines w:val="0"/>
        <w:widowControl w:val="0"/>
        <w:shd w:val="clear" w:color="auto" w:fill="auto"/>
        <w:bidi w:val="0"/>
        <w:spacing w:before="0" w:after="380" w:line="468" w:lineRule="exact"/>
        <w:ind w:left="0" w:right="0"/>
        <w:jc w:val="left"/>
      </w:pPr>
      <w:r>
        <w:rPr>
          <w:color w:val="000000"/>
          <w:spacing w:val="0"/>
          <w:w w:val="100"/>
          <w:position w:val="0"/>
        </w:rPr>
        <w:t>无。</w:t>
      </w:r>
    </w:p>
    <w:p>
      <w:pPr>
        <w:pStyle w:val="Style47"/>
        <w:keepNext/>
        <w:keepLines/>
        <w:widowControl w:val="0"/>
        <w:shd w:val="clear" w:color="auto" w:fill="auto"/>
        <w:tabs>
          <w:tab w:pos="378" w:val="left"/>
        </w:tabs>
        <w:bidi w:val="0"/>
        <w:spacing w:before="0" w:after="140" w:line="240" w:lineRule="auto"/>
        <w:ind w:left="0" w:right="0" w:firstLine="0"/>
        <w:jc w:val="both"/>
      </w:pPr>
      <w:bookmarkStart w:id="2168" w:name="bookmark2168"/>
      <w:bookmarkStart w:id="2169" w:name="bookmark2169"/>
      <w:bookmarkStart w:id="2170" w:name="bookmark2170"/>
      <w:bookmarkStart w:id="2171" w:name="bookmark2171"/>
      <w:r>
        <w:rPr>
          <w:color w:val="000000"/>
          <w:spacing w:val="0"/>
          <w:w w:val="100"/>
          <w:position w:val="0"/>
        </w:rPr>
        <w:t>4</w:t>
      </w:r>
      <w:bookmarkEnd w:id="2170"/>
      <w:r>
        <w:rPr>
          <w:color w:val="000000"/>
          <w:spacing w:val="0"/>
          <w:w w:val="100"/>
          <w:position w:val="0"/>
        </w:rPr>
        <w:t>、</w:t>
        <w:tab/>
        <w:t>年金计划</w:t>
      </w:r>
      <w:bookmarkEnd w:id="2168"/>
      <w:bookmarkEnd w:id="2169"/>
      <w:bookmarkEnd w:id="2171"/>
    </w:p>
    <w:p>
      <w:pPr>
        <w:pStyle w:val="Style41"/>
        <w:keepNext w:val="0"/>
        <w:keepLines w:val="0"/>
        <w:widowControl w:val="0"/>
        <w:shd w:val="clear" w:color="auto" w:fill="auto"/>
        <w:bidi w:val="0"/>
        <w:spacing w:before="0" w:after="380" w:line="468" w:lineRule="exact"/>
        <w:ind w:left="0" w:right="0"/>
        <w:jc w:val="left"/>
      </w:pPr>
      <w:r>
        <w:rPr>
          <w:color w:val="000000"/>
          <w:spacing w:val="0"/>
          <w:w w:val="100"/>
          <w:position w:val="0"/>
        </w:rPr>
        <w:t>无。</w:t>
      </w:r>
    </w:p>
    <w:p>
      <w:pPr>
        <w:pStyle w:val="Style47"/>
        <w:keepNext/>
        <w:keepLines/>
        <w:widowControl w:val="0"/>
        <w:shd w:val="clear" w:color="auto" w:fill="auto"/>
        <w:tabs>
          <w:tab w:pos="378" w:val="left"/>
        </w:tabs>
        <w:bidi w:val="0"/>
        <w:spacing w:before="0" w:after="140" w:line="240" w:lineRule="auto"/>
        <w:ind w:left="0" w:right="0" w:firstLine="0"/>
        <w:jc w:val="both"/>
      </w:pPr>
      <w:bookmarkStart w:id="2172" w:name="bookmark2172"/>
      <w:bookmarkStart w:id="2173" w:name="bookmark2173"/>
      <w:bookmarkStart w:id="2174" w:name="bookmark2174"/>
      <w:bookmarkStart w:id="2175" w:name="bookmark2175"/>
      <w:r>
        <w:rPr>
          <w:color w:val="000000"/>
          <w:spacing w:val="0"/>
          <w:w w:val="100"/>
          <w:position w:val="0"/>
        </w:rPr>
        <w:t>5</w:t>
      </w:r>
      <w:bookmarkEnd w:id="2174"/>
      <w:r>
        <w:rPr>
          <w:color w:val="000000"/>
          <w:spacing w:val="0"/>
          <w:w w:val="100"/>
          <w:position w:val="0"/>
        </w:rPr>
        <w:t>、</w:t>
        <w:tab/>
        <w:t>终止经营</w:t>
      </w:r>
      <w:bookmarkEnd w:id="2172"/>
      <w:bookmarkEnd w:id="2173"/>
      <w:bookmarkEnd w:id="2175"/>
    </w:p>
    <w:p>
      <w:pPr>
        <w:pStyle w:val="Style41"/>
        <w:keepNext w:val="0"/>
        <w:keepLines w:val="0"/>
        <w:widowControl w:val="0"/>
        <w:shd w:val="clear" w:color="auto" w:fill="auto"/>
        <w:bidi w:val="0"/>
        <w:spacing w:before="0" w:after="380" w:line="468" w:lineRule="exact"/>
        <w:ind w:left="0" w:right="0"/>
        <w:jc w:val="left"/>
      </w:pPr>
      <w:r>
        <w:rPr>
          <w:color w:val="000000"/>
          <w:spacing w:val="0"/>
          <w:w w:val="100"/>
          <w:position w:val="0"/>
        </w:rPr>
        <w:t>无。</w:t>
      </w:r>
    </w:p>
    <w:p>
      <w:pPr>
        <w:pStyle w:val="Style47"/>
        <w:keepNext/>
        <w:keepLines/>
        <w:widowControl w:val="0"/>
        <w:shd w:val="clear" w:color="auto" w:fill="auto"/>
        <w:tabs>
          <w:tab w:pos="378" w:val="left"/>
        </w:tabs>
        <w:bidi w:val="0"/>
        <w:spacing w:before="0" w:after="380" w:line="240" w:lineRule="auto"/>
        <w:ind w:left="0" w:right="0" w:firstLine="0"/>
        <w:jc w:val="left"/>
      </w:pPr>
      <w:bookmarkStart w:id="2176" w:name="bookmark2176"/>
      <w:bookmarkStart w:id="2177" w:name="bookmark2177"/>
      <w:bookmarkStart w:id="2178" w:name="bookmark2178"/>
      <w:bookmarkStart w:id="2179" w:name="bookmark2179"/>
      <w:r>
        <w:rPr>
          <w:color w:val="000000"/>
          <w:spacing w:val="0"/>
          <w:w w:val="100"/>
          <w:position w:val="0"/>
        </w:rPr>
        <w:t>6</w:t>
      </w:r>
      <w:bookmarkEnd w:id="2178"/>
      <w:r>
        <w:rPr>
          <w:color w:val="000000"/>
          <w:spacing w:val="0"/>
          <w:w w:val="100"/>
          <w:position w:val="0"/>
        </w:rPr>
        <w:t>、</w:t>
        <w:tab/>
        <w:t>分部信息</w:t>
      </w:r>
      <w:bookmarkEnd w:id="2176"/>
      <w:bookmarkEnd w:id="2177"/>
      <w:bookmarkEnd w:id="2179"/>
    </w:p>
    <w:p>
      <w:pPr>
        <w:pStyle w:val="Style58"/>
        <w:keepNext/>
        <w:keepLines/>
        <w:widowControl w:val="0"/>
        <w:shd w:val="clear" w:color="auto" w:fill="auto"/>
        <w:tabs>
          <w:tab w:pos="493" w:val="left"/>
        </w:tabs>
        <w:bidi w:val="0"/>
        <w:spacing w:before="0" w:after="200" w:line="240" w:lineRule="auto"/>
        <w:ind w:left="0" w:right="0" w:firstLine="0"/>
        <w:jc w:val="left"/>
        <w:rPr>
          <w:sz w:val="20"/>
          <w:szCs w:val="20"/>
        </w:rPr>
      </w:pPr>
      <w:bookmarkStart w:id="2180" w:name="bookmark2180"/>
      <w:bookmarkStart w:id="2181" w:name="bookmark2181"/>
      <w:bookmarkStart w:id="2182" w:name="bookmark2182"/>
      <w:bookmarkStart w:id="2183" w:name="bookmark2183"/>
      <w:r>
        <w:rPr>
          <w:b/>
          <w:bCs/>
          <w:color w:val="000000"/>
          <w:spacing w:val="0"/>
          <w:w w:val="100"/>
          <w:position w:val="0"/>
          <w:sz w:val="20"/>
          <w:szCs w:val="20"/>
        </w:rPr>
        <w:t>（</w:t>
      </w:r>
      <w:bookmarkEnd w:id="2182"/>
      <w:r>
        <w:rPr>
          <w:b/>
          <w:bCs/>
          <w:color w:val="000000"/>
          <w:spacing w:val="0"/>
          <w:w w:val="100"/>
          <w:position w:val="0"/>
          <w:sz w:val="20"/>
          <w:szCs w:val="20"/>
        </w:rPr>
        <w:t>1）</w:t>
        <w:tab/>
        <w:t>报告分部的确定依据与会计政策</w:t>
      </w:r>
      <w:bookmarkEnd w:id="2180"/>
      <w:bookmarkEnd w:id="2181"/>
      <w:bookmarkEnd w:id="2183"/>
    </w:p>
    <w:p>
      <w:pPr>
        <w:pStyle w:val="Style41"/>
        <w:keepNext w:val="0"/>
        <w:keepLines w:val="0"/>
        <w:widowControl w:val="0"/>
        <w:shd w:val="clear" w:color="auto" w:fill="auto"/>
        <w:bidi w:val="0"/>
        <w:spacing w:before="0" w:after="0" w:line="468" w:lineRule="exact"/>
        <w:ind w:left="0" w:right="0"/>
        <w:jc w:val="both"/>
      </w:pPr>
      <w:r>
        <w:rPr>
          <w:color w:val="000000"/>
          <w:spacing w:val="0"/>
          <w:w w:val="100"/>
          <w:position w:val="0"/>
        </w:rPr>
        <w:t>根据本公司的内部组织结构、管理要求及内部报告制度确定了</w:t>
      </w:r>
      <w:r>
        <w:rPr>
          <w:rFonts w:ascii="Times New Roman" w:eastAsia="Times New Roman" w:hAnsi="Times New Roman" w:cs="Times New Roman"/>
          <w:color w:val="000000"/>
          <w:spacing w:val="0"/>
          <w:w w:val="100"/>
          <w:position w:val="0"/>
          <w:sz w:val="18"/>
          <w:szCs w:val="18"/>
        </w:rPr>
        <w:t>4</w:t>
      </w:r>
      <w:r>
        <w:rPr>
          <w:color w:val="000000"/>
          <w:spacing w:val="0"/>
          <w:w w:val="100"/>
          <w:position w:val="0"/>
        </w:rPr>
        <w:t>个报告分部，分别为（</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 xml:space="preserve">） </w:t>
      </w:r>
      <w:r>
        <w:rPr>
          <w:rFonts w:ascii="Times New Roman" w:eastAsia="Times New Roman" w:hAnsi="Times New Roman" w:cs="Times New Roman"/>
          <w:color w:val="000000"/>
          <w:spacing w:val="0"/>
          <w:w w:val="100"/>
          <w:position w:val="0"/>
          <w:sz w:val="18"/>
          <w:szCs w:val="18"/>
        </w:rPr>
        <w:t>AI/ICT</w:t>
      </w:r>
      <w:r>
        <w:rPr>
          <w:color w:val="000000"/>
          <w:spacing w:val="0"/>
          <w:w w:val="100"/>
          <w:position w:val="0"/>
        </w:rPr>
        <w:t>运营管理（</w:t>
      </w:r>
      <w:r>
        <w:rPr>
          <w:rFonts w:ascii="Times New Roman" w:eastAsia="Times New Roman" w:hAnsi="Times New Roman" w:cs="Times New Roman"/>
          <w:color w:val="000000"/>
          <w:spacing w:val="0"/>
          <w:w w:val="100"/>
          <w:position w:val="0"/>
          <w:sz w:val="18"/>
          <w:szCs w:val="18"/>
        </w:rPr>
        <w:t>ICT</w:t>
      </w:r>
      <w:r>
        <w:rPr>
          <w:color w:val="000000"/>
          <w:spacing w:val="0"/>
          <w:w w:val="100"/>
          <w:position w:val="0"/>
        </w:rPr>
        <w:t>解决方 案、系统集成、移动互联网运营、人工智能与大数据、拨测）（</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）手机游戏（</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）物联网通信（</w:t>
      </w:r>
      <w:r>
        <w:rPr>
          <w:rFonts w:ascii="Times New Roman" w:eastAsia="Times New Roman" w:hAnsi="Times New Roman" w:cs="Times New Roman"/>
          <w:color w:val="000000"/>
          <w:spacing w:val="0"/>
          <w:w w:val="100"/>
          <w:position w:val="0"/>
          <w:sz w:val="18"/>
          <w:szCs w:val="18"/>
        </w:rPr>
        <w:t>4</w:t>
      </w:r>
      <w:r>
        <w:rPr>
          <w:color w:val="000000"/>
          <w:spacing w:val="0"/>
          <w:w w:val="100"/>
          <w:position w:val="0"/>
        </w:rPr>
        <w:t>）创新业务。本公司的各 个报告分部分别提供不同的产品或服务。由于每个分部需要不同的技术或市场策略，本公司管理层分别单独管理各个报告分 部的经营活动，定期评价这些报告分部的经营成果，以决定向其分配资源及评价其业绩。</w:t>
      </w:r>
    </w:p>
    <w:p>
      <w:pPr>
        <w:pStyle w:val="Style41"/>
        <w:keepNext w:val="0"/>
        <w:keepLines w:val="0"/>
        <w:widowControl w:val="0"/>
        <w:shd w:val="clear" w:color="auto" w:fill="auto"/>
        <w:bidi w:val="0"/>
        <w:spacing w:before="0" w:after="780" w:line="468" w:lineRule="exact"/>
        <w:ind w:left="0" w:right="0"/>
        <w:jc w:val="both"/>
      </w:pPr>
      <w:r>
        <w:rPr>
          <w:color w:val="000000"/>
          <w:spacing w:val="0"/>
          <w:w w:val="100"/>
          <w:position w:val="0"/>
        </w:rPr>
        <w:t>分部报告信息根据各分部向管理层报告时采用的会计政策及计量标准披露，这些计量基础与编制财务报表时的会计与计 量基础保持一致。</w:t>
      </w:r>
    </w:p>
    <w:p>
      <w:pPr>
        <w:pStyle w:val="Style58"/>
        <w:keepNext/>
        <w:keepLines/>
        <w:widowControl w:val="0"/>
        <w:shd w:val="clear" w:color="auto" w:fill="auto"/>
        <w:tabs>
          <w:tab w:pos="493" w:val="left"/>
        </w:tabs>
        <w:bidi w:val="0"/>
        <w:spacing w:before="0" w:after="380" w:line="240" w:lineRule="auto"/>
        <w:ind w:left="0" w:right="0" w:firstLine="0"/>
        <w:jc w:val="left"/>
        <w:rPr>
          <w:sz w:val="20"/>
          <w:szCs w:val="20"/>
        </w:rPr>
      </w:pPr>
      <w:bookmarkStart w:id="2184" w:name="bookmark2184"/>
      <w:bookmarkStart w:id="2185" w:name="bookmark2185"/>
      <w:bookmarkStart w:id="2186" w:name="bookmark2186"/>
      <w:bookmarkStart w:id="2187" w:name="bookmark2187"/>
      <w:r>
        <w:rPr>
          <w:b/>
          <w:bCs/>
          <w:color w:val="000000"/>
          <w:spacing w:val="0"/>
          <w:w w:val="100"/>
          <w:position w:val="0"/>
          <w:sz w:val="20"/>
          <w:szCs w:val="20"/>
        </w:rPr>
        <w:t>（</w:t>
      </w:r>
      <w:bookmarkEnd w:id="2186"/>
      <w:r>
        <w:rPr>
          <w:b/>
          <w:bCs/>
          <w:color w:val="000000"/>
          <w:spacing w:val="0"/>
          <w:w w:val="100"/>
          <w:position w:val="0"/>
          <w:sz w:val="20"/>
          <w:szCs w:val="20"/>
        </w:rPr>
        <w:t>2）</w:t>
        <w:tab/>
        <w:t>报告分部的财务信息</w:t>
      </w:r>
      <w:bookmarkEnd w:id="2184"/>
      <w:bookmarkEnd w:id="2185"/>
      <w:bookmarkEnd w:id="2187"/>
    </w:p>
    <w:p>
      <w:pPr>
        <w:pStyle w:val="Style41"/>
        <w:keepNext w:val="0"/>
        <w:keepLines w:val="0"/>
        <w:widowControl w:val="0"/>
        <w:shd w:val="clear" w:color="auto" w:fill="auto"/>
        <w:bidi w:val="0"/>
        <w:spacing w:before="0" w:after="60" w:line="240" w:lineRule="auto"/>
        <w:ind w:left="0" w:right="0" w:firstLine="0"/>
        <w:jc w:val="right"/>
      </w:pPr>
      <w:r>
        <w:rPr>
          <w:color w:val="000000"/>
          <w:spacing w:val="0"/>
          <w:w w:val="100"/>
          <w:position w:val="0"/>
        </w:rPr>
        <w:t>单位：元</w:t>
      </w:r>
    </w:p>
    <w:tbl>
      <w:tblPr>
        <w:tblOverlap w:val="never"/>
        <w:jc w:val="center"/>
        <w:tblLayout w:type="fixed"/>
      </w:tblPr>
      <w:tblGrid>
        <w:gridCol w:w="1421"/>
        <w:gridCol w:w="1560"/>
        <w:gridCol w:w="1421"/>
        <w:gridCol w:w="1272"/>
        <w:gridCol w:w="1277"/>
        <w:gridCol w:w="1258"/>
        <w:gridCol w:w="1378"/>
      </w:tblGrid>
      <w:tr>
        <w:trPr>
          <w:trHeight w:val="40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AI/ICT</w:t>
            </w:r>
            <w:r>
              <w:rPr>
                <w:color w:val="000000"/>
                <w:spacing w:val="0"/>
                <w:w w:val="100"/>
                <w:position w:val="0"/>
              </w:rPr>
              <w:t>运营管理</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游戏</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物联网</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创新业务</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分部间抵销</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一、对外交易主营 业务收入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both"/>
              <w:rPr>
                <w:sz w:val="18"/>
                <w:szCs w:val="18"/>
              </w:rPr>
            </w:pPr>
            <w:r>
              <w:rPr>
                <w:rFonts w:ascii="Times New Roman" w:eastAsia="Times New Roman" w:hAnsi="Times New Roman" w:cs="Times New Roman"/>
                <w:color w:val="000000"/>
                <w:spacing w:val="0"/>
                <w:w w:val="100"/>
                <w:position w:val="0"/>
                <w:sz w:val="18"/>
                <w:szCs w:val="18"/>
              </w:rPr>
              <w:t>1,056,666,382.77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2,407,728,322.09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26,707,267.24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64,581,163.82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3,555,683,135.92</w:t>
            </w:r>
          </w:p>
        </w:tc>
      </w:tr>
      <w:tr>
        <w:trPr>
          <w:trHeight w:val="725"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分部间交易主营</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业务收入</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left"/>
              <w:rPr>
                <w:sz w:val="18"/>
                <w:szCs w:val="18"/>
              </w:rPr>
            </w:pPr>
            <w:r>
              <w:rPr>
                <w:rFonts w:ascii="Times New Roman" w:eastAsia="Times New Roman" w:hAnsi="Times New Roman" w:cs="Times New Roman"/>
                <w:color w:val="000000"/>
                <w:spacing w:val="0"/>
                <w:w w:val="100"/>
                <w:position w:val="0"/>
                <w:sz w:val="18"/>
                <w:szCs w:val="18"/>
              </w:rPr>
              <w:t>27,315,337.90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8"/>
                <w:szCs w:val="18"/>
              </w:rPr>
            </w:pPr>
            <w:r>
              <w:rPr>
                <w:rFonts w:ascii="Times New Roman" w:eastAsia="Times New Roman" w:hAnsi="Times New Roman" w:cs="Times New Roman"/>
                <w:color w:val="000000"/>
                <w:spacing w:val="0"/>
                <w:w w:val="100"/>
                <w:position w:val="0"/>
                <w:sz w:val="18"/>
                <w:szCs w:val="18"/>
              </w:rPr>
              <w:t>27,315,337.90</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ectPr>
          <w:headerReference w:type="default" r:id="rId453"/>
          <w:footerReference w:type="default" r:id="rId454"/>
          <w:headerReference w:type="even" r:id="rId455"/>
          <w:footerReference w:type="even" r:id="rId456"/>
          <w:footnotePr>
            <w:pos w:val="pageBottom"/>
            <w:numFmt w:val="decimal"/>
            <w:numRestart w:val="continuous"/>
          </w:footnotePr>
          <w:type w:val="continuous"/>
          <w:pgSz w:w="11904" w:h="17375"/>
          <w:pgMar w:top="1677" w:right="1040" w:bottom="1673" w:left="995" w:header="0" w:footer="3" w:gutter="0"/>
          <w:cols w:space="720"/>
          <w:noEndnote/>
          <w:rtlGutter w:val="0"/>
          <w:docGrid w:linePitch="360"/>
        </w:sectPr>
      </w:pPr>
    </w:p>
    <w:tbl>
      <w:tblPr>
        <w:tblOverlap w:val="never"/>
        <w:jc w:val="center"/>
        <w:tblLayout w:type="fixed"/>
      </w:tblPr>
      <w:tblGrid>
        <w:gridCol w:w="1421"/>
        <w:gridCol w:w="1560"/>
        <w:gridCol w:w="1421"/>
        <w:gridCol w:w="1272"/>
        <w:gridCol w:w="1277"/>
        <w:gridCol w:w="1258"/>
        <w:gridCol w:w="1378"/>
      </w:tblGrid>
      <w:tr>
        <w:trPr>
          <w:trHeight w:val="792"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二、对外交易主营 业务成本</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558,481,276.04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808,742,549.16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11,615,262.79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38,443,367.61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1,417,282,455.60</w:t>
            </w:r>
          </w:p>
        </w:tc>
      </w:tr>
      <w:tr>
        <w:trPr>
          <w:trHeight w:val="725"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120" w:line="240" w:lineRule="auto"/>
              <w:ind w:left="0" w:right="0" w:firstLine="0"/>
              <w:jc w:val="left"/>
            </w:pPr>
            <w:r>
              <w:rPr>
                <w:color w:val="000000"/>
                <w:spacing w:val="0"/>
                <w:w w:val="100"/>
                <w:position w:val="0"/>
              </w:rPr>
              <w:t>分部间交易主营</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业务成本</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27,315,337.90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27,315,337.90</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319" w:line="1" w:lineRule="exact"/>
      </w:pPr>
    </w:p>
    <w:p>
      <w:pPr>
        <w:pStyle w:val="Style58"/>
        <w:keepNext/>
        <w:keepLines/>
        <w:widowControl w:val="0"/>
        <w:shd w:val="clear" w:color="auto" w:fill="auto"/>
        <w:bidi w:val="0"/>
        <w:spacing w:before="0" w:after="140" w:line="240" w:lineRule="auto"/>
        <w:ind w:left="0" w:right="0" w:firstLine="0"/>
        <w:jc w:val="both"/>
        <w:rPr>
          <w:sz w:val="20"/>
          <w:szCs w:val="20"/>
        </w:rPr>
      </w:pPr>
      <w:bookmarkStart w:id="2188" w:name="bookmark2188"/>
      <w:bookmarkStart w:id="2189" w:name="bookmark2189"/>
      <w:bookmarkStart w:id="2190" w:name="bookmark2190"/>
      <w:bookmarkStart w:id="2191" w:name="bookmark2191"/>
      <w:r>
        <w:rPr>
          <w:b/>
          <w:bCs/>
          <w:color w:val="000000"/>
          <w:spacing w:val="0"/>
          <w:w w:val="100"/>
          <w:position w:val="0"/>
          <w:sz w:val="20"/>
          <w:szCs w:val="20"/>
        </w:rPr>
        <w:t>（</w:t>
      </w:r>
      <w:bookmarkEnd w:id="2190"/>
      <w:r>
        <w:rPr>
          <w:b/>
          <w:bCs/>
          <w:color w:val="000000"/>
          <w:spacing w:val="0"/>
          <w:w w:val="100"/>
          <w:position w:val="0"/>
          <w:sz w:val="20"/>
          <w:szCs w:val="20"/>
        </w:rPr>
        <w:t>3）其他说明</w:t>
      </w:r>
      <w:bookmarkEnd w:id="2188"/>
      <w:bookmarkEnd w:id="2189"/>
      <w:bookmarkEnd w:id="2191"/>
    </w:p>
    <w:p>
      <w:pPr>
        <w:pStyle w:val="Style41"/>
        <w:keepNext w:val="0"/>
        <w:keepLines w:val="0"/>
        <w:widowControl w:val="0"/>
        <w:shd w:val="clear" w:color="auto" w:fill="auto"/>
        <w:bidi w:val="0"/>
        <w:spacing w:before="0" w:after="380" w:line="466" w:lineRule="exact"/>
        <w:ind w:left="0" w:right="0"/>
        <w:jc w:val="both"/>
      </w:pPr>
      <w:r>
        <w:rPr>
          <w:color w:val="000000"/>
          <w:spacing w:val="0"/>
          <w:w w:val="100"/>
          <w:position w:val="0"/>
        </w:rPr>
        <w:t>无。</w:t>
      </w:r>
    </w:p>
    <w:p>
      <w:pPr>
        <w:pStyle w:val="Style47"/>
        <w:keepNext/>
        <w:keepLines/>
        <w:widowControl w:val="0"/>
        <w:shd w:val="clear" w:color="auto" w:fill="auto"/>
        <w:tabs>
          <w:tab w:pos="373" w:val="left"/>
        </w:tabs>
        <w:bidi w:val="0"/>
        <w:spacing w:before="0" w:after="380" w:line="240" w:lineRule="auto"/>
        <w:ind w:left="0" w:right="0" w:firstLine="0"/>
        <w:jc w:val="both"/>
      </w:pPr>
      <w:bookmarkStart w:id="2192" w:name="bookmark2192"/>
      <w:bookmarkStart w:id="2193" w:name="bookmark2193"/>
      <w:bookmarkStart w:id="2194" w:name="bookmark2194"/>
      <w:bookmarkStart w:id="2195" w:name="bookmark2195"/>
      <w:r>
        <w:rPr>
          <w:color w:val="000000"/>
          <w:spacing w:val="0"/>
          <w:w w:val="100"/>
          <w:position w:val="0"/>
        </w:rPr>
        <w:t>7</w:t>
      </w:r>
      <w:bookmarkEnd w:id="2194"/>
      <w:r>
        <w:rPr>
          <w:color w:val="000000"/>
          <w:spacing w:val="0"/>
          <w:w w:val="100"/>
          <w:position w:val="0"/>
        </w:rPr>
        <w:t>、</w:t>
        <w:tab/>
        <w:t>其他对投资者决策有影响的重要交易和事项</w:t>
      </w:r>
      <w:bookmarkEnd w:id="2192"/>
      <w:bookmarkEnd w:id="2193"/>
      <w:bookmarkEnd w:id="2195"/>
    </w:p>
    <w:p>
      <w:pPr>
        <w:pStyle w:val="Style41"/>
        <w:keepNext w:val="0"/>
        <w:keepLines w:val="0"/>
        <w:widowControl w:val="0"/>
        <w:shd w:val="clear" w:color="auto" w:fill="auto"/>
        <w:tabs>
          <w:tab w:pos="354" w:val="left"/>
        </w:tabs>
        <w:bidi w:val="0"/>
        <w:spacing w:before="0" w:after="0" w:line="240" w:lineRule="auto"/>
        <w:ind w:left="0" w:right="0" w:firstLine="0"/>
        <w:jc w:val="both"/>
      </w:pPr>
      <w:bookmarkStart w:id="2196" w:name="bookmark2196"/>
      <w:r>
        <w:rPr>
          <w:rFonts w:ascii="Times New Roman" w:eastAsia="Times New Roman" w:hAnsi="Times New Roman" w:cs="Times New Roman"/>
          <w:b/>
          <w:bCs/>
          <w:color w:val="000000"/>
          <w:spacing w:val="0"/>
          <w:w w:val="100"/>
          <w:position w:val="0"/>
          <w:sz w:val="18"/>
          <w:szCs w:val="18"/>
        </w:rPr>
        <w:t>1</w:t>
      </w:r>
      <w:bookmarkEnd w:id="2196"/>
      <w:r>
        <w:rPr>
          <w:b/>
          <w:bCs/>
          <w:color w:val="000000"/>
          <w:spacing w:val="0"/>
          <w:w w:val="100"/>
          <w:position w:val="0"/>
        </w:rPr>
        <w:t>）</w:t>
        <w:tab/>
        <w:t>诉讼事项</w:t>
      </w:r>
    </w:p>
    <w:p>
      <w:pPr>
        <w:pStyle w:val="Style41"/>
        <w:keepNext w:val="0"/>
        <w:keepLines w:val="0"/>
        <w:widowControl w:val="0"/>
        <w:shd w:val="clear" w:color="auto" w:fill="auto"/>
        <w:bidi w:val="0"/>
        <w:spacing w:before="0" w:after="500" w:line="466" w:lineRule="exact"/>
        <w:ind w:left="0" w:right="0"/>
        <w:jc w:val="both"/>
      </w:pPr>
      <w:r>
        <w:rPr>
          <w:color w:val="000000"/>
          <w:spacing w:val="0"/>
          <w:w w:val="100"/>
          <w:position w:val="0"/>
        </w:rPr>
        <w:t>公司全资子公司北京神州泰岳系统集成有限公司（以下简称</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系统集成公司</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）就与大唐电信科技股份有限公司旗下子公 司大唐半导体设计有限公司（以下简称</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大唐半导体</w:t>
      </w:r>
      <w:r>
        <w:rPr>
          <w:color w:val="000000"/>
          <w:spacing w:val="0"/>
          <w:w w:val="100"/>
          <w:position w:val="0"/>
        </w:rPr>
        <w:t>''）</w:t>
      </w:r>
      <w:r>
        <w:rPr>
          <w:color w:val="000000"/>
          <w:spacing w:val="0"/>
          <w:w w:val="100"/>
          <w:position w:val="0"/>
        </w:rPr>
        <w:t>、大唐微电子技术有限公司（以下简称</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大唐微电子</w:t>
      </w:r>
      <w:r>
        <w:rPr>
          <w:color w:val="000000"/>
          <w:spacing w:val="0"/>
          <w:w w:val="100"/>
          <w:position w:val="0"/>
        </w:rPr>
        <w:t>''）</w:t>
      </w:r>
      <w:r>
        <w:rPr>
          <w:color w:val="000000"/>
          <w:spacing w:val="0"/>
          <w:w w:val="100"/>
          <w:position w:val="0"/>
        </w:rPr>
        <w:t>之间的合同纠 纷，再次提起诉讼申请，要求大唐半导体、大唐微电子支付合同款项及相应违约金，合计涉案金额约</w:t>
      </w:r>
      <w:r>
        <w:rPr>
          <w:rFonts w:ascii="Times New Roman" w:eastAsia="Times New Roman" w:hAnsi="Times New Roman" w:cs="Times New Roman"/>
          <w:color w:val="000000"/>
          <w:spacing w:val="0"/>
          <w:w w:val="100"/>
          <w:position w:val="0"/>
          <w:sz w:val="18"/>
          <w:szCs w:val="18"/>
        </w:rPr>
        <w:t>48,277.4</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万元。</w:t>
      </w:r>
      <w:r>
        <w:rPr>
          <w:rFonts w:ascii="Times New Roman" w:eastAsia="Times New Roman" w:hAnsi="Times New Roman" w:cs="Times New Roman"/>
          <w:color w:val="000000"/>
          <w:spacing w:val="0"/>
          <w:w w:val="100"/>
          <w:position w:val="0"/>
          <w:sz w:val="18"/>
          <w:szCs w:val="18"/>
        </w:rPr>
        <w:t xml:space="preserve">2021 </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4</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日，公司收到北京市海淀区人民法院（</w:t>
      </w:r>
      <w:r>
        <w:rPr>
          <w:rFonts w:ascii="Times New Roman" w:eastAsia="Times New Roman" w:hAnsi="Times New Roman" w:cs="Times New Roman"/>
          <w:color w:val="000000"/>
          <w:spacing w:val="0"/>
          <w:w w:val="100"/>
          <w:position w:val="0"/>
          <w:sz w:val="18"/>
          <w:szCs w:val="18"/>
        </w:rPr>
        <w:t>2021</w:t>
      </w:r>
      <w:r>
        <w:rPr>
          <w:color w:val="000000"/>
          <w:spacing w:val="0"/>
          <w:w w:val="100"/>
          <w:position w:val="0"/>
        </w:rPr>
        <w:t>）京</w:t>
      </w:r>
      <w:r>
        <w:rPr>
          <w:rFonts w:ascii="Times New Roman" w:eastAsia="Times New Roman" w:hAnsi="Times New Roman" w:cs="Times New Roman"/>
          <w:color w:val="000000"/>
          <w:spacing w:val="0"/>
          <w:w w:val="100"/>
          <w:position w:val="0"/>
          <w:sz w:val="18"/>
          <w:szCs w:val="18"/>
        </w:rPr>
        <w:t>0108</w:t>
      </w:r>
      <w:r>
        <w:rPr>
          <w:color w:val="000000"/>
          <w:spacing w:val="0"/>
          <w:w w:val="100"/>
          <w:position w:val="0"/>
        </w:rPr>
        <w:t>民初</w:t>
      </w:r>
      <w:r>
        <w:rPr>
          <w:rFonts w:ascii="Times New Roman" w:eastAsia="Times New Roman" w:hAnsi="Times New Roman" w:cs="Times New Roman"/>
          <w:color w:val="000000"/>
          <w:spacing w:val="0"/>
          <w:w w:val="100"/>
          <w:position w:val="0"/>
          <w:sz w:val="18"/>
          <w:szCs w:val="18"/>
        </w:rPr>
        <w:t>18303</w:t>
      </w:r>
      <w:r>
        <w:rPr>
          <w:color w:val="000000"/>
          <w:spacing w:val="0"/>
          <w:w w:val="100"/>
          <w:position w:val="0"/>
        </w:rPr>
        <w:t>号、（</w:t>
      </w:r>
      <w:r>
        <w:rPr>
          <w:rFonts w:ascii="Times New Roman" w:eastAsia="Times New Roman" w:hAnsi="Times New Roman" w:cs="Times New Roman"/>
          <w:color w:val="000000"/>
          <w:spacing w:val="0"/>
          <w:w w:val="100"/>
          <w:position w:val="0"/>
          <w:sz w:val="18"/>
          <w:szCs w:val="18"/>
        </w:rPr>
        <w:t>2021</w:t>
      </w:r>
      <w:r>
        <w:rPr>
          <w:color w:val="000000"/>
          <w:spacing w:val="0"/>
          <w:w w:val="100"/>
          <w:position w:val="0"/>
        </w:rPr>
        <w:t>）京</w:t>
      </w:r>
      <w:r>
        <w:rPr>
          <w:rFonts w:ascii="Times New Roman" w:eastAsia="Times New Roman" w:hAnsi="Times New Roman" w:cs="Times New Roman"/>
          <w:color w:val="000000"/>
          <w:spacing w:val="0"/>
          <w:w w:val="100"/>
          <w:position w:val="0"/>
          <w:sz w:val="18"/>
          <w:szCs w:val="18"/>
        </w:rPr>
        <w:t>0108</w:t>
      </w:r>
      <w:r>
        <w:rPr>
          <w:color w:val="000000"/>
          <w:spacing w:val="0"/>
          <w:w w:val="100"/>
          <w:position w:val="0"/>
        </w:rPr>
        <w:t>民初</w:t>
      </w:r>
      <w:r>
        <w:rPr>
          <w:rFonts w:ascii="Times New Roman" w:eastAsia="Times New Roman" w:hAnsi="Times New Roman" w:cs="Times New Roman"/>
          <w:color w:val="000000"/>
          <w:spacing w:val="0"/>
          <w:w w:val="100"/>
          <w:position w:val="0"/>
          <w:sz w:val="18"/>
          <w:szCs w:val="18"/>
        </w:rPr>
        <w:t>18332</w:t>
      </w:r>
      <w:r>
        <w:rPr>
          <w:color w:val="000000"/>
          <w:spacing w:val="0"/>
          <w:w w:val="100"/>
          <w:position w:val="0"/>
        </w:rPr>
        <w:t>号等民事裁定书，裁定 驳回系统集成公司的起诉，截止至本报告披露日，公司已依法向北京市第一中级人民法院提起上诉。目前该案件尚未开庭审 理。</w:t>
      </w:r>
    </w:p>
    <w:p>
      <w:pPr>
        <w:pStyle w:val="Style41"/>
        <w:keepNext w:val="0"/>
        <w:keepLines w:val="0"/>
        <w:widowControl w:val="0"/>
        <w:shd w:val="clear" w:color="auto" w:fill="auto"/>
        <w:tabs>
          <w:tab w:pos="368" w:val="left"/>
        </w:tabs>
        <w:bidi w:val="0"/>
        <w:spacing w:before="0" w:after="0" w:line="240" w:lineRule="auto"/>
        <w:ind w:left="0" w:right="0" w:firstLine="0"/>
        <w:jc w:val="left"/>
      </w:pPr>
      <w:bookmarkStart w:id="2197" w:name="bookmark2197"/>
      <w:r>
        <w:rPr>
          <w:rFonts w:ascii="Times New Roman" w:eastAsia="Times New Roman" w:hAnsi="Times New Roman" w:cs="Times New Roman"/>
          <w:b/>
          <w:bCs/>
          <w:color w:val="000000"/>
          <w:spacing w:val="0"/>
          <w:w w:val="100"/>
          <w:position w:val="0"/>
          <w:sz w:val="18"/>
          <w:szCs w:val="18"/>
        </w:rPr>
        <w:t>2</w:t>
      </w:r>
      <w:bookmarkEnd w:id="2197"/>
      <w:r>
        <w:rPr>
          <w:b/>
          <w:bCs/>
          <w:color w:val="000000"/>
          <w:spacing w:val="0"/>
          <w:w w:val="100"/>
          <w:position w:val="0"/>
        </w:rPr>
        <w:t>）</w:t>
        <w:tab/>
        <w:t>终止向特定对象发行股票事项</w:t>
      </w:r>
    </w:p>
    <w:p>
      <w:pPr>
        <w:pStyle w:val="Style41"/>
        <w:keepNext w:val="0"/>
        <w:keepLines w:val="0"/>
        <w:widowControl w:val="0"/>
        <w:shd w:val="clear" w:color="auto" w:fill="auto"/>
        <w:bidi w:val="0"/>
        <w:spacing w:before="0" w:after="0" w:line="480" w:lineRule="exact"/>
        <w:ind w:left="0" w:right="0"/>
        <w:jc w:val="both"/>
      </w:pPr>
      <w:r>
        <w:rPr>
          <w:rFonts w:ascii="Times New Roman" w:eastAsia="Times New Roman" w:hAnsi="Times New Roman" w:cs="Times New Roman"/>
          <w:color w:val="000000"/>
          <w:spacing w:val="0"/>
          <w:w w:val="100"/>
          <w:position w:val="0"/>
          <w:sz w:val="18"/>
          <w:szCs w:val="18"/>
        </w:rPr>
        <w:t>2021</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4</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19</w:t>
      </w:r>
      <w:r>
        <w:rPr>
          <w:color w:val="000000"/>
          <w:spacing w:val="0"/>
          <w:w w:val="100"/>
          <w:position w:val="0"/>
        </w:rPr>
        <w:t>日，公司第七届董事会第四十四次会议审议通过《关于终止向特定对象发行股票事项并撤回申请文件的议 案》。</w:t>
      </w:r>
    </w:p>
    <w:p>
      <w:pPr>
        <w:pStyle w:val="Style41"/>
        <w:keepNext w:val="0"/>
        <w:keepLines w:val="0"/>
        <w:widowControl w:val="0"/>
        <w:shd w:val="clear" w:color="auto" w:fill="auto"/>
        <w:bidi w:val="0"/>
        <w:spacing w:before="0" w:after="460" w:line="480" w:lineRule="exact"/>
        <w:ind w:left="0" w:right="0"/>
        <w:jc w:val="both"/>
      </w:pPr>
      <w:r>
        <w:rPr>
          <w:rFonts w:ascii="Times New Roman" w:eastAsia="Times New Roman" w:hAnsi="Times New Roman" w:cs="Times New Roman"/>
          <w:color w:val="000000"/>
          <w:spacing w:val="0"/>
          <w:w w:val="100"/>
          <w:position w:val="0"/>
          <w:sz w:val="18"/>
          <w:szCs w:val="18"/>
        </w:rPr>
        <w:t>2021</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4</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21</w:t>
      </w:r>
      <w:r>
        <w:rPr>
          <w:color w:val="000000"/>
          <w:spacing w:val="0"/>
          <w:w w:val="100"/>
          <w:position w:val="0"/>
        </w:rPr>
        <w:t>日，公司收到深交所出具的《关于终止对北京神州泰岳软件股份有限公司申请向特定对象发行股票审核的 决定》。</w:t>
      </w:r>
    </w:p>
    <w:p>
      <w:pPr>
        <w:pStyle w:val="Style47"/>
        <w:keepNext/>
        <w:keepLines/>
        <w:widowControl w:val="0"/>
        <w:shd w:val="clear" w:color="auto" w:fill="auto"/>
        <w:tabs>
          <w:tab w:pos="378" w:val="left"/>
        </w:tabs>
        <w:bidi w:val="0"/>
        <w:spacing w:before="0" w:after="380" w:line="240" w:lineRule="auto"/>
        <w:ind w:left="0" w:right="0" w:firstLine="0"/>
        <w:jc w:val="both"/>
      </w:pPr>
      <w:bookmarkStart w:id="2198" w:name="bookmark2198"/>
      <w:bookmarkStart w:id="2199" w:name="bookmark2199"/>
      <w:bookmarkStart w:id="2200" w:name="bookmark2200"/>
      <w:bookmarkStart w:id="2201" w:name="bookmark2201"/>
      <w:r>
        <w:rPr>
          <w:color w:val="000000"/>
          <w:spacing w:val="0"/>
          <w:w w:val="100"/>
          <w:position w:val="0"/>
        </w:rPr>
        <w:t>8</w:t>
      </w:r>
      <w:bookmarkEnd w:id="2200"/>
      <w:r>
        <w:rPr>
          <w:color w:val="000000"/>
          <w:spacing w:val="0"/>
          <w:w w:val="100"/>
          <w:position w:val="0"/>
        </w:rPr>
        <w:t>、</w:t>
        <w:tab/>
        <w:t>其他</w:t>
      </w:r>
      <w:bookmarkEnd w:id="2198"/>
      <w:bookmarkEnd w:id="2199"/>
      <w:bookmarkEnd w:id="2201"/>
    </w:p>
    <w:p>
      <w:pPr>
        <w:pStyle w:val="Style41"/>
        <w:keepNext w:val="0"/>
        <w:keepLines w:val="0"/>
        <w:widowControl w:val="0"/>
        <w:shd w:val="clear" w:color="auto" w:fill="auto"/>
        <w:bidi w:val="0"/>
        <w:spacing w:before="0" w:after="180" w:line="240" w:lineRule="auto"/>
        <w:ind w:left="0" w:right="0" w:firstLine="200"/>
        <w:jc w:val="both"/>
      </w:pPr>
      <w:r>
        <w:rPr>
          <w:rFonts w:ascii="Times New Roman" w:eastAsia="Times New Roman" w:hAnsi="Times New Roman" w:cs="Times New Roman"/>
          <w:b/>
          <w:bCs/>
          <w:color w:val="000000"/>
          <w:spacing w:val="0"/>
          <w:w w:val="100"/>
          <w:position w:val="0"/>
          <w:sz w:val="18"/>
          <w:szCs w:val="18"/>
        </w:rPr>
        <w:t>1</w:t>
      </w:r>
      <w:r>
        <w:rPr>
          <w:b/>
          <w:bCs/>
          <w:color w:val="000000"/>
          <w:spacing w:val="0"/>
          <w:w w:val="100"/>
          <w:position w:val="0"/>
        </w:rPr>
        <w:t>）经营性租赁</w:t>
      </w:r>
    </w:p>
    <w:p>
      <w:pPr>
        <w:pStyle w:val="Style41"/>
        <w:keepNext w:val="0"/>
        <w:keepLines w:val="0"/>
        <w:widowControl w:val="0"/>
        <w:shd w:val="clear" w:color="auto" w:fill="auto"/>
        <w:bidi w:val="0"/>
        <w:spacing w:before="0" w:after="380" w:line="240" w:lineRule="auto"/>
        <w:ind w:left="0" w:right="0" w:firstLine="560"/>
        <w:jc w:val="both"/>
      </w:pPr>
      <w:r>
        <w:rPr>
          <w:color w:val="000000"/>
          <w:spacing w:val="0"/>
          <w:w w:val="100"/>
          <w:position w:val="0"/>
        </w:rPr>
        <w:t>公司将北辰泰岳大厦部分楼层及停车位等处用于经营租赁租出，本年共取得租赁收入</w:t>
      </w:r>
      <w:r>
        <w:rPr>
          <w:rFonts w:ascii="Times New Roman" w:eastAsia="Times New Roman" w:hAnsi="Times New Roman" w:cs="Times New Roman"/>
          <w:color w:val="000000"/>
          <w:spacing w:val="0"/>
          <w:w w:val="100"/>
          <w:position w:val="0"/>
          <w:sz w:val="18"/>
          <w:szCs w:val="18"/>
        </w:rPr>
        <w:t>3,880.19</w:t>
      </w:r>
      <w:r>
        <w:rPr>
          <w:color w:val="000000"/>
          <w:spacing w:val="0"/>
          <w:w w:val="100"/>
          <w:position w:val="0"/>
        </w:rPr>
        <w:t>万元。</w:t>
      </w:r>
    </w:p>
    <w:p>
      <w:pPr>
        <w:pStyle w:val="Style39"/>
        <w:keepNext/>
        <w:keepLines/>
        <w:widowControl w:val="0"/>
        <w:shd w:val="clear" w:color="auto" w:fill="auto"/>
        <w:bidi w:val="0"/>
        <w:spacing w:before="0" w:after="380" w:line="240" w:lineRule="auto"/>
        <w:ind w:left="0" w:right="0" w:firstLine="0"/>
        <w:jc w:val="left"/>
      </w:pPr>
      <w:bookmarkStart w:id="2202" w:name="bookmark2202"/>
      <w:bookmarkStart w:id="2203" w:name="bookmark2203"/>
      <w:bookmarkStart w:id="2204" w:name="bookmark2204"/>
      <w:r>
        <w:rPr>
          <w:color w:val="000000"/>
          <w:spacing w:val="0"/>
          <w:w w:val="100"/>
          <w:position w:val="0"/>
          <w:sz w:val="24"/>
          <w:szCs w:val="24"/>
        </w:rPr>
        <w:t>十七、母公司财务报表主要项目注释</w:t>
      </w:r>
      <w:bookmarkEnd w:id="2202"/>
      <w:bookmarkEnd w:id="2203"/>
      <w:bookmarkEnd w:id="2204"/>
    </w:p>
    <w:p>
      <w:pPr>
        <w:pStyle w:val="Style47"/>
        <w:keepNext/>
        <w:keepLines/>
        <w:widowControl w:val="0"/>
        <w:shd w:val="clear" w:color="auto" w:fill="auto"/>
        <w:bidi w:val="0"/>
        <w:spacing w:before="0" w:after="380" w:line="240" w:lineRule="auto"/>
        <w:ind w:left="0" w:right="0" w:firstLine="0"/>
        <w:jc w:val="left"/>
      </w:pPr>
      <w:bookmarkStart w:id="2205" w:name="bookmark2205"/>
      <w:bookmarkStart w:id="2206" w:name="bookmark2206"/>
      <w:bookmarkStart w:id="2207" w:name="bookmark2207"/>
      <w:r>
        <w:rPr>
          <w:color w:val="000000"/>
          <w:spacing w:val="0"/>
          <w:w w:val="100"/>
          <w:position w:val="0"/>
        </w:rPr>
        <w:t>1、应收账款</w:t>
      </w:r>
      <w:bookmarkEnd w:id="2205"/>
      <w:bookmarkEnd w:id="2206"/>
      <w:bookmarkEnd w:id="2207"/>
    </w:p>
    <w:p>
      <w:pPr>
        <w:pStyle w:val="Style58"/>
        <w:keepNext/>
        <w:keepLines/>
        <w:widowControl w:val="0"/>
        <w:shd w:val="clear" w:color="auto" w:fill="auto"/>
        <w:bidi w:val="0"/>
        <w:spacing w:before="0" w:after="140" w:line="240" w:lineRule="auto"/>
        <w:ind w:left="0" w:right="0" w:firstLine="0"/>
        <w:jc w:val="left"/>
        <w:rPr>
          <w:sz w:val="20"/>
          <w:szCs w:val="20"/>
        </w:rPr>
      </w:pPr>
      <w:bookmarkStart w:id="2208" w:name="bookmark2208"/>
      <w:bookmarkStart w:id="2209" w:name="bookmark2209"/>
      <w:bookmarkStart w:id="2210" w:name="bookmark2210"/>
      <w:r>
        <w:rPr>
          <w:b/>
          <w:bCs/>
          <w:color w:val="000000"/>
          <w:spacing w:val="0"/>
          <w:w w:val="100"/>
          <w:position w:val="0"/>
          <w:sz w:val="20"/>
          <w:szCs w:val="20"/>
        </w:rPr>
        <w:t>（1）应收账款分类披露</w:t>
      </w:r>
      <w:bookmarkEnd w:id="2208"/>
      <w:bookmarkEnd w:id="2209"/>
      <w:bookmarkEnd w:id="2210"/>
    </w:p>
    <w:p>
      <w:pPr>
        <w:pStyle w:val="Style41"/>
        <w:keepNext w:val="0"/>
        <w:keepLines w:val="0"/>
        <w:widowControl w:val="0"/>
        <w:shd w:val="clear" w:color="auto" w:fill="auto"/>
        <w:bidi w:val="0"/>
        <w:spacing w:before="0" w:after="60" w:line="466" w:lineRule="exact"/>
        <w:ind w:left="0" w:right="0" w:firstLine="0"/>
        <w:jc w:val="right"/>
      </w:pPr>
      <w:r>
        <w:rPr>
          <w:color w:val="000000"/>
          <w:spacing w:val="0"/>
          <w:w w:val="100"/>
          <w:position w:val="0"/>
        </w:rPr>
        <w:t>单位：元</w:t>
      </w:r>
    </w:p>
    <w:tbl>
      <w:tblPr>
        <w:tblOverlap w:val="never"/>
        <w:jc w:val="center"/>
        <w:tblLayout w:type="fixed"/>
      </w:tblPr>
      <w:tblGrid>
        <w:gridCol w:w="1642"/>
        <w:gridCol w:w="3850"/>
        <w:gridCol w:w="4090"/>
      </w:tblGrid>
      <w:tr>
        <w:trPr>
          <w:trHeight w:val="418"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类别</w:t>
            </w:r>
          </w:p>
        </w:tc>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bottom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bl>
    <w:p>
      <w:pPr>
        <w:spacing w:lineRule="exact" w:line="1"/>
        <w:rPr>
          <w:sz w:val="2"/>
          <w:szCs w:val="2"/>
        </w:rPr>
      </w:pPr>
      <w:r>
        <w:br w:type="page"/>
      </w:r>
    </w:p>
    <w:tbl>
      <w:tblPr>
        <w:tblOverlap w:val="never"/>
        <w:jc w:val="center"/>
        <w:tblLayout w:type="fixed"/>
      </w:tblPr>
      <w:tblGrid>
        <w:gridCol w:w="1642"/>
        <w:gridCol w:w="763"/>
        <w:gridCol w:w="758"/>
        <w:gridCol w:w="763"/>
        <w:gridCol w:w="763"/>
        <w:gridCol w:w="787"/>
        <w:gridCol w:w="778"/>
        <w:gridCol w:w="797"/>
        <w:gridCol w:w="797"/>
        <w:gridCol w:w="792"/>
        <w:gridCol w:w="941"/>
      </w:tblGrid>
      <w:tr>
        <w:trPr>
          <w:trHeight w:val="480" w:hRule="exact"/>
        </w:trPr>
        <w:tc>
          <w:tcPr>
            <w:vMerge w:val="restart"/>
            <w:tcBorders>
              <w:top w:val="single" w:sz="4"/>
              <w:left w:val="single" w:sz="4"/>
            </w:tcBorders>
            <w:shd w:val="clear" w:color="auto" w:fill="D7D7D7"/>
            <w:vAlign w:val="top"/>
          </w:tcPr>
          <w:p>
            <w:pPr>
              <w:widowControl w:val="0"/>
              <w:rPr>
                <w:sz w:val="10"/>
                <w:szCs w:val="10"/>
              </w:rPr>
            </w:pPr>
          </w:p>
        </w:tc>
        <w:tc>
          <w:tcPr>
            <w:gridSpan w:val="2"/>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gridSpan w:val="2"/>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账面价值</w:t>
            </w:r>
          </w:p>
        </w:tc>
        <w:tc>
          <w:tcPr>
            <w:gridSpan w:val="2"/>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gridSpan w:val="2"/>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vMerge w:val="restart"/>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账面价值</w:t>
            </w:r>
          </w:p>
        </w:tc>
      </w:tr>
      <w:tr>
        <w:trPr>
          <w:trHeight w:val="710" w:hRule="exact"/>
        </w:trPr>
        <w:tc>
          <w:tcPr>
            <w:vMerge/>
            <w:tcBorders>
              <w:left w:val="single" w:sz="4"/>
            </w:tcBorders>
            <w:shd w:val="clear" w:color="auto" w:fill="D7D7D7"/>
            <w:vAlign w:val="top"/>
          </w:tcPr>
          <w:p>
            <w:pP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160"/>
              <w:jc w:val="left"/>
            </w:pPr>
            <w:r>
              <w:rPr>
                <w:color w:val="000000"/>
                <w:spacing w:val="0"/>
                <w:w w:val="100"/>
                <w:position w:val="0"/>
              </w:rPr>
              <w:t>比例</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180" w:firstLine="0"/>
              <w:jc w:val="right"/>
            </w:pPr>
            <w:r>
              <w:rPr>
                <w:color w:val="000000"/>
                <w:spacing w:val="0"/>
                <w:w w:val="100"/>
                <w:position w:val="0"/>
              </w:rPr>
              <w:t>金额</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计提比 例</w:t>
            </w:r>
          </w:p>
        </w:tc>
        <w:tc>
          <w:tcPr>
            <w:vMerge/>
            <w:tcBorders>
              <w:left w:val="single" w:sz="4"/>
            </w:tcBorders>
            <w:shd w:val="clear" w:color="auto" w:fill="D7D7D7"/>
            <w:vAlign w:val="center"/>
          </w:tcPr>
          <w:p>
            <w:pP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比例</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计提比例</w:t>
            </w:r>
          </w:p>
        </w:tc>
        <w:tc>
          <w:tcPr>
            <w:vMerge/>
            <w:tcBorders>
              <w:left w:val="single" w:sz="4"/>
              <w:right w:val="single" w:sz="4"/>
            </w:tcBorders>
            <w:shd w:val="clear" w:color="auto" w:fill="D7D7D7"/>
            <w:vAlign w:val="center"/>
          </w:tcPr>
          <w:p>
            <w:pP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07" w:lineRule="exact"/>
              <w:ind w:left="0" w:right="0" w:firstLine="0"/>
              <w:jc w:val="left"/>
            </w:pPr>
            <w:r>
              <w:rPr>
                <w:color w:val="000000"/>
                <w:spacing w:val="0"/>
                <w:w w:val="100"/>
                <w:position w:val="0"/>
              </w:rPr>
              <w:t>按单项计提坏账准 备的应收账款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37,837,3</w:t>
            </w:r>
          </w:p>
          <w:p>
            <w:pPr>
              <w:pStyle w:val="Style2"/>
              <w:keepNext w:val="0"/>
              <w:keepLines w:val="0"/>
              <w:widowControl w:val="0"/>
              <w:shd w:val="clear" w:color="auto" w:fill="auto"/>
              <w:bidi w:val="0"/>
              <w:spacing w:before="0" w:after="0" w:line="240" w:lineRule="auto"/>
              <w:ind w:left="0" w:right="0" w:firstLine="320"/>
              <w:jc w:val="left"/>
              <w:rPr>
                <w:sz w:val="18"/>
                <w:szCs w:val="18"/>
              </w:rPr>
            </w:pPr>
            <w:r>
              <w:rPr>
                <w:rFonts w:ascii="Times New Roman" w:eastAsia="Times New Roman" w:hAnsi="Times New Roman" w:cs="Times New Roman"/>
                <w:color w:val="000000"/>
                <w:spacing w:val="0"/>
                <w:w w:val="100"/>
                <w:position w:val="0"/>
                <w:sz w:val="18"/>
                <w:szCs w:val="18"/>
              </w:rPr>
              <w:t>15.52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000000"/>
                <w:spacing w:val="0"/>
                <w:w w:val="100"/>
                <w:position w:val="0"/>
                <w:sz w:val="18"/>
                <w:szCs w:val="18"/>
              </w:rPr>
              <w:t>10.32%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29,970,9</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94.82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000000"/>
                <w:spacing w:val="0"/>
                <w:w w:val="100"/>
                <w:position w:val="0"/>
                <w:sz w:val="18"/>
                <w:szCs w:val="18"/>
              </w:rPr>
              <w:t>79.21%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7,866,320</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按组合计提坏账准 备的应收账款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328,698,</w:t>
            </w:r>
          </w:p>
          <w:p>
            <w:pPr>
              <w:pStyle w:val="Style2"/>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697.82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000000"/>
                <w:spacing w:val="0"/>
                <w:w w:val="100"/>
                <w:position w:val="0"/>
                <w:sz w:val="18"/>
                <w:szCs w:val="18"/>
              </w:rPr>
              <w:t>89.68%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105,622,</w:t>
            </w:r>
          </w:p>
          <w:p>
            <w:pPr>
              <w:pStyle w:val="Style2"/>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512.82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000000"/>
                <w:spacing w:val="0"/>
                <w:w w:val="100"/>
                <w:position w:val="0"/>
                <w:sz w:val="18"/>
                <w:szCs w:val="18"/>
              </w:rPr>
              <w:t>32.13%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223,076,1</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85.00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419,064,9</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91.35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117,988,5</w:t>
            </w:r>
          </w:p>
          <w:p>
            <w:pPr>
              <w:pStyle w:val="Style2"/>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42.55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28.16%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301,076,44</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8.80</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w:t>
            </w:r>
          </w:p>
        </w:tc>
        <w:tc>
          <w:tcPr>
            <w:tcBorders>
              <w:top w:val="single" w:sz="4"/>
              <w:left w:val="single" w:sz="4"/>
            </w:tcBorders>
            <w:shd w:val="clear" w:color="auto" w:fill="D7D7D7"/>
            <w:vAlign w:val="top"/>
          </w:tcPr>
          <w:p>
            <w:pPr>
              <w:widowControl w:val="0"/>
              <w:rPr>
                <w:sz w:val="10"/>
                <w:szCs w:val="10"/>
              </w:rPr>
            </w:pPr>
          </w:p>
        </w:tc>
        <w:tc>
          <w:tcPr>
            <w:tcBorders>
              <w:top w:val="single" w:sz="4"/>
              <w:left w:val="single" w:sz="4"/>
            </w:tcBorders>
            <w:shd w:val="clear" w:color="auto" w:fill="D7D7D7"/>
            <w:vAlign w:val="top"/>
          </w:tcPr>
          <w:p>
            <w:pPr>
              <w:widowControl w:val="0"/>
              <w:rPr>
                <w:sz w:val="10"/>
                <w:szCs w:val="10"/>
              </w:rPr>
            </w:pPr>
          </w:p>
        </w:tc>
        <w:tc>
          <w:tcPr>
            <w:tcBorders>
              <w:top w:val="single" w:sz="4"/>
              <w:left w:val="single" w:sz="4"/>
            </w:tcBorders>
            <w:shd w:val="clear" w:color="auto" w:fill="D7D7D7"/>
            <w:vAlign w:val="top"/>
          </w:tcPr>
          <w:p>
            <w:pPr>
              <w:widowControl w:val="0"/>
              <w:rPr>
                <w:sz w:val="10"/>
                <w:szCs w:val="10"/>
              </w:rPr>
            </w:pPr>
          </w:p>
        </w:tc>
        <w:tc>
          <w:tcPr>
            <w:tcBorders>
              <w:top w:val="single" w:sz="4"/>
              <w:left w:val="single" w:sz="4"/>
            </w:tcBorders>
            <w:shd w:val="clear" w:color="auto" w:fill="D7D7D7"/>
            <w:vAlign w:val="top"/>
          </w:tcPr>
          <w:p>
            <w:pPr>
              <w:widowControl w:val="0"/>
              <w:rPr>
                <w:sz w:val="10"/>
                <w:szCs w:val="10"/>
              </w:rPr>
            </w:pPr>
          </w:p>
        </w:tc>
        <w:tc>
          <w:tcPr>
            <w:tcBorders>
              <w:top w:val="single" w:sz="4"/>
              <w:left w:val="single" w:sz="4"/>
            </w:tcBorders>
            <w:shd w:val="clear" w:color="auto" w:fill="D7D7D7"/>
            <w:vAlign w:val="top"/>
          </w:tcPr>
          <w:p>
            <w:pPr>
              <w:widowControl w:val="0"/>
              <w:rPr>
                <w:sz w:val="10"/>
                <w:szCs w:val="10"/>
              </w:rPr>
            </w:pPr>
          </w:p>
        </w:tc>
        <w:tc>
          <w:tcPr>
            <w:tcBorders>
              <w:top w:val="single" w:sz="4"/>
              <w:left w:val="single" w:sz="4"/>
            </w:tcBorders>
            <w:shd w:val="clear" w:color="auto" w:fill="D7D7D7"/>
            <w:vAlign w:val="top"/>
          </w:tcPr>
          <w:p>
            <w:pPr>
              <w:widowControl w:val="0"/>
              <w:rPr>
                <w:sz w:val="10"/>
                <w:szCs w:val="10"/>
              </w:rPr>
            </w:pPr>
          </w:p>
        </w:tc>
        <w:tc>
          <w:tcPr>
            <w:tcBorders>
              <w:top w:val="single" w:sz="4"/>
              <w:left w:val="single" w:sz="4"/>
            </w:tcBorders>
            <w:shd w:val="clear" w:color="auto" w:fill="D7D7D7"/>
            <w:vAlign w:val="top"/>
          </w:tcPr>
          <w:p>
            <w:pPr>
              <w:widowControl w:val="0"/>
              <w:rPr>
                <w:sz w:val="10"/>
                <w:szCs w:val="10"/>
              </w:rPr>
            </w:pPr>
          </w:p>
        </w:tc>
        <w:tc>
          <w:tcPr>
            <w:tcBorders>
              <w:top w:val="single" w:sz="4"/>
              <w:left w:val="single" w:sz="4"/>
            </w:tcBorders>
            <w:shd w:val="clear" w:color="auto" w:fill="D7D7D7"/>
            <w:vAlign w:val="top"/>
          </w:tcPr>
          <w:p>
            <w:pPr>
              <w:widowControl w:val="0"/>
              <w:rPr>
                <w:sz w:val="10"/>
                <w:szCs w:val="10"/>
              </w:rPr>
            </w:pPr>
          </w:p>
        </w:tc>
        <w:tc>
          <w:tcPr>
            <w:tcBorders>
              <w:top w:val="single" w:sz="4"/>
              <w:left w:val="single" w:sz="4"/>
            </w:tcBorders>
            <w:shd w:val="clear" w:color="auto" w:fill="D7D7D7"/>
            <w:vAlign w:val="top"/>
          </w:tcPr>
          <w:p>
            <w:pPr>
              <w:widowControl w:val="0"/>
              <w:rPr>
                <w:sz w:val="10"/>
                <w:szCs w:val="10"/>
              </w:rPr>
            </w:pPr>
          </w:p>
        </w:tc>
        <w:tc>
          <w:tcPr>
            <w:tcBorders>
              <w:top w:val="single" w:sz="4"/>
              <w:left w:val="single" w:sz="4"/>
              <w:right w:val="single" w:sz="4"/>
            </w:tcBorders>
            <w:shd w:val="clear" w:color="auto" w:fill="D7D7D7"/>
            <w:vAlign w:val="top"/>
          </w:tcPr>
          <w:p>
            <w:pPr>
              <w:widowControl w:val="0"/>
              <w:rPr>
                <w:sz w:val="10"/>
                <w:szCs w:val="10"/>
              </w:rPr>
            </w:pPr>
          </w:p>
        </w:tc>
      </w:tr>
      <w:tr>
        <w:trPr>
          <w:trHeight w:val="710"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信用风险特征组合</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307,101,</w:t>
            </w:r>
          </w:p>
          <w:p>
            <w:pPr>
              <w:pStyle w:val="Style2"/>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679.77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105,622,</w:t>
            </w:r>
          </w:p>
          <w:p>
            <w:pPr>
              <w:pStyle w:val="Style2"/>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512.82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201,479,1</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66.95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398,372,9</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67.56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117,988,5</w:t>
            </w:r>
          </w:p>
          <w:p>
            <w:pPr>
              <w:pStyle w:val="Style2"/>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42.55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280,384,42</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5.01</w:t>
            </w: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120" w:line="240" w:lineRule="auto"/>
              <w:ind w:left="0" w:right="0" w:firstLine="0"/>
              <w:jc w:val="left"/>
            </w:pPr>
            <w:r>
              <w:rPr>
                <w:color w:val="000000"/>
                <w:spacing w:val="0"/>
                <w:w w:val="100"/>
                <w:position w:val="0"/>
              </w:rPr>
              <w:t>合并范围内关联方</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组合</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21,597,0</w:t>
            </w:r>
          </w:p>
          <w:p>
            <w:pPr>
              <w:pStyle w:val="Style2"/>
              <w:keepNext w:val="0"/>
              <w:keepLines w:val="0"/>
              <w:widowControl w:val="0"/>
              <w:shd w:val="clear" w:color="auto" w:fill="auto"/>
              <w:bidi w:val="0"/>
              <w:spacing w:before="0" w:after="0" w:line="240" w:lineRule="auto"/>
              <w:ind w:left="0" w:right="0" w:firstLine="320"/>
              <w:jc w:val="left"/>
              <w:rPr>
                <w:sz w:val="18"/>
                <w:szCs w:val="18"/>
              </w:rPr>
            </w:pPr>
            <w:r>
              <w:rPr>
                <w:rFonts w:ascii="Times New Roman" w:eastAsia="Times New Roman" w:hAnsi="Times New Roman" w:cs="Times New Roman"/>
                <w:color w:val="000000"/>
                <w:spacing w:val="0"/>
                <w:w w:val="100"/>
                <w:position w:val="0"/>
                <w:sz w:val="18"/>
                <w:szCs w:val="18"/>
              </w:rPr>
              <w:t>18.05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21,597,01</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8.05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20,692,02</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3.79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20,692,023.</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79</w:t>
            </w:r>
          </w:p>
        </w:tc>
      </w:tr>
      <w:tr>
        <w:trPr>
          <w:trHeight w:val="725"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366,536,</w:t>
            </w:r>
          </w:p>
          <w:p>
            <w:pPr>
              <w:pStyle w:val="Style2"/>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013.34</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135,593,</w:t>
            </w:r>
          </w:p>
          <w:p>
            <w:pPr>
              <w:pStyle w:val="Style2"/>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507.64</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230,942,5</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05.70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419,064,9</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91.35</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117,988,5</w:t>
            </w:r>
          </w:p>
          <w:p>
            <w:pPr>
              <w:pStyle w:val="Style2"/>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42.55</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301,076,44</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8.80</w:t>
            </w:r>
          </w:p>
        </w:tc>
      </w:tr>
    </w:tbl>
    <w:p>
      <w:pPr>
        <w:pStyle w:val="Style20"/>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按单项计提坏账准备:</w:t>
      </w:r>
    </w:p>
    <w:p>
      <w:pPr>
        <w:widowControl w:val="0"/>
        <w:spacing w:after="139" w:line="1" w:lineRule="exact"/>
      </w:pPr>
    </w:p>
    <w:p>
      <w:pPr>
        <w:pStyle w:val="Style41"/>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1920"/>
        <w:gridCol w:w="1915"/>
        <w:gridCol w:w="1915"/>
        <w:gridCol w:w="1910"/>
        <w:gridCol w:w="1925"/>
      </w:tblGrid>
      <w:tr>
        <w:trPr>
          <w:trHeight w:val="408" w:hRule="exact"/>
        </w:trPr>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780"/>
              <w:jc w:val="left"/>
            </w:pPr>
            <w:r>
              <w:rPr>
                <w:color w:val="000000"/>
                <w:spacing w:val="0"/>
                <w:w w:val="100"/>
                <w:position w:val="0"/>
              </w:rPr>
              <w:t>名称</w:t>
            </w:r>
          </w:p>
        </w:tc>
        <w:tc>
          <w:tcPr>
            <w:gridSpan w:val="4"/>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r>
      <w:tr>
        <w:trPr>
          <w:trHeight w:val="403" w:hRule="exact"/>
        </w:trPr>
        <w:tc>
          <w:tcPr>
            <w:vMerge/>
            <w:tcBorders>
              <w:left w:val="single" w:sz="4"/>
            </w:tcBorders>
            <w:shd w:val="clear" w:color="auto" w:fill="D7D7D7"/>
            <w:vAlign w:val="center"/>
          </w:tcPr>
          <w:p>
            <w:pP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计提比例</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600"/>
              <w:jc w:val="left"/>
            </w:pPr>
            <w:r>
              <w:rPr>
                <w:color w:val="000000"/>
                <w:spacing w:val="0"/>
                <w:w w:val="100"/>
                <w:position w:val="0"/>
              </w:rPr>
              <w:t>计提理由</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7"/>
                <w:szCs w:val="17"/>
              </w:rPr>
              <w:t>单项计提客户</w:t>
            </w:r>
            <w:r>
              <w:rPr>
                <w:rFonts w:ascii="Times New Roman" w:eastAsia="Times New Roman" w:hAnsi="Times New Roman" w:cs="Times New Roman"/>
                <w:color w:val="000000"/>
                <w:spacing w:val="0"/>
                <w:w w:val="100"/>
                <w:position w:val="0"/>
                <w:sz w:val="18"/>
                <w:szCs w:val="18"/>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both"/>
              <w:rPr>
                <w:sz w:val="18"/>
                <w:szCs w:val="18"/>
              </w:rPr>
            </w:pPr>
            <w:r>
              <w:rPr>
                <w:rFonts w:ascii="Times New Roman" w:eastAsia="Times New Roman" w:hAnsi="Times New Roman" w:cs="Times New Roman"/>
                <w:color w:val="000000"/>
                <w:spacing w:val="0"/>
                <w:w w:val="100"/>
                <w:position w:val="0"/>
                <w:sz w:val="18"/>
                <w:szCs w:val="18"/>
              </w:rPr>
              <w:t>6,650,000.00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both"/>
              <w:rPr>
                <w:sz w:val="18"/>
                <w:szCs w:val="18"/>
              </w:rPr>
            </w:pPr>
            <w:r>
              <w:rPr>
                <w:rFonts w:ascii="Times New Roman" w:eastAsia="Times New Roman" w:hAnsi="Times New Roman" w:cs="Times New Roman"/>
                <w:color w:val="000000"/>
                <w:spacing w:val="0"/>
                <w:w w:val="100"/>
                <w:position w:val="0"/>
                <w:sz w:val="18"/>
                <w:szCs w:val="18"/>
              </w:rPr>
              <w:t>5,320,000.00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20" w:right="0" w:firstLine="0"/>
              <w:jc w:val="left"/>
              <w:rPr>
                <w:sz w:val="18"/>
                <w:szCs w:val="18"/>
              </w:rPr>
            </w:pPr>
            <w:r>
              <w:rPr>
                <w:rFonts w:ascii="Times New Roman" w:eastAsia="Times New Roman" w:hAnsi="Times New Roman" w:cs="Times New Roman"/>
                <w:color w:val="000000"/>
                <w:spacing w:val="0"/>
                <w:w w:val="100"/>
                <w:position w:val="0"/>
                <w:sz w:val="18"/>
                <w:szCs w:val="18"/>
              </w:rPr>
              <w:t>80.00%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预计难以收回</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7"/>
                <w:szCs w:val="17"/>
              </w:rPr>
              <w:t>单项计提客户</w:t>
            </w:r>
            <w:r>
              <w:rPr>
                <w:rFonts w:ascii="Times New Roman" w:eastAsia="Times New Roman" w:hAnsi="Times New Roman" w:cs="Times New Roman"/>
                <w:color w:val="000000"/>
                <w:spacing w:val="0"/>
                <w:w w:val="100"/>
                <w:position w:val="0"/>
                <w:sz w:val="18"/>
                <w:szCs w:val="18"/>
              </w:rPr>
              <w:t>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both"/>
              <w:rPr>
                <w:sz w:val="18"/>
                <w:szCs w:val="18"/>
              </w:rPr>
            </w:pPr>
            <w:r>
              <w:rPr>
                <w:rFonts w:ascii="Times New Roman" w:eastAsia="Times New Roman" w:hAnsi="Times New Roman" w:cs="Times New Roman"/>
                <w:color w:val="000000"/>
                <w:spacing w:val="0"/>
                <w:w w:val="100"/>
                <w:position w:val="0"/>
                <w:sz w:val="18"/>
                <w:szCs w:val="18"/>
              </w:rPr>
              <w:t>5,400,000.00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both"/>
              <w:rPr>
                <w:sz w:val="18"/>
                <w:szCs w:val="18"/>
              </w:rPr>
            </w:pPr>
            <w:r>
              <w:rPr>
                <w:rFonts w:ascii="Times New Roman" w:eastAsia="Times New Roman" w:hAnsi="Times New Roman" w:cs="Times New Roman"/>
                <w:color w:val="000000"/>
                <w:spacing w:val="0"/>
                <w:w w:val="100"/>
                <w:position w:val="0"/>
                <w:sz w:val="18"/>
                <w:szCs w:val="18"/>
              </w:rPr>
              <w:t>4,320,000.00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20" w:right="0" w:firstLine="0"/>
              <w:jc w:val="left"/>
              <w:rPr>
                <w:sz w:val="18"/>
                <w:szCs w:val="18"/>
              </w:rPr>
            </w:pPr>
            <w:r>
              <w:rPr>
                <w:rFonts w:ascii="Times New Roman" w:eastAsia="Times New Roman" w:hAnsi="Times New Roman" w:cs="Times New Roman"/>
                <w:color w:val="000000"/>
                <w:spacing w:val="0"/>
                <w:w w:val="100"/>
                <w:position w:val="0"/>
                <w:sz w:val="18"/>
                <w:szCs w:val="18"/>
              </w:rPr>
              <w:t>80.00%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预计难以收回</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7"/>
                <w:szCs w:val="17"/>
              </w:rPr>
              <w:t>单项计提客户</w:t>
            </w:r>
            <w:r>
              <w:rPr>
                <w:rFonts w:ascii="Times New Roman" w:eastAsia="Times New Roman" w:hAnsi="Times New Roman" w:cs="Times New Roman"/>
                <w:color w:val="000000"/>
                <w:spacing w:val="0"/>
                <w:w w:val="100"/>
                <w:position w:val="0"/>
                <w:sz w:val="18"/>
                <w:szCs w:val="18"/>
              </w:rPr>
              <w:t>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both"/>
              <w:rPr>
                <w:sz w:val="18"/>
                <w:szCs w:val="18"/>
              </w:rPr>
            </w:pPr>
            <w:r>
              <w:rPr>
                <w:rFonts w:ascii="Times New Roman" w:eastAsia="Times New Roman" w:hAnsi="Times New Roman" w:cs="Times New Roman"/>
                <w:color w:val="000000"/>
                <w:spacing w:val="0"/>
                <w:w w:val="100"/>
                <w:position w:val="0"/>
                <w:sz w:val="18"/>
                <w:szCs w:val="18"/>
              </w:rPr>
              <w:t>5,207,641.40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both"/>
              <w:rPr>
                <w:sz w:val="18"/>
                <w:szCs w:val="18"/>
              </w:rPr>
            </w:pPr>
            <w:r>
              <w:rPr>
                <w:rFonts w:ascii="Times New Roman" w:eastAsia="Times New Roman" w:hAnsi="Times New Roman" w:cs="Times New Roman"/>
                <w:color w:val="000000"/>
                <w:spacing w:val="0"/>
                <w:w w:val="100"/>
                <w:position w:val="0"/>
                <w:sz w:val="18"/>
                <w:szCs w:val="18"/>
              </w:rPr>
              <w:t>2,603,820.70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20" w:right="0" w:firstLine="0"/>
              <w:jc w:val="left"/>
              <w:rPr>
                <w:sz w:val="18"/>
                <w:szCs w:val="18"/>
              </w:rPr>
            </w:pPr>
            <w:r>
              <w:rPr>
                <w:rFonts w:ascii="Times New Roman" w:eastAsia="Times New Roman" w:hAnsi="Times New Roman" w:cs="Times New Roman"/>
                <w:color w:val="000000"/>
                <w:spacing w:val="0"/>
                <w:w w:val="100"/>
                <w:position w:val="0"/>
                <w:sz w:val="18"/>
                <w:szCs w:val="18"/>
              </w:rPr>
              <w:t>50.00%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预计收回存在困难</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7"/>
                <w:szCs w:val="17"/>
              </w:rPr>
              <w:t>单项计提客户</w:t>
            </w:r>
            <w:r>
              <w:rPr>
                <w:rFonts w:ascii="Times New Roman" w:eastAsia="Times New Roman" w:hAnsi="Times New Roman" w:cs="Times New Roman"/>
                <w:color w:val="000000"/>
                <w:spacing w:val="0"/>
                <w:w w:val="100"/>
                <w:position w:val="0"/>
                <w:sz w:val="18"/>
                <w:szCs w:val="18"/>
              </w:rPr>
              <w:t>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both"/>
              <w:rPr>
                <w:sz w:val="18"/>
                <w:szCs w:val="18"/>
              </w:rPr>
            </w:pPr>
            <w:r>
              <w:rPr>
                <w:rFonts w:ascii="Times New Roman" w:eastAsia="Times New Roman" w:hAnsi="Times New Roman" w:cs="Times New Roman"/>
                <w:color w:val="000000"/>
                <w:spacing w:val="0"/>
                <w:w w:val="100"/>
                <w:position w:val="0"/>
                <w:sz w:val="18"/>
                <w:szCs w:val="18"/>
              </w:rPr>
              <w:t>4,430,000.00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both"/>
              <w:rPr>
                <w:sz w:val="18"/>
                <w:szCs w:val="18"/>
              </w:rPr>
            </w:pPr>
            <w:r>
              <w:rPr>
                <w:rFonts w:ascii="Times New Roman" w:eastAsia="Times New Roman" w:hAnsi="Times New Roman" w:cs="Times New Roman"/>
                <w:color w:val="000000"/>
                <w:spacing w:val="0"/>
                <w:w w:val="100"/>
                <w:position w:val="0"/>
                <w:sz w:val="18"/>
                <w:szCs w:val="18"/>
              </w:rPr>
              <w:t>3,544,000.00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20" w:right="0" w:firstLine="0"/>
              <w:jc w:val="left"/>
              <w:rPr>
                <w:sz w:val="18"/>
                <w:szCs w:val="18"/>
              </w:rPr>
            </w:pPr>
            <w:r>
              <w:rPr>
                <w:rFonts w:ascii="Times New Roman" w:eastAsia="Times New Roman" w:hAnsi="Times New Roman" w:cs="Times New Roman"/>
                <w:color w:val="000000"/>
                <w:spacing w:val="0"/>
                <w:w w:val="100"/>
                <w:position w:val="0"/>
                <w:sz w:val="18"/>
                <w:szCs w:val="18"/>
              </w:rPr>
              <w:t>80.00%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预计难以收回</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7"/>
                <w:szCs w:val="17"/>
              </w:rPr>
              <w:t>单项计提客户</w:t>
            </w:r>
            <w:r>
              <w:rPr>
                <w:rFonts w:ascii="Times New Roman" w:eastAsia="Times New Roman" w:hAnsi="Times New Roman" w:cs="Times New Roman"/>
                <w:color w:val="000000"/>
                <w:spacing w:val="0"/>
                <w:w w:val="100"/>
                <w:position w:val="0"/>
                <w:sz w:val="18"/>
                <w:szCs w:val="18"/>
              </w:rPr>
              <w:t>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both"/>
              <w:rPr>
                <w:sz w:val="18"/>
                <w:szCs w:val="18"/>
              </w:rPr>
            </w:pPr>
            <w:r>
              <w:rPr>
                <w:rFonts w:ascii="Times New Roman" w:eastAsia="Times New Roman" w:hAnsi="Times New Roman" w:cs="Times New Roman"/>
                <w:color w:val="000000"/>
                <w:spacing w:val="0"/>
                <w:w w:val="100"/>
                <w:position w:val="0"/>
                <w:sz w:val="18"/>
                <w:szCs w:val="18"/>
              </w:rPr>
              <w:t>3,992,500.00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both"/>
              <w:rPr>
                <w:sz w:val="18"/>
                <w:szCs w:val="18"/>
              </w:rPr>
            </w:pPr>
            <w:r>
              <w:rPr>
                <w:rFonts w:ascii="Times New Roman" w:eastAsia="Times New Roman" w:hAnsi="Times New Roman" w:cs="Times New Roman"/>
                <w:color w:val="000000"/>
                <w:spacing w:val="0"/>
                <w:w w:val="100"/>
                <w:position w:val="0"/>
                <w:sz w:val="18"/>
                <w:szCs w:val="18"/>
              </w:rPr>
              <w:t>3,194,000.00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20" w:right="0" w:firstLine="0"/>
              <w:jc w:val="left"/>
              <w:rPr>
                <w:sz w:val="18"/>
                <w:szCs w:val="18"/>
              </w:rPr>
            </w:pPr>
            <w:r>
              <w:rPr>
                <w:rFonts w:ascii="Times New Roman" w:eastAsia="Times New Roman" w:hAnsi="Times New Roman" w:cs="Times New Roman"/>
                <w:color w:val="000000"/>
                <w:spacing w:val="0"/>
                <w:w w:val="100"/>
                <w:position w:val="0"/>
                <w:sz w:val="18"/>
                <w:szCs w:val="18"/>
              </w:rPr>
              <w:t>80.00%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预计难以收回</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7"/>
                <w:szCs w:val="17"/>
              </w:rPr>
              <w:t>单项计提客户</w:t>
            </w:r>
            <w:r>
              <w:rPr>
                <w:rFonts w:ascii="Times New Roman" w:eastAsia="Times New Roman" w:hAnsi="Times New Roman" w:cs="Times New Roman"/>
                <w:color w:val="000000"/>
                <w:spacing w:val="0"/>
                <w:w w:val="100"/>
                <w:position w:val="0"/>
                <w:sz w:val="18"/>
                <w:szCs w:val="18"/>
              </w:rPr>
              <w:t>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both"/>
              <w:rPr>
                <w:sz w:val="18"/>
                <w:szCs w:val="18"/>
              </w:rPr>
            </w:pPr>
            <w:r>
              <w:rPr>
                <w:rFonts w:ascii="Times New Roman" w:eastAsia="Times New Roman" w:hAnsi="Times New Roman" w:cs="Times New Roman"/>
                <w:color w:val="000000"/>
                <w:spacing w:val="0"/>
                <w:w w:val="100"/>
                <w:position w:val="0"/>
                <w:sz w:val="18"/>
                <w:szCs w:val="18"/>
              </w:rPr>
              <w:t>2,840,003.12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both"/>
              <w:rPr>
                <w:sz w:val="18"/>
                <w:szCs w:val="18"/>
              </w:rPr>
            </w:pPr>
            <w:r>
              <w:rPr>
                <w:rFonts w:ascii="Times New Roman" w:eastAsia="Times New Roman" w:hAnsi="Times New Roman" w:cs="Times New Roman"/>
                <w:color w:val="000000"/>
                <w:spacing w:val="0"/>
                <w:w w:val="100"/>
                <w:position w:val="0"/>
                <w:sz w:val="18"/>
                <w:szCs w:val="18"/>
              </w:rPr>
              <w:t>2,840,003.12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预计难以收回</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7"/>
                <w:szCs w:val="17"/>
              </w:rPr>
              <w:t>单项计提客户</w:t>
            </w:r>
            <w:r>
              <w:rPr>
                <w:rFonts w:ascii="Times New Roman" w:eastAsia="Times New Roman" w:hAnsi="Times New Roman" w:cs="Times New Roman"/>
                <w:color w:val="000000"/>
                <w:spacing w:val="0"/>
                <w:w w:val="100"/>
                <w:position w:val="0"/>
                <w:sz w:val="18"/>
                <w:szCs w:val="18"/>
              </w:rPr>
              <w:t>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both"/>
              <w:rPr>
                <w:sz w:val="18"/>
                <w:szCs w:val="18"/>
              </w:rPr>
            </w:pPr>
            <w:r>
              <w:rPr>
                <w:rFonts w:ascii="Times New Roman" w:eastAsia="Times New Roman" w:hAnsi="Times New Roman" w:cs="Times New Roman"/>
                <w:color w:val="000000"/>
                <w:spacing w:val="0"/>
                <w:w w:val="100"/>
                <w:position w:val="0"/>
                <w:sz w:val="18"/>
                <w:szCs w:val="18"/>
              </w:rPr>
              <w:t>2,634,466.73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both"/>
              <w:rPr>
                <w:sz w:val="18"/>
                <w:szCs w:val="18"/>
              </w:rPr>
            </w:pPr>
            <w:r>
              <w:rPr>
                <w:rFonts w:ascii="Times New Roman" w:eastAsia="Times New Roman" w:hAnsi="Times New Roman" w:cs="Times New Roman"/>
                <w:color w:val="000000"/>
                <w:spacing w:val="0"/>
                <w:w w:val="100"/>
                <w:position w:val="0"/>
                <w:sz w:val="18"/>
                <w:szCs w:val="18"/>
              </w:rPr>
              <w:t>2,634,466.73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预计难以收回</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7"/>
                <w:szCs w:val="17"/>
              </w:rPr>
              <w:t>单项计提客户</w:t>
            </w:r>
            <w:r>
              <w:rPr>
                <w:rFonts w:ascii="Times New Roman" w:eastAsia="Times New Roman" w:hAnsi="Times New Roman" w:cs="Times New Roman"/>
                <w:color w:val="000000"/>
                <w:spacing w:val="0"/>
                <w:w w:val="100"/>
                <w:position w:val="0"/>
                <w:sz w:val="18"/>
                <w:szCs w:val="18"/>
              </w:rPr>
              <w:t>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both"/>
              <w:rPr>
                <w:sz w:val="18"/>
                <w:szCs w:val="18"/>
              </w:rPr>
            </w:pPr>
            <w:r>
              <w:rPr>
                <w:rFonts w:ascii="Times New Roman" w:eastAsia="Times New Roman" w:hAnsi="Times New Roman" w:cs="Times New Roman"/>
                <w:color w:val="000000"/>
                <w:spacing w:val="0"/>
                <w:w w:val="100"/>
                <w:position w:val="0"/>
                <w:sz w:val="18"/>
                <w:szCs w:val="18"/>
              </w:rPr>
              <w:t>1,800,000.00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both"/>
              <w:rPr>
                <w:sz w:val="18"/>
                <w:szCs w:val="18"/>
              </w:rPr>
            </w:pPr>
            <w:r>
              <w:rPr>
                <w:rFonts w:ascii="Times New Roman" w:eastAsia="Times New Roman" w:hAnsi="Times New Roman" w:cs="Times New Roman"/>
                <w:color w:val="000000"/>
                <w:spacing w:val="0"/>
                <w:w w:val="100"/>
                <w:position w:val="0"/>
                <w:sz w:val="18"/>
                <w:szCs w:val="18"/>
              </w:rPr>
              <w:t>1,440,000.00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20" w:right="0" w:firstLine="0"/>
              <w:jc w:val="left"/>
              <w:rPr>
                <w:sz w:val="18"/>
                <w:szCs w:val="18"/>
              </w:rPr>
            </w:pPr>
            <w:r>
              <w:rPr>
                <w:rFonts w:ascii="Times New Roman" w:eastAsia="Times New Roman" w:hAnsi="Times New Roman" w:cs="Times New Roman"/>
                <w:color w:val="000000"/>
                <w:spacing w:val="0"/>
                <w:w w:val="100"/>
                <w:position w:val="0"/>
                <w:sz w:val="18"/>
                <w:szCs w:val="18"/>
              </w:rPr>
              <w:t>80.00%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预计难以收回</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7"/>
                <w:szCs w:val="17"/>
              </w:rPr>
              <w:t>单项计提客户</w:t>
            </w:r>
            <w:r>
              <w:rPr>
                <w:rFonts w:ascii="Times New Roman" w:eastAsia="Times New Roman" w:hAnsi="Times New Roman" w:cs="Times New Roman"/>
                <w:color w:val="000000"/>
                <w:spacing w:val="0"/>
                <w:w w:val="100"/>
                <w:position w:val="0"/>
                <w:sz w:val="18"/>
                <w:szCs w:val="18"/>
              </w:rPr>
              <w:t>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both"/>
              <w:rPr>
                <w:sz w:val="18"/>
                <w:szCs w:val="18"/>
              </w:rPr>
            </w:pPr>
            <w:r>
              <w:rPr>
                <w:rFonts w:ascii="Times New Roman" w:eastAsia="Times New Roman" w:hAnsi="Times New Roman" w:cs="Times New Roman"/>
                <w:color w:val="000000"/>
                <w:spacing w:val="0"/>
                <w:w w:val="100"/>
                <w:position w:val="0"/>
                <w:sz w:val="18"/>
                <w:szCs w:val="18"/>
              </w:rPr>
              <w:t>1,615,000.00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both"/>
              <w:rPr>
                <w:sz w:val="18"/>
                <w:szCs w:val="18"/>
              </w:rPr>
            </w:pPr>
            <w:r>
              <w:rPr>
                <w:rFonts w:ascii="Times New Roman" w:eastAsia="Times New Roman" w:hAnsi="Times New Roman" w:cs="Times New Roman"/>
                <w:color w:val="000000"/>
                <w:spacing w:val="0"/>
                <w:w w:val="100"/>
                <w:position w:val="0"/>
                <w:sz w:val="18"/>
                <w:szCs w:val="18"/>
              </w:rPr>
              <w:t>1,292,000.00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20" w:right="0" w:firstLine="0"/>
              <w:jc w:val="left"/>
              <w:rPr>
                <w:sz w:val="18"/>
                <w:szCs w:val="18"/>
              </w:rPr>
            </w:pPr>
            <w:r>
              <w:rPr>
                <w:rFonts w:ascii="Times New Roman" w:eastAsia="Times New Roman" w:hAnsi="Times New Roman" w:cs="Times New Roman"/>
                <w:color w:val="000000"/>
                <w:spacing w:val="0"/>
                <w:w w:val="100"/>
                <w:position w:val="0"/>
                <w:sz w:val="18"/>
                <w:szCs w:val="18"/>
              </w:rPr>
              <w:t>80.00%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预计难以收回</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7"/>
                <w:szCs w:val="17"/>
              </w:rPr>
              <w:t>单项计提客户</w:t>
            </w:r>
            <w:r>
              <w:rPr>
                <w:rFonts w:ascii="Times New Roman" w:eastAsia="Times New Roman" w:hAnsi="Times New Roman" w:cs="Times New Roman"/>
                <w:color w:val="000000"/>
                <w:spacing w:val="0"/>
                <w:w w:val="100"/>
                <w:position w:val="0"/>
                <w:sz w:val="18"/>
                <w:szCs w:val="18"/>
              </w:rPr>
              <w:t>10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both"/>
              <w:rPr>
                <w:sz w:val="18"/>
                <w:szCs w:val="18"/>
              </w:rPr>
            </w:pPr>
            <w:r>
              <w:rPr>
                <w:rFonts w:ascii="Times New Roman" w:eastAsia="Times New Roman" w:hAnsi="Times New Roman" w:cs="Times New Roman"/>
                <w:color w:val="000000"/>
                <w:spacing w:val="0"/>
                <w:w w:val="100"/>
                <w:position w:val="0"/>
                <w:sz w:val="18"/>
                <w:szCs w:val="18"/>
              </w:rPr>
              <w:t>1,425,000.00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both"/>
              <w:rPr>
                <w:sz w:val="18"/>
                <w:szCs w:val="18"/>
              </w:rPr>
            </w:pPr>
            <w:r>
              <w:rPr>
                <w:rFonts w:ascii="Times New Roman" w:eastAsia="Times New Roman" w:hAnsi="Times New Roman" w:cs="Times New Roman"/>
                <w:color w:val="000000"/>
                <w:spacing w:val="0"/>
                <w:w w:val="100"/>
                <w:position w:val="0"/>
                <w:sz w:val="18"/>
                <w:szCs w:val="18"/>
              </w:rPr>
              <w:t>1,140,000.00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20" w:right="0" w:firstLine="0"/>
              <w:jc w:val="left"/>
              <w:rPr>
                <w:sz w:val="18"/>
                <w:szCs w:val="18"/>
              </w:rPr>
            </w:pPr>
            <w:r>
              <w:rPr>
                <w:rFonts w:ascii="Times New Roman" w:eastAsia="Times New Roman" w:hAnsi="Times New Roman" w:cs="Times New Roman"/>
                <w:color w:val="000000"/>
                <w:spacing w:val="0"/>
                <w:w w:val="100"/>
                <w:position w:val="0"/>
                <w:sz w:val="18"/>
                <w:szCs w:val="18"/>
              </w:rPr>
              <w:t>80.00%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预计难以收回</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其他单项计提客户</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both"/>
              <w:rPr>
                <w:sz w:val="18"/>
                <w:szCs w:val="18"/>
              </w:rPr>
            </w:pPr>
            <w:r>
              <w:rPr>
                <w:rFonts w:ascii="Times New Roman" w:eastAsia="Times New Roman" w:hAnsi="Times New Roman" w:cs="Times New Roman"/>
                <w:color w:val="000000"/>
                <w:spacing w:val="0"/>
                <w:w w:val="100"/>
                <w:position w:val="0"/>
                <w:sz w:val="18"/>
                <w:szCs w:val="18"/>
              </w:rPr>
              <w:t>1,842,704.27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both"/>
              <w:rPr>
                <w:sz w:val="18"/>
                <w:szCs w:val="18"/>
              </w:rPr>
            </w:pPr>
            <w:r>
              <w:rPr>
                <w:rFonts w:ascii="Times New Roman" w:eastAsia="Times New Roman" w:hAnsi="Times New Roman" w:cs="Times New Roman"/>
                <w:color w:val="000000"/>
                <w:spacing w:val="0"/>
                <w:w w:val="100"/>
                <w:position w:val="0"/>
                <w:sz w:val="18"/>
                <w:szCs w:val="18"/>
              </w:rPr>
              <w:t>1,642,704.27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20" w:right="0" w:firstLine="0"/>
              <w:jc w:val="left"/>
              <w:rPr>
                <w:sz w:val="18"/>
                <w:szCs w:val="18"/>
              </w:rPr>
            </w:pPr>
            <w:r>
              <w:rPr>
                <w:rFonts w:ascii="Times New Roman" w:eastAsia="Times New Roman" w:hAnsi="Times New Roman" w:cs="Times New Roman"/>
                <w:color w:val="000000"/>
                <w:spacing w:val="0"/>
                <w:w w:val="100"/>
                <w:position w:val="0"/>
                <w:sz w:val="18"/>
                <w:szCs w:val="18"/>
              </w:rPr>
              <w:t>89.15%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预计难以收回</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37,837,315.52</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29,970,994.82</w:t>
            </w:r>
          </w:p>
        </w:tc>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900"/>
              <w:jc w:val="left"/>
              <w:rPr>
                <w:sz w:val="18"/>
                <w:szCs w:val="18"/>
              </w:rPr>
            </w:pPr>
            <w:r>
              <w:rPr>
                <w:rFonts w:ascii="Times New Roman" w:eastAsia="Times New Roman" w:hAnsi="Times New Roman" w:cs="Times New Roman"/>
                <w:color w:val="000000"/>
                <w:spacing w:val="0"/>
                <w:w w:val="100"/>
                <w:position w:val="0"/>
                <w:sz w:val="18"/>
                <w:szCs w:val="18"/>
              </w:rPr>
              <w:t>--</w:t>
            </w:r>
          </w:p>
        </w:tc>
      </w:tr>
    </w:tbl>
    <w:p>
      <w:pPr>
        <w:pStyle w:val="Style20"/>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按组合计提坏账准备:</w:t>
      </w:r>
    </w:p>
    <w:p>
      <w:pPr>
        <w:widowControl w:val="0"/>
        <w:spacing w:after="139" w:line="1" w:lineRule="exact"/>
      </w:pPr>
    </w:p>
    <w:p>
      <w:pPr>
        <w:pStyle w:val="Style41"/>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2395"/>
        <w:gridCol w:w="2395"/>
        <w:gridCol w:w="2390"/>
        <w:gridCol w:w="2400"/>
      </w:tblGrid>
      <w:tr>
        <w:trPr>
          <w:trHeight w:val="403" w:hRule="exact"/>
        </w:trPr>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名称</w:t>
            </w:r>
          </w:p>
        </w:tc>
        <w:tc>
          <w:tcPr>
            <w:gridSpan w:val="3"/>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r>
      <w:tr>
        <w:trPr>
          <w:trHeight w:val="403" w:hRule="exact"/>
        </w:trPr>
        <w:tc>
          <w:tcPr>
            <w:vMerge/>
            <w:tcBorders>
              <w:left w:val="single" w:sz="4"/>
            </w:tcBorders>
            <w:shd w:val="clear" w:color="auto" w:fill="D7D7D7"/>
            <w:vAlign w:val="center"/>
          </w:tcPr>
          <w:p>
            <w:pP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计提比例</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年以内</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147,397,393.72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7,369,869.69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5.00%</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年</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9,529,127.98</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952,912.80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10.00%</w:t>
            </w:r>
          </w:p>
        </w:tc>
      </w:tr>
    </w:tbl>
    <w:p>
      <w:pPr>
        <w:spacing w:lineRule="exact" w:line="1"/>
        <w:rPr>
          <w:sz w:val="2"/>
          <w:szCs w:val="2"/>
        </w:rPr>
      </w:pPr>
      <w:r>
        <w:br w:type="page"/>
      </w:r>
    </w:p>
    <w:tbl>
      <w:tblPr>
        <w:tblOverlap w:val="never"/>
        <w:jc w:val="center"/>
        <w:tblLayout w:type="fixed"/>
      </w:tblPr>
      <w:tblGrid>
        <w:gridCol w:w="2395"/>
        <w:gridCol w:w="2395"/>
        <w:gridCol w:w="2390"/>
        <w:gridCol w:w="2400"/>
      </w:tblGrid>
      <w:tr>
        <w:trPr>
          <w:trHeight w:val="40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2-3</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20" w:right="0" w:firstLine="0"/>
              <w:jc w:val="left"/>
              <w:rPr>
                <w:sz w:val="18"/>
                <w:szCs w:val="18"/>
              </w:rPr>
            </w:pPr>
            <w:r>
              <w:rPr>
                <w:rFonts w:ascii="Times New Roman" w:eastAsia="Times New Roman" w:hAnsi="Times New Roman" w:cs="Times New Roman"/>
                <w:color w:val="000000"/>
                <w:spacing w:val="0"/>
                <w:w w:val="100"/>
                <w:position w:val="0"/>
                <w:sz w:val="18"/>
                <w:szCs w:val="18"/>
              </w:rPr>
              <w:t>31,461,524.02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9,438,457.21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30.00%</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3-4</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20" w:right="0" w:firstLine="0"/>
              <w:jc w:val="left"/>
              <w:rPr>
                <w:sz w:val="18"/>
                <w:szCs w:val="18"/>
              </w:rPr>
            </w:pPr>
            <w:r>
              <w:rPr>
                <w:rFonts w:ascii="Times New Roman" w:eastAsia="Times New Roman" w:hAnsi="Times New Roman" w:cs="Times New Roman"/>
                <w:color w:val="000000"/>
                <w:spacing w:val="0"/>
                <w:w w:val="100"/>
                <w:position w:val="0"/>
                <w:sz w:val="18"/>
                <w:szCs w:val="18"/>
              </w:rPr>
              <w:t>53,915,281.26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20" w:right="0" w:firstLine="0"/>
              <w:jc w:val="left"/>
              <w:rPr>
                <w:sz w:val="18"/>
                <w:szCs w:val="18"/>
              </w:rPr>
            </w:pPr>
            <w:r>
              <w:rPr>
                <w:rFonts w:ascii="Times New Roman" w:eastAsia="Times New Roman" w:hAnsi="Times New Roman" w:cs="Times New Roman"/>
                <w:color w:val="000000"/>
                <w:spacing w:val="0"/>
                <w:w w:val="100"/>
                <w:position w:val="0"/>
                <w:sz w:val="18"/>
                <w:szCs w:val="18"/>
              </w:rPr>
              <w:t>26,957,640.63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50.00%</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4-5</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20" w:right="0" w:firstLine="0"/>
              <w:jc w:val="left"/>
              <w:rPr>
                <w:sz w:val="18"/>
                <w:szCs w:val="18"/>
              </w:rPr>
            </w:pPr>
            <w:r>
              <w:rPr>
                <w:rFonts w:ascii="Times New Roman" w:eastAsia="Times New Roman" w:hAnsi="Times New Roman" w:cs="Times New Roman"/>
                <w:color w:val="000000"/>
                <w:spacing w:val="0"/>
                <w:w w:val="100"/>
                <w:position w:val="0"/>
                <w:sz w:val="18"/>
                <w:szCs w:val="18"/>
              </w:rPr>
              <w:t>19,473,601.52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20" w:right="0" w:firstLine="0"/>
              <w:jc w:val="left"/>
              <w:rPr>
                <w:sz w:val="18"/>
                <w:szCs w:val="18"/>
              </w:rPr>
            </w:pPr>
            <w:r>
              <w:rPr>
                <w:rFonts w:ascii="Times New Roman" w:eastAsia="Times New Roman" w:hAnsi="Times New Roman" w:cs="Times New Roman"/>
                <w:color w:val="000000"/>
                <w:spacing w:val="0"/>
                <w:w w:val="100"/>
                <w:position w:val="0"/>
                <w:sz w:val="18"/>
                <w:szCs w:val="18"/>
              </w:rPr>
              <w:t>15,578,881.22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80.00%</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5</w:t>
            </w:r>
            <w:r>
              <w:rPr>
                <w:color w:val="000000"/>
                <w:spacing w:val="0"/>
                <w:w w:val="100"/>
                <w:position w:val="0"/>
              </w:rPr>
              <w:t>年以上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20" w:right="0" w:firstLine="0"/>
              <w:jc w:val="left"/>
              <w:rPr>
                <w:sz w:val="18"/>
                <w:szCs w:val="18"/>
              </w:rPr>
            </w:pPr>
            <w:r>
              <w:rPr>
                <w:rFonts w:ascii="Times New Roman" w:eastAsia="Times New Roman" w:hAnsi="Times New Roman" w:cs="Times New Roman"/>
                <w:color w:val="000000"/>
                <w:spacing w:val="0"/>
                <w:w w:val="100"/>
                <w:position w:val="0"/>
                <w:sz w:val="18"/>
                <w:szCs w:val="18"/>
              </w:rPr>
              <w:t>45,324,751.27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20" w:right="0" w:firstLine="0"/>
              <w:jc w:val="left"/>
              <w:rPr>
                <w:sz w:val="18"/>
                <w:szCs w:val="18"/>
              </w:rPr>
            </w:pPr>
            <w:r>
              <w:rPr>
                <w:rFonts w:ascii="Times New Roman" w:eastAsia="Times New Roman" w:hAnsi="Times New Roman" w:cs="Times New Roman"/>
                <w:color w:val="000000"/>
                <w:spacing w:val="0"/>
                <w:w w:val="100"/>
                <w:position w:val="0"/>
                <w:sz w:val="18"/>
                <w:szCs w:val="18"/>
              </w:rPr>
              <w:t>45,324,751.27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100.00%</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40" w:right="0" w:firstLine="0"/>
              <w:jc w:val="left"/>
              <w:rPr>
                <w:sz w:val="18"/>
                <w:szCs w:val="18"/>
              </w:rPr>
            </w:pPr>
            <w:r>
              <w:rPr>
                <w:rFonts w:ascii="Times New Roman" w:eastAsia="Times New Roman" w:hAnsi="Times New Roman" w:cs="Times New Roman"/>
                <w:color w:val="000000"/>
                <w:spacing w:val="0"/>
                <w:w w:val="100"/>
                <w:position w:val="0"/>
                <w:sz w:val="18"/>
                <w:szCs w:val="18"/>
              </w:rPr>
              <w:t>307,101,679.77</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105,622,512.82</w:t>
            </w:r>
          </w:p>
        </w:tc>
        <w:tc>
          <w:tcPr>
            <w:tcBorders>
              <w:top w:val="single" w:sz="4"/>
              <w:left w:val="single" w:sz="4"/>
              <w:bottom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r>
    </w:tbl>
    <w:p>
      <w:pPr>
        <w:widowControl w:val="0"/>
        <w:spacing w:after="79" w:line="1" w:lineRule="exact"/>
      </w:pPr>
    </w:p>
    <w:p>
      <w:pPr>
        <w:pStyle w:val="Style41"/>
        <w:keepNext w:val="0"/>
        <w:keepLines w:val="0"/>
        <w:widowControl w:val="0"/>
        <w:shd w:val="clear" w:color="auto" w:fill="auto"/>
        <w:bidi w:val="0"/>
        <w:spacing w:before="0" w:after="140" w:line="240" w:lineRule="auto"/>
        <w:ind w:left="0" w:right="0" w:firstLine="0"/>
        <w:jc w:val="left"/>
      </w:pPr>
      <w:r>
        <w:rPr>
          <w:color w:val="000000"/>
          <w:spacing w:val="0"/>
          <w:w w:val="100"/>
          <w:position w:val="0"/>
        </w:rPr>
        <w:t>如是按照预期信用损失一般模型计提应收账款坏账准备，请参照其他应收款的披露方式披露坏账准备的相关信息:</w:t>
      </w:r>
    </w:p>
    <w:p>
      <w:pPr>
        <w:pStyle w:val="Style41"/>
        <w:keepNext w:val="0"/>
        <w:keepLines w:val="0"/>
        <w:widowControl w:val="0"/>
        <w:shd w:val="clear" w:color="auto" w:fill="auto"/>
        <w:bidi w:val="0"/>
        <w:spacing w:before="0" w:after="14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color w:val="000000"/>
          <w:spacing w:val="0"/>
          <w:w w:val="100"/>
          <w:position w:val="0"/>
          <w:sz w:val="18"/>
          <w:szCs w:val="18"/>
        </w:rPr>
        <w:t>寸</w:t>
      </w:r>
      <w:r>
        <w:rPr>
          <w:color w:val="000000"/>
          <w:spacing w:val="0"/>
          <w:w w:val="100"/>
          <w:position w:val="0"/>
        </w:rPr>
        <w:t>不适用</w:t>
      </w:r>
    </w:p>
    <w:p>
      <w:pPr>
        <w:pStyle w:val="Style41"/>
        <w:keepNext w:val="0"/>
        <w:keepLines w:val="0"/>
        <w:widowControl w:val="0"/>
        <w:shd w:val="clear" w:color="auto" w:fill="auto"/>
        <w:bidi w:val="0"/>
        <w:spacing w:before="0" w:after="140" w:line="240" w:lineRule="auto"/>
        <w:ind w:left="0" w:right="0" w:firstLine="0"/>
        <w:jc w:val="left"/>
      </w:pPr>
      <w:r>
        <w:rPr>
          <w:color w:val="000000"/>
          <w:spacing w:val="0"/>
          <w:w w:val="100"/>
          <w:position w:val="0"/>
        </w:rPr>
        <w:t>按账龄披露</w:t>
      </w:r>
    </w:p>
    <w:p>
      <w:pPr>
        <w:pStyle w:val="Style41"/>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center"/>
        <w:tblLayout w:type="fixed"/>
      </w:tblPr>
      <w:tblGrid>
        <w:gridCol w:w="4790"/>
        <w:gridCol w:w="4790"/>
      </w:tblGrid>
      <w:tr>
        <w:trPr>
          <w:trHeight w:val="40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账龄</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年以内（含</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159,935,562.23</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至</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20,021,056.80</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至</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58,817,983.77</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3</w:t>
            </w:r>
            <w:r>
              <w:rPr>
                <w:color w:val="000000"/>
                <w:spacing w:val="0"/>
                <w:w w:val="100"/>
                <w:position w:val="0"/>
              </w:rPr>
              <w:t>至</w:t>
            </w:r>
            <w:r>
              <w:rPr>
                <w:rFonts w:ascii="Times New Roman" w:eastAsia="Times New Roman" w:hAnsi="Times New Roman" w:cs="Times New Roman"/>
                <w:color w:val="000000"/>
                <w:spacing w:val="0"/>
                <w:w w:val="100"/>
                <w:position w:val="0"/>
                <w:sz w:val="18"/>
                <w:szCs w:val="18"/>
              </w:rPr>
              <w:t>4</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56,812,139.82</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4</w:t>
            </w:r>
            <w:r>
              <w:rPr>
                <w:color w:val="000000"/>
                <w:spacing w:val="0"/>
                <w:w w:val="100"/>
                <w:position w:val="0"/>
              </w:rPr>
              <w:t>至</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21,575,771.21</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5</w:t>
            </w:r>
            <w:r>
              <w:rPr>
                <w:color w:val="000000"/>
                <w:spacing w:val="0"/>
                <w:w w:val="100"/>
                <w:position w:val="0"/>
              </w:rPr>
              <w:t>年以上</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49,373,499.51</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366,536,013.34</w:t>
            </w:r>
          </w:p>
        </w:tc>
      </w:tr>
    </w:tbl>
    <w:p>
      <w:pPr>
        <w:widowControl w:val="0"/>
        <w:spacing w:after="319" w:line="1" w:lineRule="exact"/>
      </w:pPr>
    </w:p>
    <w:p>
      <w:pPr>
        <w:pStyle w:val="Style58"/>
        <w:keepNext/>
        <w:keepLines/>
        <w:widowControl w:val="0"/>
        <w:shd w:val="clear" w:color="auto" w:fill="auto"/>
        <w:bidi w:val="0"/>
        <w:spacing w:before="0" w:after="400" w:line="240" w:lineRule="auto"/>
        <w:ind w:left="0" w:right="0" w:firstLine="0"/>
        <w:jc w:val="left"/>
        <w:rPr>
          <w:sz w:val="20"/>
          <w:szCs w:val="20"/>
        </w:rPr>
      </w:pPr>
      <w:bookmarkStart w:id="2211" w:name="bookmark2211"/>
      <w:bookmarkStart w:id="2212" w:name="bookmark2212"/>
      <w:bookmarkStart w:id="2213" w:name="bookmark2213"/>
      <w:r>
        <w:rPr>
          <w:b/>
          <w:bCs/>
          <w:color w:val="000000"/>
          <w:spacing w:val="0"/>
          <w:w w:val="100"/>
          <w:position w:val="0"/>
          <w:sz w:val="20"/>
          <w:szCs w:val="20"/>
        </w:rPr>
        <w:t>（2）本期计提、收回或转回的坏账准备情况</w:t>
      </w:r>
      <w:bookmarkEnd w:id="2211"/>
      <w:bookmarkEnd w:id="2212"/>
      <w:bookmarkEnd w:id="2213"/>
    </w:p>
    <w:p>
      <w:pPr>
        <w:pStyle w:val="Style41"/>
        <w:keepNext w:val="0"/>
        <w:keepLines w:val="0"/>
        <w:widowControl w:val="0"/>
        <w:shd w:val="clear" w:color="auto" w:fill="auto"/>
        <w:bidi w:val="0"/>
        <w:spacing w:before="0" w:after="140" w:line="240" w:lineRule="auto"/>
        <w:ind w:left="0" w:right="0" w:firstLine="0"/>
        <w:jc w:val="left"/>
      </w:pPr>
      <w:r>
        <w:rPr>
          <w:color w:val="000000"/>
          <w:spacing w:val="0"/>
          <w:w w:val="100"/>
          <w:position w:val="0"/>
        </w:rPr>
        <w:t>本期计提坏账准备情况：</w:t>
      </w:r>
    </w:p>
    <w:p>
      <w:pPr>
        <w:pStyle w:val="Style41"/>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center"/>
        <w:tblLayout w:type="fixed"/>
      </w:tblPr>
      <w:tblGrid>
        <w:gridCol w:w="1848"/>
        <w:gridCol w:w="1560"/>
        <w:gridCol w:w="1416"/>
        <w:gridCol w:w="1277"/>
        <w:gridCol w:w="1133"/>
        <w:gridCol w:w="974"/>
        <w:gridCol w:w="1378"/>
      </w:tblGrid>
      <w:tr>
        <w:trPr>
          <w:trHeight w:val="403" w:hRule="exact"/>
        </w:trPr>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类别</w:t>
            </w:r>
          </w:p>
        </w:tc>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400"/>
              <w:jc w:val="left"/>
            </w:pPr>
            <w:r>
              <w:rPr>
                <w:color w:val="000000"/>
                <w:spacing w:val="0"/>
                <w:w w:val="100"/>
                <w:position w:val="0"/>
              </w:rPr>
              <w:t>期初余额</w:t>
            </w:r>
          </w:p>
        </w:tc>
        <w:tc>
          <w:tcPr>
            <w:gridSpan w:val="4"/>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本期变动金额</w:t>
            </w:r>
          </w:p>
        </w:tc>
        <w:tc>
          <w:tcPr>
            <w:vMerge w:val="restart"/>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300"/>
              <w:jc w:val="left"/>
            </w:pPr>
            <w:r>
              <w:rPr>
                <w:color w:val="000000"/>
                <w:spacing w:val="0"/>
                <w:w w:val="100"/>
                <w:position w:val="0"/>
              </w:rPr>
              <w:t>期末余额</w:t>
            </w:r>
          </w:p>
        </w:tc>
      </w:tr>
      <w:tr>
        <w:trPr>
          <w:trHeight w:val="403" w:hRule="exact"/>
        </w:trPr>
        <w:tc>
          <w:tcPr>
            <w:vMerge/>
            <w:tcBorders>
              <w:left w:val="single" w:sz="4"/>
            </w:tcBorders>
            <w:shd w:val="clear" w:color="auto" w:fill="D7D7D7"/>
            <w:vAlign w:val="center"/>
          </w:tcPr>
          <w:p>
            <w:pPr/>
          </w:p>
        </w:tc>
        <w:tc>
          <w:tcPr>
            <w:vMerge/>
            <w:tcBorders>
              <w:left w:val="single" w:sz="4"/>
            </w:tcBorders>
            <w:shd w:val="clear" w:color="auto" w:fill="D7D7D7"/>
            <w:vAlign w:val="center"/>
          </w:tcPr>
          <w:p>
            <w:pP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计提</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收回或转回</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核销</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w:t>
            </w:r>
          </w:p>
        </w:tc>
        <w:tc>
          <w:tcPr>
            <w:vMerge/>
            <w:tcBorders>
              <w:left w:val="single" w:sz="4"/>
              <w:right w:val="single" w:sz="4"/>
            </w:tcBorders>
            <w:shd w:val="clear" w:color="auto" w:fill="D7D7D7"/>
            <w:vAlign w:val="center"/>
          </w:tcPr>
          <w:p>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按单项计提坏账准备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29,970,994.82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29,970,994.82</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按组合计提坏账准备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117,988,542.55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80"/>
              <w:jc w:val="left"/>
              <w:rPr>
                <w:sz w:val="18"/>
                <w:szCs w:val="18"/>
              </w:rPr>
            </w:pPr>
            <w:r>
              <w:rPr>
                <w:rFonts w:ascii="Times New Roman" w:eastAsia="Times New Roman" w:hAnsi="Times New Roman" w:cs="Times New Roman"/>
                <w:color w:val="000000"/>
                <w:spacing w:val="0"/>
                <w:w w:val="100"/>
                <w:position w:val="0"/>
                <w:sz w:val="18"/>
                <w:szCs w:val="18"/>
              </w:rPr>
              <w:t>-12,366,029.73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105,622,512.82</w:t>
            </w:r>
          </w:p>
        </w:tc>
      </w:tr>
      <w:tr>
        <w:trPr>
          <w:trHeight w:val="408"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117,988,542.55</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17,604,965.09</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135,593,507.64</w:t>
            </w:r>
          </w:p>
        </w:tc>
      </w:tr>
    </w:tbl>
    <w:p>
      <w:pPr>
        <w:widowControl w:val="0"/>
        <w:spacing w:after="319" w:line="1" w:lineRule="exact"/>
      </w:pPr>
    </w:p>
    <w:p>
      <w:pPr>
        <w:pStyle w:val="Style58"/>
        <w:keepNext/>
        <w:keepLines/>
        <w:widowControl w:val="0"/>
        <w:shd w:val="clear" w:color="auto" w:fill="auto"/>
        <w:tabs>
          <w:tab w:pos="493" w:val="left"/>
        </w:tabs>
        <w:bidi w:val="0"/>
        <w:spacing w:before="0" w:after="400" w:line="240" w:lineRule="auto"/>
        <w:ind w:left="0" w:right="0" w:firstLine="0"/>
        <w:jc w:val="left"/>
        <w:rPr>
          <w:sz w:val="20"/>
          <w:szCs w:val="20"/>
        </w:rPr>
      </w:pPr>
      <w:bookmarkStart w:id="2214" w:name="bookmark2214"/>
      <w:bookmarkStart w:id="2215" w:name="bookmark2215"/>
      <w:bookmarkStart w:id="2216" w:name="bookmark2216"/>
      <w:bookmarkStart w:id="2217" w:name="bookmark2217"/>
      <w:r>
        <w:rPr>
          <w:b/>
          <w:bCs/>
          <w:color w:val="000000"/>
          <w:spacing w:val="0"/>
          <w:w w:val="100"/>
          <w:position w:val="0"/>
          <w:sz w:val="20"/>
          <w:szCs w:val="20"/>
        </w:rPr>
        <w:t>（</w:t>
      </w:r>
      <w:bookmarkEnd w:id="2216"/>
      <w:r>
        <w:rPr>
          <w:b/>
          <w:bCs/>
          <w:color w:val="000000"/>
          <w:spacing w:val="0"/>
          <w:w w:val="100"/>
          <w:position w:val="0"/>
          <w:sz w:val="20"/>
          <w:szCs w:val="20"/>
        </w:rPr>
        <w:t>3）</w:t>
        <w:tab/>
        <w:t>本期实际核销的应收账款情况</w:t>
      </w:r>
      <w:bookmarkEnd w:id="2214"/>
      <w:bookmarkEnd w:id="2215"/>
      <w:bookmarkEnd w:id="2217"/>
    </w:p>
    <w:p>
      <w:pPr>
        <w:pStyle w:val="Style41"/>
        <w:keepNext w:val="0"/>
        <w:keepLines w:val="0"/>
        <w:widowControl w:val="0"/>
        <w:shd w:val="clear" w:color="auto" w:fill="auto"/>
        <w:bidi w:val="0"/>
        <w:spacing w:before="0" w:after="400" w:line="240" w:lineRule="auto"/>
        <w:ind w:left="0" w:right="0" w:firstLine="360"/>
        <w:jc w:val="left"/>
      </w:pPr>
      <w:r>
        <w:rPr>
          <w:color w:val="000000"/>
          <w:spacing w:val="0"/>
          <w:w w:val="100"/>
          <w:position w:val="0"/>
        </w:rPr>
        <w:t>无。</w:t>
      </w:r>
    </w:p>
    <w:p>
      <w:pPr>
        <w:pStyle w:val="Style58"/>
        <w:keepNext/>
        <w:keepLines/>
        <w:widowControl w:val="0"/>
        <w:shd w:val="clear" w:color="auto" w:fill="auto"/>
        <w:tabs>
          <w:tab w:pos="493" w:val="left"/>
        </w:tabs>
        <w:bidi w:val="0"/>
        <w:spacing w:before="0" w:after="400" w:line="240" w:lineRule="auto"/>
        <w:ind w:left="0" w:right="0" w:firstLine="0"/>
        <w:jc w:val="left"/>
        <w:rPr>
          <w:sz w:val="20"/>
          <w:szCs w:val="20"/>
        </w:rPr>
      </w:pPr>
      <w:bookmarkStart w:id="2218" w:name="bookmark2218"/>
      <w:bookmarkStart w:id="2219" w:name="bookmark2219"/>
      <w:bookmarkStart w:id="2220" w:name="bookmark2220"/>
      <w:bookmarkStart w:id="2221" w:name="bookmark2221"/>
      <w:r>
        <w:rPr>
          <w:b/>
          <w:bCs/>
          <w:color w:val="000000"/>
          <w:spacing w:val="0"/>
          <w:w w:val="100"/>
          <w:position w:val="0"/>
          <w:sz w:val="20"/>
          <w:szCs w:val="20"/>
        </w:rPr>
        <w:t>（</w:t>
      </w:r>
      <w:bookmarkEnd w:id="2220"/>
      <w:r>
        <w:rPr>
          <w:b/>
          <w:bCs/>
          <w:color w:val="000000"/>
          <w:spacing w:val="0"/>
          <w:w w:val="100"/>
          <w:position w:val="0"/>
          <w:sz w:val="20"/>
          <w:szCs w:val="20"/>
        </w:rPr>
        <w:t>4）</w:t>
        <w:tab/>
        <w:t>按欠款方归集的期末余额前五名的应收账款情况</w:t>
      </w:r>
      <w:bookmarkEnd w:id="2218"/>
      <w:bookmarkEnd w:id="2219"/>
      <w:bookmarkEnd w:id="2221"/>
    </w:p>
    <w:p>
      <w:pPr>
        <w:pStyle w:val="Style41"/>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center"/>
        <w:tblLayout w:type="fixed"/>
      </w:tblPr>
      <w:tblGrid>
        <w:gridCol w:w="2395"/>
        <w:gridCol w:w="2395"/>
        <w:gridCol w:w="2390"/>
        <w:gridCol w:w="2400"/>
      </w:tblGrid>
      <w:tr>
        <w:trPr>
          <w:trHeight w:val="720"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单位名称</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460"/>
              <w:jc w:val="left"/>
            </w:pPr>
            <w:r>
              <w:rPr>
                <w:color w:val="000000"/>
                <w:spacing w:val="0"/>
                <w:w w:val="100"/>
                <w:position w:val="0"/>
              </w:rPr>
              <w:t>应收账款期末余额</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120" w:line="240" w:lineRule="auto"/>
              <w:ind w:left="0" w:right="0" w:firstLine="0"/>
              <w:jc w:val="left"/>
            </w:pPr>
            <w:r>
              <w:rPr>
                <w:color w:val="000000"/>
                <w:spacing w:val="0"/>
                <w:w w:val="100"/>
                <w:position w:val="0"/>
              </w:rPr>
              <w:t>占应收账款期末余额合计数</w:t>
            </w:r>
          </w:p>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的比例</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480"/>
              <w:jc w:val="left"/>
            </w:pPr>
            <w:r>
              <w:rPr>
                <w:color w:val="000000"/>
                <w:spacing w:val="0"/>
                <w:w w:val="100"/>
                <w:position w:val="0"/>
              </w:rPr>
              <w:t>坏账准备期末余额</w:t>
            </w:r>
          </w:p>
        </w:tc>
      </w:tr>
      <w:tr>
        <w:trPr>
          <w:trHeight w:val="41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7"/>
                <w:szCs w:val="17"/>
              </w:rPr>
              <w:t>客户</w:t>
            </w:r>
            <w:r>
              <w:rPr>
                <w:rFonts w:ascii="Times New Roman" w:eastAsia="Times New Roman" w:hAnsi="Times New Roman" w:cs="Times New Roman"/>
                <w:color w:val="000000"/>
                <w:spacing w:val="0"/>
                <w:w w:val="100"/>
                <w:position w:val="0"/>
                <w:sz w:val="18"/>
                <w:szCs w:val="18"/>
              </w:rPr>
              <w:t>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40" w:right="0" w:firstLine="0"/>
              <w:jc w:val="left"/>
              <w:rPr>
                <w:sz w:val="18"/>
                <w:szCs w:val="18"/>
              </w:rPr>
            </w:pPr>
            <w:r>
              <w:rPr>
                <w:rFonts w:ascii="Times New Roman" w:eastAsia="Times New Roman" w:hAnsi="Times New Roman" w:cs="Times New Roman"/>
                <w:color w:val="000000"/>
                <w:spacing w:val="0"/>
                <w:w w:val="100"/>
                <w:position w:val="0"/>
                <w:sz w:val="18"/>
                <w:szCs w:val="18"/>
              </w:rPr>
              <w:t>166,849,468.02</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45.52%</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59,990,857.27</w:t>
            </w:r>
          </w:p>
        </w:tc>
      </w:tr>
    </w:tbl>
    <w:p>
      <w:pPr>
        <w:spacing w:lineRule="exact" w:line="1"/>
        <w:rPr>
          <w:sz w:val="2"/>
          <w:szCs w:val="2"/>
        </w:rPr>
      </w:pPr>
      <w:r>
        <w:br w:type="page"/>
      </w:r>
    </w:p>
    <w:tbl>
      <w:tblPr>
        <w:tblOverlap w:val="never"/>
        <w:jc w:val="center"/>
        <w:tblLayout w:type="fixed"/>
      </w:tblPr>
      <w:tblGrid>
        <w:gridCol w:w="2395"/>
        <w:gridCol w:w="2395"/>
        <w:gridCol w:w="2390"/>
        <w:gridCol w:w="2400"/>
      </w:tblGrid>
      <w:tr>
        <w:trPr>
          <w:trHeight w:val="48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7"/>
                <w:szCs w:val="17"/>
              </w:rPr>
              <w:t>客户</w:t>
            </w:r>
            <w:r>
              <w:rPr>
                <w:rFonts w:ascii="Times New Roman" w:eastAsia="Times New Roman" w:hAnsi="Times New Roman" w:cs="Times New Roman"/>
                <w:color w:val="000000"/>
                <w:spacing w:val="0"/>
                <w:w w:val="100"/>
                <w:position w:val="0"/>
                <w:sz w:val="18"/>
                <w:szCs w:val="18"/>
              </w:rPr>
              <w:t>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33,605,987.03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9.17%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6,852,484.77</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7"/>
                <w:szCs w:val="17"/>
              </w:rPr>
              <w:t>客户</w:t>
            </w:r>
            <w:r>
              <w:rPr>
                <w:rFonts w:ascii="Times New Roman" w:eastAsia="Times New Roman" w:hAnsi="Times New Roman" w:cs="Times New Roman"/>
                <w:color w:val="000000"/>
                <w:spacing w:val="0"/>
                <w:w w:val="100"/>
                <w:position w:val="0"/>
                <w:sz w:val="18"/>
                <w:szCs w:val="18"/>
              </w:rPr>
              <w:t>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21,597,018.05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5.89%</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7"/>
                <w:szCs w:val="17"/>
              </w:rPr>
              <w:t>客户</w:t>
            </w:r>
            <w:r>
              <w:rPr>
                <w:rFonts w:ascii="Times New Roman" w:eastAsia="Times New Roman" w:hAnsi="Times New Roman" w:cs="Times New Roman"/>
                <w:color w:val="000000"/>
                <w:spacing w:val="0"/>
                <w:w w:val="100"/>
                <w:position w:val="0"/>
                <w:sz w:val="18"/>
                <w:szCs w:val="18"/>
              </w:rPr>
              <w:t>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8,122,950.00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2.22%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6,498,360.00</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7"/>
                <w:szCs w:val="17"/>
              </w:rPr>
              <w:t>客户</w:t>
            </w:r>
            <w:r>
              <w:rPr>
                <w:rFonts w:ascii="Times New Roman" w:eastAsia="Times New Roman" w:hAnsi="Times New Roman" w:cs="Times New Roman"/>
                <w:color w:val="000000"/>
                <w:spacing w:val="0"/>
                <w:w w:val="100"/>
                <w:position w:val="0"/>
                <w:sz w:val="18"/>
                <w:szCs w:val="18"/>
              </w:rPr>
              <w:t>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7,051,704.78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1,426,378.86</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237,227,127.88</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64.72%</w:t>
            </w:r>
          </w:p>
        </w:tc>
        <w:tc>
          <w:tcPr>
            <w:tcBorders>
              <w:top w:val="single" w:sz="4"/>
              <w:left w:val="single" w:sz="4"/>
              <w:bottom w:val="single" w:sz="4"/>
              <w:right w:val="single" w:sz="4"/>
            </w:tcBorders>
            <w:shd w:val="clear" w:color="auto" w:fill="D7D7D7"/>
            <w:vAlign w:val="top"/>
          </w:tcPr>
          <w:p>
            <w:pPr>
              <w:widowControl w:val="0"/>
              <w:rPr>
                <w:sz w:val="10"/>
                <w:szCs w:val="10"/>
              </w:rPr>
            </w:pPr>
          </w:p>
        </w:tc>
      </w:tr>
    </w:tbl>
    <w:p>
      <w:pPr>
        <w:widowControl w:val="0"/>
        <w:spacing w:after="319" w:line="1" w:lineRule="exact"/>
      </w:pPr>
    </w:p>
    <w:p>
      <w:pPr>
        <w:pStyle w:val="Style58"/>
        <w:keepNext/>
        <w:keepLines/>
        <w:widowControl w:val="0"/>
        <w:numPr>
          <w:ilvl w:val="0"/>
          <w:numId w:val="49"/>
        </w:numPr>
        <w:shd w:val="clear" w:color="auto" w:fill="auto"/>
        <w:bidi w:val="0"/>
        <w:spacing w:before="0" w:after="400" w:line="240" w:lineRule="auto"/>
        <w:ind w:left="0" w:right="0" w:firstLine="220"/>
        <w:jc w:val="left"/>
        <w:rPr>
          <w:sz w:val="20"/>
          <w:szCs w:val="20"/>
        </w:rPr>
      </w:pPr>
      <w:bookmarkStart w:id="2222" w:name="bookmark2222"/>
      <w:bookmarkStart w:id="2223" w:name="bookmark2223"/>
      <w:bookmarkStart w:id="2224" w:name="bookmark2224"/>
      <w:bookmarkStart w:id="2225" w:name="bookmark2225"/>
      <w:bookmarkEnd w:id="2224"/>
      <w:r>
        <w:rPr>
          <w:b/>
          <w:bCs/>
          <w:color w:val="000000"/>
          <w:spacing w:val="0"/>
          <w:w w:val="100"/>
          <w:position w:val="0"/>
          <w:sz w:val="20"/>
          <w:szCs w:val="20"/>
        </w:rPr>
        <w:t>因金融资产转移而终止确认的应收账款</w:t>
      </w:r>
      <w:bookmarkEnd w:id="2222"/>
      <w:bookmarkEnd w:id="2223"/>
      <w:bookmarkEnd w:id="2225"/>
    </w:p>
    <w:p>
      <w:pPr>
        <w:pStyle w:val="Style41"/>
        <w:keepNext w:val="0"/>
        <w:keepLines w:val="0"/>
        <w:widowControl w:val="0"/>
        <w:shd w:val="clear" w:color="auto" w:fill="auto"/>
        <w:bidi w:val="0"/>
        <w:spacing w:before="0" w:after="400" w:line="240" w:lineRule="auto"/>
        <w:ind w:left="0" w:right="0" w:firstLine="460"/>
        <w:jc w:val="left"/>
      </w:pPr>
      <w:r>
        <w:rPr>
          <w:color w:val="000000"/>
          <w:spacing w:val="0"/>
          <w:w w:val="100"/>
          <w:position w:val="0"/>
        </w:rPr>
        <w:t>无。</w:t>
      </w:r>
    </w:p>
    <w:p>
      <w:pPr>
        <w:pStyle w:val="Style58"/>
        <w:keepNext/>
        <w:keepLines/>
        <w:widowControl w:val="0"/>
        <w:numPr>
          <w:ilvl w:val="0"/>
          <w:numId w:val="49"/>
        </w:numPr>
        <w:shd w:val="clear" w:color="auto" w:fill="auto"/>
        <w:bidi w:val="0"/>
        <w:spacing w:before="0" w:after="400" w:line="240" w:lineRule="auto"/>
        <w:ind w:left="0" w:right="0" w:firstLine="220"/>
        <w:jc w:val="left"/>
        <w:rPr>
          <w:sz w:val="20"/>
          <w:szCs w:val="20"/>
        </w:rPr>
      </w:pPr>
      <w:bookmarkStart w:id="2226" w:name="bookmark2226"/>
      <w:bookmarkStart w:id="2227" w:name="bookmark2227"/>
      <w:bookmarkStart w:id="2228" w:name="bookmark2228"/>
      <w:bookmarkStart w:id="2229" w:name="bookmark2229"/>
      <w:bookmarkEnd w:id="2228"/>
      <w:r>
        <w:rPr>
          <w:b/>
          <w:bCs/>
          <w:color w:val="000000"/>
          <w:spacing w:val="0"/>
          <w:w w:val="100"/>
          <w:position w:val="0"/>
          <w:sz w:val="20"/>
          <w:szCs w:val="20"/>
        </w:rPr>
        <w:t>转移应收账款且继续涉入形成的资产、负债金额</w:t>
      </w:r>
      <w:bookmarkEnd w:id="2226"/>
      <w:bookmarkEnd w:id="2227"/>
      <w:bookmarkEnd w:id="2229"/>
    </w:p>
    <w:p>
      <w:pPr>
        <w:pStyle w:val="Style41"/>
        <w:keepNext w:val="0"/>
        <w:keepLines w:val="0"/>
        <w:widowControl w:val="0"/>
        <w:shd w:val="clear" w:color="auto" w:fill="auto"/>
        <w:bidi w:val="0"/>
        <w:spacing w:before="0" w:after="400" w:line="240" w:lineRule="auto"/>
        <w:ind w:left="0" w:right="0" w:firstLine="460"/>
        <w:jc w:val="left"/>
      </w:pPr>
      <w:r>
        <w:rPr>
          <w:color w:val="000000"/>
          <w:spacing w:val="0"/>
          <w:w w:val="100"/>
          <w:position w:val="0"/>
        </w:rPr>
        <w:t>无。</w:t>
      </w:r>
    </w:p>
    <w:p>
      <w:pPr>
        <w:pStyle w:val="Style47"/>
        <w:keepNext/>
        <w:keepLines/>
        <w:widowControl w:val="0"/>
        <w:shd w:val="clear" w:color="auto" w:fill="auto"/>
        <w:bidi w:val="0"/>
        <w:spacing w:before="0" w:after="400" w:line="240" w:lineRule="auto"/>
        <w:ind w:left="0" w:right="0" w:firstLine="0"/>
        <w:jc w:val="left"/>
      </w:pPr>
      <w:bookmarkStart w:id="2230" w:name="bookmark2230"/>
      <w:bookmarkStart w:id="2231" w:name="bookmark2231"/>
      <w:bookmarkStart w:id="2232" w:name="bookmark2232"/>
      <w:r>
        <w:rPr>
          <w:color w:val="000000"/>
          <w:spacing w:val="0"/>
          <w:w w:val="100"/>
          <w:position w:val="0"/>
        </w:rPr>
        <w:t>2、其他应收款</w:t>
      </w:r>
      <w:bookmarkEnd w:id="2230"/>
      <w:bookmarkEnd w:id="2231"/>
      <w:bookmarkEnd w:id="2232"/>
    </w:p>
    <w:p>
      <w:pPr>
        <w:pStyle w:val="Style41"/>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3192"/>
        <w:gridCol w:w="3192"/>
        <w:gridCol w:w="3202"/>
      </w:tblGrid>
      <w:tr>
        <w:trPr>
          <w:trHeight w:val="40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应收利息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应收股利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其他应收款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rPr>
                <w:sz w:val="18"/>
                <w:szCs w:val="18"/>
              </w:rPr>
            </w:pPr>
            <w:r>
              <w:rPr>
                <w:rFonts w:ascii="Times New Roman" w:eastAsia="Times New Roman" w:hAnsi="Times New Roman" w:cs="Times New Roman"/>
                <w:color w:val="000000"/>
                <w:spacing w:val="0"/>
                <w:w w:val="100"/>
                <w:position w:val="0"/>
                <w:sz w:val="18"/>
                <w:szCs w:val="18"/>
              </w:rPr>
              <w:t>658,472,464.12</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702,928,706.77</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rPr>
                <w:sz w:val="18"/>
                <w:szCs w:val="18"/>
              </w:rPr>
            </w:pPr>
            <w:r>
              <w:rPr>
                <w:rFonts w:ascii="Times New Roman" w:eastAsia="Times New Roman" w:hAnsi="Times New Roman" w:cs="Times New Roman"/>
                <w:color w:val="000000"/>
                <w:spacing w:val="0"/>
                <w:w w:val="100"/>
                <w:position w:val="0"/>
                <w:sz w:val="18"/>
                <w:szCs w:val="18"/>
              </w:rPr>
              <w:t>658,472,464.12</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702,928,706.77</w:t>
            </w:r>
          </w:p>
        </w:tc>
      </w:tr>
    </w:tbl>
    <w:p>
      <w:pPr>
        <w:widowControl w:val="0"/>
        <w:spacing w:after="319" w:line="1" w:lineRule="exact"/>
      </w:pPr>
    </w:p>
    <w:p>
      <w:pPr>
        <w:pStyle w:val="Style58"/>
        <w:keepNext/>
        <w:keepLines/>
        <w:widowControl w:val="0"/>
        <w:shd w:val="clear" w:color="auto" w:fill="auto"/>
        <w:bidi w:val="0"/>
        <w:spacing w:before="0" w:after="400" w:line="240" w:lineRule="auto"/>
        <w:ind w:left="0" w:right="0" w:firstLine="220"/>
        <w:jc w:val="left"/>
        <w:rPr>
          <w:sz w:val="20"/>
          <w:szCs w:val="20"/>
        </w:rPr>
      </w:pPr>
      <w:bookmarkStart w:id="2233" w:name="bookmark2233"/>
      <w:bookmarkStart w:id="2234" w:name="bookmark2234"/>
      <w:bookmarkStart w:id="2235" w:name="bookmark2235"/>
      <w:r>
        <w:rPr>
          <w:b/>
          <w:bCs/>
          <w:color w:val="000000"/>
          <w:spacing w:val="0"/>
          <w:w w:val="100"/>
          <w:position w:val="0"/>
          <w:sz w:val="20"/>
          <w:szCs w:val="20"/>
        </w:rPr>
        <w:t>(1)应收利息</w:t>
      </w:r>
      <w:bookmarkEnd w:id="2233"/>
      <w:bookmarkEnd w:id="2234"/>
      <w:bookmarkEnd w:id="2235"/>
    </w:p>
    <w:p>
      <w:pPr>
        <w:pStyle w:val="Style41"/>
        <w:keepNext w:val="0"/>
        <w:keepLines w:val="0"/>
        <w:widowControl w:val="0"/>
        <w:shd w:val="clear" w:color="auto" w:fill="auto"/>
        <w:bidi w:val="0"/>
        <w:spacing w:before="0" w:after="400" w:line="240" w:lineRule="auto"/>
        <w:ind w:left="0" w:right="0" w:firstLine="460"/>
        <w:jc w:val="left"/>
      </w:pPr>
      <w:r>
        <w:rPr>
          <w:color w:val="000000"/>
          <w:spacing w:val="0"/>
          <w:w w:val="100"/>
          <w:position w:val="0"/>
        </w:rPr>
        <w:t>无。</w:t>
      </w:r>
    </w:p>
    <w:p>
      <w:pPr>
        <w:pStyle w:val="Style58"/>
        <w:keepNext/>
        <w:keepLines/>
        <w:widowControl w:val="0"/>
        <w:shd w:val="clear" w:color="auto" w:fill="auto"/>
        <w:bidi w:val="0"/>
        <w:spacing w:before="0" w:after="400" w:line="240" w:lineRule="auto"/>
        <w:ind w:left="0" w:right="0" w:firstLine="220"/>
        <w:jc w:val="left"/>
        <w:rPr>
          <w:sz w:val="20"/>
          <w:szCs w:val="20"/>
        </w:rPr>
      </w:pPr>
      <w:bookmarkStart w:id="2236" w:name="bookmark2236"/>
      <w:bookmarkStart w:id="2237" w:name="bookmark2237"/>
      <w:bookmarkStart w:id="2238" w:name="bookmark2238"/>
      <w:r>
        <w:rPr>
          <w:b/>
          <w:bCs/>
          <w:color w:val="000000"/>
          <w:spacing w:val="0"/>
          <w:w w:val="100"/>
          <w:position w:val="0"/>
          <w:sz w:val="20"/>
          <w:szCs w:val="20"/>
        </w:rPr>
        <w:t>(2)应收股利</w:t>
      </w:r>
      <w:bookmarkEnd w:id="2236"/>
      <w:bookmarkEnd w:id="2237"/>
      <w:bookmarkEnd w:id="2238"/>
    </w:p>
    <w:p>
      <w:pPr>
        <w:pStyle w:val="Style41"/>
        <w:keepNext w:val="0"/>
        <w:keepLines w:val="0"/>
        <w:widowControl w:val="0"/>
        <w:shd w:val="clear" w:color="auto" w:fill="auto"/>
        <w:bidi w:val="0"/>
        <w:spacing w:before="0" w:after="400" w:line="240" w:lineRule="auto"/>
        <w:ind w:left="0" w:right="0" w:firstLine="460"/>
        <w:jc w:val="left"/>
      </w:pPr>
      <w:r>
        <w:rPr>
          <w:color w:val="000000"/>
          <w:spacing w:val="0"/>
          <w:w w:val="100"/>
          <w:position w:val="0"/>
        </w:rPr>
        <w:t>无。</w:t>
      </w:r>
    </w:p>
    <w:p>
      <w:pPr>
        <w:pStyle w:val="Style58"/>
        <w:keepNext/>
        <w:keepLines/>
        <w:widowControl w:val="0"/>
        <w:numPr>
          <w:ilvl w:val="0"/>
          <w:numId w:val="45"/>
        </w:numPr>
        <w:shd w:val="clear" w:color="auto" w:fill="auto"/>
        <w:bidi w:val="0"/>
        <w:spacing w:before="0" w:after="400" w:line="240" w:lineRule="auto"/>
        <w:ind w:left="0" w:right="0" w:firstLine="0"/>
        <w:jc w:val="left"/>
        <w:rPr>
          <w:sz w:val="20"/>
          <w:szCs w:val="20"/>
        </w:rPr>
      </w:pPr>
      <w:bookmarkStart w:id="2239" w:name="bookmark2239"/>
      <w:bookmarkStart w:id="2240" w:name="bookmark2240"/>
      <w:bookmarkStart w:id="2241" w:name="bookmark2241"/>
      <w:bookmarkStart w:id="2242" w:name="bookmark2242"/>
      <w:bookmarkEnd w:id="2241"/>
      <w:r>
        <w:rPr>
          <w:b/>
          <w:bCs/>
          <w:color w:val="000000"/>
          <w:spacing w:val="0"/>
          <w:w w:val="100"/>
          <w:position w:val="0"/>
          <w:sz w:val="20"/>
          <w:szCs w:val="20"/>
        </w:rPr>
        <w:t>其他应收款</w:t>
      </w:r>
      <w:bookmarkEnd w:id="2239"/>
      <w:bookmarkEnd w:id="2240"/>
      <w:bookmarkEnd w:id="2242"/>
    </w:p>
    <w:p>
      <w:pPr>
        <w:pStyle w:val="Style248"/>
        <w:keepNext/>
        <w:keepLines/>
        <w:widowControl w:val="0"/>
        <w:shd w:val="clear" w:color="auto" w:fill="auto"/>
        <w:bidi w:val="0"/>
        <w:spacing w:before="0" w:after="320" w:line="240" w:lineRule="auto"/>
        <w:ind w:left="0" w:right="0" w:firstLine="0"/>
        <w:jc w:val="left"/>
      </w:pPr>
      <w:bookmarkStart w:id="2243" w:name="bookmark2243"/>
      <w:bookmarkStart w:id="2244" w:name="bookmark2244"/>
      <w:bookmarkStart w:id="2245" w:name="bookmark2245"/>
      <w:r>
        <w:rPr>
          <w:color w:val="000000"/>
          <w:spacing w:val="0"/>
          <w:w w:val="100"/>
          <w:position w:val="0"/>
        </w:rPr>
        <w:t>1)其他应收款按款分类披露</w:t>
      </w:r>
      <w:bookmarkEnd w:id="2243"/>
      <w:bookmarkEnd w:id="2244"/>
      <w:bookmarkEnd w:id="2245"/>
    </w:p>
    <w:tbl>
      <w:tblPr>
        <w:tblOverlap w:val="never"/>
        <w:jc w:val="center"/>
        <w:tblLayout w:type="fixed"/>
      </w:tblPr>
      <w:tblGrid>
        <w:gridCol w:w="2146"/>
        <w:gridCol w:w="1339"/>
        <w:gridCol w:w="1075"/>
        <w:gridCol w:w="1790"/>
        <w:gridCol w:w="1397"/>
        <w:gridCol w:w="2122"/>
      </w:tblGrid>
      <w:tr>
        <w:trPr>
          <w:trHeight w:val="413" w:hRule="exact"/>
        </w:trPr>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类别</w:t>
            </w:r>
          </w:p>
        </w:tc>
        <w:tc>
          <w:tcPr>
            <w:gridSpan w:val="5"/>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r>
      <w:tr>
        <w:trPr>
          <w:trHeight w:val="408" w:hRule="exact"/>
        </w:trPr>
        <w:tc>
          <w:tcPr>
            <w:vMerge/>
            <w:tcBorders>
              <w:left w:val="single" w:sz="4"/>
            </w:tcBorders>
            <w:shd w:val="clear" w:color="auto" w:fill="D7D7D7"/>
            <w:vAlign w:val="center"/>
          </w:tcPr>
          <w:p>
            <w:pPr/>
          </w:p>
        </w:tc>
        <w:tc>
          <w:tcPr>
            <w:gridSpan w:val="2"/>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gridSpan w:val="2"/>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vMerge w:val="restart"/>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账面价值</w:t>
            </w:r>
          </w:p>
        </w:tc>
      </w:tr>
      <w:tr>
        <w:trPr>
          <w:trHeight w:val="408" w:hRule="exact"/>
        </w:trPr>
        <w:tc>
          <w:tcPr>
            <w:vMerge/>
            <w:tcBorders>
              <w:left w:val="single" w:sz="4"/>
            </w:tcBorders>
            <w:shd w:val="clear" w:color="auto" w:fill="D7D7D7"/>
            <w:vAlign w:val="center"/>
          </w:tcPr>
          <w:p>
            <w:pP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比例(</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计提比例(</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tc>
        <w:tc>
          <w:tcPr>
            <w:vMerge/>
            <w:tcBorders>
              <w:left w:val="single" w:sz="4"/>
              <w:right w:val="single" w:sz="4"/>
            </w:tcBorders>
            <w:shd w:val="clear" w:color="auto" w:fill="D7D7D7"/>
            <w:vAlign w:val="center"/>
          </w:tcPr>
          <w:p>
            <w:pP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按单项计提坏账准备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168,603,282.26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60"/>
              <w:jc w:val="left"/>
              <w:rPr>
                <w:sz w:val="18"/>
                <w:szCs w:val="18"/>
              </w:rPr>
            </w:pPr>
            <w:r>
              <w:rPr>
                <w:rFonts w:ascii="Times New Roman" w:eastAsia="Times New Roman" w:hAnsi="Times New Roman" w:cs="Times New Roman"/>
                <w:color w:val="000000"/>
                <w:spacing w:val="0"/>
                <w:w w:val="100"/>
                <w:position w:val="0"/>
                <w:sz w:val="18"/>
                <w:szCs w:val="18"/>
              </w:rPr>
              <w:t>20.58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60"/>
              <w:jc w:val="left"/>
              <w:rPr>
                <w:sz w:val="18"/>
                <w:szCs w:val="18"/>
              </w:rPr>
            </w:pPr>
            <w:r>
              <w:rPr>
                <w:rFonts w:ascii="Times New Roman" w:eastAsia="Times New Roman" w:hAnsi="Times New Roman" w:cs="Times New Roman"/>
                <w:color w:val="000000"/>
                <w:spacing w:val="0"/>
                <w:w w:val="100"/>
                <w:position w:val="0"/>
                <w:sz w:val="18"/>
                <w:szCs w:val="18"/>
              </w:rPr>
              <w:t>160,638,297.39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95.28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7,964,984.87</w:t>
            </w:r>
          </w:p>
        </w:tc>
      </w:tr>
      <w:tr>
        <w:trPr>
          <w:trHeight w:val="41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按组合计提坏账准备</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650,783,939.33</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60"/>
              <w:jc w:val="left"/>
              <w:rPr>
                <w:sz w:val="18"/>
                <w:szCs w:val="18"/>
              </w:rPr>
            </w:pPr>
            <w:r>
              <w:rPr>
                <w:rFonts w:ascii="Times New Roman" w:eastAsia="Times New Roman" w:hAnsi="Times New Roman" w:cs="Times New Roman"/>
                <w:color w:val="000000"/>
                <w:spacing w:val="0"/>
                <w:w w:val="100"/>
                <w:position w:val="0"/>
                <w:sz w:val="18"/>
                <w:szCs w:val="18"/>
              </w:rPr>
              <w:t>79.42</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276,460.08</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0.04</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650,507,479.25</w:t>
            </w:r>
          </w:p>
        </w:tc>
      </w:tr>
    </w:tbl>
    <w:p>
      <w:pPr>
        <w:sectPr>
          <w:headerReference w:type="default" r:id="rId457"/>
          <w:footerReference w:type="default" r:id="rId458"/>
          <w:headerReference w:type="even" r:id="rId459"/>
          <w:footerReference w:type="even" r:id="rId460"/>
          <w:footnotePr>
            <w:pos w:val="pageBottom"/>
            <w:numFmt w:val="decimal"/>
            <w:numRestart w:val="continuous"/>
          </w:footnotePr>
          <w:type w:val="continuous"/>
          <w:pgSz w:w="11904" w:h="17375"/>
          <w:pgMar w:top="1677" w:right="1040" w:bottom="1673" w:left="995" w:header="0" w:footer="3" w:gutter="0"/>
          <w:cols w:space="720"/>
          <w:noEndnote/>
          <w:rtlGutter w:val="0"/>
          <w:docGrid w:linePitch="360"/>
        </w:sectPr>
      </w:pPr>
    </w:p>
    <w:tbl>
      <w:tblPr>
        <w:tblOverlap w:val="never"/>
        <w:jc w:val="center"/>
        <w:tblLayout w:type="fixed"/>
      </w:tblPr>
      <w:tblGrid>
        <w:gridCol w:w="2146"/>
        <w:gridCol w:w="1339"/>
        <w:gridCol w:w="1075"/>
        <w:gridCol w:w="1790"/>
        <w:gridCol w:w="1397"/>
        <w:gridCol w:w="2122"/>
      </w:tblGrid>
      <w:tr>
        <w:trPr>
          <w:trHeight w:val="413" w:hRule="exact"/>
        </w:trPr>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类别</w:t>
            </w:r>
          </w:p>
        </w:tc>
        <w:tc>
          <w:tcPr>
            <w:gridSpan w:val="5"/>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r>
      <w:tr>
        <w:trPr>
          <w:trHeight w:val="408" w:hRule="exact"/>
        </w:trPr>
        <w:tc>
          <w:tcPr>
            <w:vMerge/>
            <w:tcBorders>
              <w:left w:val="single" w:sz="4"/>
            </w:tcBorders>
            <w:shd w:val="clear" w:color="auto" w:fill="D7D7D7"/>
            <w:vAlign w:val="center"/>
          </w:tcPr>
          <w:p>
            <w:pPr/>
          </w:p>
        </w:tc>
        <w:tc>
          <w:tcPr>
            <w:gridSpan w:val="2"/>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gridSpan w:val="2"/>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vMerge w:val="restart"/>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账面价值</w:t>
            </w:r>
          </w:p>
        </w:tc>
      </w:tr>
      <w:tr>
        <w:trPr>
          <w:trHeight w:val="403" w:hRule="exact"/>
        </w:trPr>
        <w:tc>
          <w:tcPr>
            <w:vMerge/>
            <w:tcBorders>
              <w:left w:val="single" w:sz="4"/>
            </w:tcBorders>
            <w:shd w:val="clear" w:color="auto" w:fill="D7D7D7"/>
            <w:vAlign w:val="center"/>
          </w:tcPr>
          <w:p>
            <w:pP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比例（</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计提比例（</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tc>
        <w:tc>
          <w:tcPr>
            <w:vMerge/>
            <w:tcBorders>
              <w:left w:val="single" w:sz="4"/>
              <w:right w:val="single" w:sz="4"/>
            </w:tcBorders>
            <w:shd w:val="clear" w:color="auto" w:fill="D7D7D7"/>
            <w:vAlign w:val="center"/>
          </w:tcPr>
          <w:p>
            <w:pPr/>
          </w:p>
        </w:tc>
      </w:tr>
      <w:tr>
        <w:trPr>
          <w:trHeight w:val="41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819,387,221.59</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60"/>
              <w:jc w:val="left"/>
              <w:rPr>
                <w:sz w:val="18"/>
                <w:szCs w:val="18"/>
              </w:rPr>
            </w:pPr>
            <w:r>
              <w:rPr>
                <w:rFonts w:ascii="Times New Roman" w:eastAsia="Times New Roman" w:hAnsi="Times New Roman" w:cs="Times New Roman"/>
                <w:color w:val="000000"/>
                <w:spacing w:val="0"/>
                <w:w w:val="100"/>
                <w:position w:val="0"/>
                <w:sz w:val="18"/>
                <w:szCs w:val="18"/>
              </w:rPr>
              <w:t>160,914,757.47</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658,472,464.12</w:t>
            </w:r>
          </w:p>
        </w:tc>
      </w:tr>
    </w:tbl>
    <w:p>
      <w:pPr>
        <w:widowControl w:val="0"/>
        <w:spacing w:after="399" w:line="1" w:lineRule="exact"/>
      </w:pPr>
    </w:p>
    <w:tbl>
      <w:tblPr>
        <w:tblOverlap w:val="never"/>
        <w:jc w:val="center"/>
        <w:tblLayout w:type="fixed"/>
      </w:tblPr>
      <w:tblGrid>
        <w:gridCol w:w="2098"/>
        <w:gridCol w:w="1416"/>
        <w:gridCol w:w="1133"/>
        <w:gridCol w:w="1704"/>
        <w:gridCol w:w="1421"/>
        <w:gridCol w:w="2098"/>
      </w:tblGrid>
      <w:tr>
        <w:trPr>
          <w:trHeight w:val="326" w:hRule="exact"/>
        </w:trPr>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类别</w:t>
            </w:r>
          </w:p>
        </w:tc>
        <w:tc>
          <w:tcPr>
            <w:gridSpan w:val="5"/>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322" w:hRule="exact"/>
        </w:trPr>
        <w:tc>
          <w:tcPr>
            <w:vMerge/>
            <w:tcBorders>
              <w:left w:val="single" w:sz="4"/>
            </w:tcBorders>
            <w:shd w:val="clear" w:color="auto" w:fill="D7D7D7"/>
            <w:vAlign w:val="center"/>
          </w:tcPr>
          <w:p>
            <w:pPr/>
          </w:p>
        </w:tc>
        <w:tc>
          <w:tcPr>
            <w:gridSpan w:val="2"/>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gridSpan w:val="2"/>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vMerge w:val="restart"/>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账面价值</w:t>
            </w:r>
          </w:p>
        </w:tc>
      </w:tr>
      <w:tr>
        <w:trPr>
          <w:trHeight w:val="475" w:hRule="exact"/>
        </w:trPr>
        <w:tc>
          <w:tcPr>
            <w:vMerge/>
            <w:tcBorders>
              <w:left w:val="single" w:sz="4"/>
            </w:tcBorders>
            <w:shd w:val="clear" w:color="auto" w:fill="D7D7D7"/>
            <w:vAlign w:val="center"/>
          </w:tcPr>
          <w:p>
            <w:pP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比例（</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计提比例（</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tc>
        <w:tc>
          <w:tcPr>
            <w:vMerge/>
            <w:tcBorders>
              <w:left w:val="single" w:sz="4"/>
              <w:right w:val="single" w:sz="4"/>
            </w:tcBorders>
            <w:shd w:val="clear" w:color="auto" w:fill="D7D7D7"/>
            <w:vAlign w:val="center"/>
          </w:tcPr>
          <w:p>
            <w:pPr/>
          </w:p>
        </w:tc>
      </w:tr>
      <w:tr>
        <w:trPr>
          <w:trHeight w:val="461"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按单项计提坏账准备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8"/>
                <w:szCs w:val="18"/>
              </w:rPr>
            </w:pPr>
            <w:r>
              <w:rPr>
                <w:rFonts w:ascii="Times New Roman" w:eastAsia="Times New Roman" w:hAnsi="Times New Roman" w:cs="Times New Roman"/>
                <w:color w:val="000000"/>
                <w:spacing w:val="0"/>
                <w:w w:val="100"/>
                <w:position w:val="0"/>
                <w:sz w:val="18"/>
                <w:szCs w:val="18"/>
              </w:rPr>
              <w:t>153,742,259.43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left"/>
              <w:rPr>
                <w:sz w:val="18"/>
                <w:szCs w:val="18"/>
              </w:rPr>
            </w:pPr>
            <w:r>
              <w:rPr>
                <w:rFonts w:ascii="Times New Roman" w:eastAsia="Times New Roman" w:hAnsi="Times New Roman" w:cs="Times New Roman"/>
                <w:color w:val="000000"/>
                <w:spacing w:val="0"/>
                <w:w w:val="100"/>
                <w:position w:val="0"/>
                <w:sz w:val="18"/>
                <w:szCs w:val="18"/>
              </w:rPr>
              <w:t>17.95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left"/>
              <w:rPr>
                <w:sz w:val="18"/>
                <w:szCs w:val="18"/>
              </w:rPr>
            </w:pPr>
            <w:r>
              <w:rPr>
                <w:rFonts w:ascii="Times New Roman" w:eastAsia="Times New Roman" w:hAnsi="Times New Roman" w:cs="Times New Roman"/>
                <w:color w:val="000000"/>
                <w:spacing w:val="0"/>
                <w:w w:val="100"/>
                <w:position w:val="0"/>
                <w:sz w:val="18"/>
                <w:szCs w:val="18"/>
              </w:rPr>
              <w:t>153,241,774.38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99.67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500,485.05</w:t>
            </w:r>
          </w:p>
        </w:tc>
      </w:tr>
      <w:tr>
        <w:trPr>
          <w:trHeight w:val="461"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按组合计提坏账准备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8"/>
                <w:szCs w:val="18"/>
              </w:rPr>
            </w:pPr>
            <w:r>
              <w:rPr>
                <w:rFonts w:ascii="Times New Roman" w:eastAsia="Times New Roman" w:hAnsi="Times New Roman" w:cs="Times New Roman"/>
                <w:color w:val="000000"/>
                <w:spacing w:val="0"/>
                <w:w w:val="100"/>
                <w:position w:val="0"/>
                <w:sz w:val="18"/>
                <w:szCs w:val="18"/>
              </w:rPr>
              <w:t>702,883,800.80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20"/>
              <w:jc w:val="left"/>
              <w:rPr>
                <w:sz w:val="18"/>
                <w:szCs w:val="18"/>
              </w:rPr>
            </w:pPr>
            <w:r>
              <w:rPr>
                <w:rFonts w:ascii="Times New Roman" w:eastAsia="Times New Roman" w:hAnsi="Times New Roman" w:cs="Times New Roman"/>
                <w:color w:val="000000"/>
                <w:spacing w:val="0"/>
                <w:w w:val="100"/>
                <w:position w:val="0"/>
                <w:sz w:val="18"/>
                <w:szCs w:val="18"/>
              </w:rPr>
              <w:t>82.05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455,579.08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702,428,221.72</w:t>
            </w:r>
          </w:p>
        </w:tc>
      </w:tr>
      <w:tr>
        <w:trPr>
          <w:trHeight w:val="331"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80"/>
              <w:jc w:val="left"/>
              <w:rPr>
                <w:sz w:val="18"/>
                <w:szCs w:val="18"/>
              </w:rPr>
            </w:pPr>
            <w:r>
              <w:rPr>
                <w:rFonts w:ascii="Times New Roman" w:eastAsia="Times New Roman" w:hAnsi="Times New Roman" w:cs="Times New Roman"/>
                <w:color w:val="000000"/>
                <w:spacing w:val="0"/>
                <w:w w:val="100"/>
                <w:position w:val="0"/>
                <w:sz w:val="18"/>
                <w:szCs w:val="18"/>
              </w:rPr>
              <w:t>856,626,060.23</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80"/>
              <w:jc w:val="left"/>
              <w:rPr>
                <w:sz w:val="18"/>
                <w:szCs w:val="18"/>
              </w:rPr>
            </w:pPr>
            <w:r>
              <w:rPr>
                <w:rFonts w:ascii="Times New Roman" w:eastAsia="Times New Roman" w:hAnsi="Times New Roman" w:cs="Times New Roman"/>
                <w:color w:val="000000"/>
                <w:spacing w:val="0"/>
                <w:w w:val="100"/>
                <w:position w:val="0"/>
                <w:sz w:val="18"/>
                <w:szCs w:val="18"/>
              </w:rPr>
              <w:t>153,697,353.46</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702,928,706.77</w:t>
            </w:r>
          </w:p>
        </w:tc>
      </w:tr>
    </w:tbl>
    <w:p>
      <w:pPr>
        <w:widowControl w:val="0"/>
        <w:spacing w:after="399" w:line="1" w:lineRule="exact"/>
      </w:pPr>
    </w:p>
    <w:p>
      <w:pPr>
        <w:pStyle w:val="Style20"/>
        <w:keepNext w:val="0"/>
        <w:keepLines w:val="0"/>
        <w:widowControl w:val="0"/>
        <w:shd w:val="clear" w:color="auto" w:fill="auto"/>
        <w:bidi w:val="0"/>
        <w:spacing w:before="0" w:after="0" w:line="240" w:lineRule="auto"/>
        <w:ind w:left="456" w:right="0" w:firstLine="0"/>
        <w:jc w:val="left"/>
        <w:rPr>
          <w:sz w:val="17"/>
          <w:szCs w:val="17"/>
        </w:rPr>
      </w:pPr>
      <w:r>
        <w:rPr>
          <w:rFonts w:ascii="SimSun" w:eastAsia="SimSun" w:hAnsi="SimSun" w:cs="SimSun"/>
          <w:color w:val="000000"/>
          <w:spacing w:val="0"/>
          <w:w w:val="100"/>
          <w:position w:val="0"/>
          <w:sz w:val="17"/>
          <w:szCs w:val="17"/>
        </w:rPr>
        <w:t>按单项计提坏账准备:</w:t>
      </w:r>
    </w:p>
    <w:tbl>
      <w:tblPr>
        <w:tblOverlap w:val="never"/>
        <w:jc w:val="center"/>
        <w:tblLayout w:type="fixed"/>
      </w:tblPr>
      <w:tblGrid>
        <w:gridCol w:w="1747"/>
        <w:gridCol w:w="2146"/>
        <w:gridCol w:w="2146"/>
        <w:gridCol w:w="1747"/>
        <w:gridCol w:w="2083"/>
      </w:tblGrid>
      <w:tr>
        <w:trPr>
          <w:trHeight w:val="413" w:hRule="exact"/>
        </w:trPr>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名称</w:t>
            </w:r>
          </w:p>
        </w:tc>
        <w:tc>
          <w:tcPr>
            <w:gridSpan w:val="4"/>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r>
      <w:tr>
        <w:trPr>
          <w:trHeight w:val="403" w:hRule="exact"/>
        </w:trPr>
        <w:tc>
          <w:tcPr>
            <w:vMerge/>
            <w:tcBorders>
              <w:left w:val="single" w:sz="4"/>
            </w:tcBorders>
            <w:shd w:val="clear" w:color="auto" w:fill="D7D7D7"/>
            <w:vAlign w:val="center"/>
          </w:tcPr>
          <w:p>
            <w:pP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260"/>
              <w:jc w:val="left"/>
            </w:pPr>
            <w:r>
              <w:rPr>
                <w:color w:val="000000"/>
                <w:spacing w:val="0"/>
                <w:w w:val="100"/>
                <w:position w:val="0"/>
              </w:rPr>
              <w:t>计提比例（</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680"/>
              <w:jc w:val="left"/>
            </w:pPr>
            <w:r>
              <w:rPr>
                <w:color w:val="000000"/>
                <w:spacing w:val="0"/>
                <w:w w:val="100"/>
                <w:position w:val="0"/>
              </w:rPr>
              <w:t>计提理由</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7"/>
                <w:szCs w:val="17"/>
              </w:rPr>
              <w:t>合并关联方</w:t>
            </w:r>
            <w:r>
              <w:rPr>
                <w:rFonts w:ascii="Times New Roman" w:eastAsia="Times New Roman" w:hAnsi="Times New Roman" w:cs="Times New Roman"/>
                <w:color w:val="000000"/>
                <w:spacing w:val="0"/>
                <w:w w:val="100"/>
                <w:position w:val="0"/>
                <w:sz w:val="18"/>
                <w:szCs w:val="18"/>
              </w:rPr>
              <w:t>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000"/>
              <w:jc w:val="left"/>
              <w:rPr>
                <w:sz w:val="18"/>
                <w:szCs w:val="18"/>
              </w:rPr>
            </w:pPr>
            <w:r>
              <w:rPr>
                <w:rFonts w:ascii="Times New Roman" w:eastAsia="Times New Roman" w:hAnsi="Times New Roman" w:cs="Times New Roman"/>
                <w:color w:val="000000"/>
                <w:spacing w:val="0"/>
                <w:w w:val="100"/>
                <w:position w:val="0"/>
                <w:sz w:val="18"/>
                <w:szCs w:val="18"/>
              </w:rPr>
              <w:t>77,676,735.73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000"/>
              <w:jc w:val="left"/>
              <w:rPr>
                <w:sz w:val="18"/>
                <w:szCs w:val="18"/>
              </w:rPr>
            </w:pPr>
            <w:r>
              <w:rPr>
                <w:rFonts w:ascii="Times New Roman" w:eastAsia="Times New Roman" w:hAnsi="Times New Roman" w:cs="Times New Roman"/>
                <w:color w:val="000000"/>
                <w:spacing w:val="0"/>
                <w:w w:val="100"/>
                <w:position w:val="0"/>
                <w:sz w:val="18"/>
                <w:szCs w:val="18"/>
              </w:rPr>
              <w:t>77,676,735.73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预计无法收回</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7"/>
                <w:szCs w:val="17"/>
              </w:rPr>
              <w:t>合并关联方</w:t>
            </w:r>
            <w:r>
              <w:rPr>
                <w:rFonts w:ascii="Times New Roman" w:eastAsia="Times New Roman" w:hAnsi="Times New Roman" w:cs="Times New Roman"/>
                <w:color w:val="000000"/>
                <w:spacing w:val="0"/>
                <w:w w:val="100"/>
                <w:position w:val="0"/>
                <w:sz w:val="18"/>
                <w:szCs w:val="18"/>
              </w:rPr>
              <w:t>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000"/>
              <w:jc w:val="left"/>
              <w:rPr>
                <w:sz w:val="18"/>
                <w:szCs w:val="18"/>
              </w:rPr>
            </w:pPr>
            <w:r>
              <w:rPr>
                <w:rFonts w:ascii="Times New Roman" w:eastAsia="Times New Roman" w:hAnsi="Times New Roman" w:cs="Times New Roman"/>
                <w:color w:val="000000"/>
                <w:spacing w:val="0"/>
                <w:w w:val="100"/>
                <w:position w:val="0"/>
                <w:sz w:val="18"/>
                <w:szCs w:val="18"/>
              </w:rPr>
              <w:t>72,459,680.00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000"/>
              <w:jc w:val="left"/>
              <w:rPr>
                <w:sz w:val="18"/>
                <w:szCs w:val="18"/>
              </w:rPr>
            </w:pPr>
            <w:r>
              <w:rPr>
                <w:rFonts w:ascii="Times New Roman" w:eastAsia="Times New Roman" w:hAnsi="Times New Roman" w:cs="Times New Roman"/>
                <w:color w:val="000000"/>
                <w:spacing w:val="0"/>
                <w:w w:val="100"/>
                <w:position w:val="0"/>
                <w:sz w:val="18"/>
                <w:szCs w:val="18"/>
              </w:rPr>
              <w:t>72,459,680.00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预计无法收回</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原子公司欠款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000"/>
              <w:jc w:val="left"/>
              <w:rPr>
                <w:sz w:val="18"/>
                <w:szCs w:val="18"/>
              </w:rPr>
            </w:pPr>
            <w:r>
              <w:rPr>
                <w:rFonts w:ascii="Times New Roman" w:eastAsia="Times New Roman" w:hAnsi="Times New Roman" w:cs="Times New Roman"/>
                <w:color w:val="000000"/>
                <w:spacing w:val="0"/>
                <w:w w:val="100"/>
                <w:position w:val="0"/>
                <w:sz w:val="18"/>
                <w:szCs w:val="18"/>
              </w:rPr>
              <w:t>15,000,000.00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80" w:right="0" w:firstLine="0"/>
              <w:jc w:val="left"/>
              <w:rPr>
                <w:sz w:val="18"/>
                <w:szCs w:val="18"/>
              </w:rPr>
            </w:pPr>
            <w:r>
              <w:rPr>
                <w:rFonts w:ascii="Times New Roman" w:eastAsia="Times New Roman" w:hAnsi="Times New Roman" w:cs="Times New Roman"/>
                <w:color w:val="000000"/>
                <w:spacing w:val="0"/>
                <w:w w:val="100"/>
                <w:position w:val="0"/>
                <w:sz w:val="18"/>
                <w:szCs w:val="18"/>
              </w:rPr>
              <w:t>7,500,000.00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40" w:right="0" w:firstLine="0"/>
              <w:jc w:val="left"/>
              <w:rPr>
                <w:sz w:val="18"/>
                <w:szCs w:val="18"/>
              </w:rPr>
            </w:pPr>
            <w:r>
              <w:rPr>
                <w:rFonts w:ascii="Times New Roman" w:eastAsia="Times New Roman" w:hAnsi="Times New Roman" w:cs="Times New Roman"/>
                <w:color w:val="000000"/>
                <w:spacing w:val="0"/>
                <w:w w:val="100"/>
                <w:position w:val="0"/>
                <w:sz w:val="18"/>
                <w:szCs w:val="18"/>
              </w:rPr>
              <w:t>50.00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预计收回存在困难</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应收股权转让款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80" w:right="0" w:firstLine="0"/>
              <w:jc w:val="left"/>
              <w:rPr>
                <w:sz w:val="18"/>
                <w:szCs w:val="18"/>
              </w:rPr>
            </w:pPr>
            <w:r>
              <w:rPr>
                <w:rFonts w:ascii="Times New Roman" w:eastAsia="Times New Roman" w:hAnsi="Times New Roman" w:cs="Times New Roman"/>
                <w:color w:val="000000"/>
                <w:spacing w:val="0"/>
                <w:w w:val="100"/>
                <w:position w:val="0"/>
                <w:sz w:val="18"/>
                <w:szCs w:val="18"/>
              </w:rPr>
              <w:t>2,265,000.00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80" w:right="0" w:firstLine="0"/>
              <w:jc w:val="left"/>
              <w:rPr>
                <w:sz w:val="18"/>
                <w:szCs w:val="18"/>
              </w:rPr>
            </w:pPr>
            <w:r>
              <w:rPr>
                <w:rFonts w:ascii="Times New Roman" w:eastAsia="Times New Roman" w:hAnsi="Times New Roman" w:cs="Times New Roman"/>
                <w:color w:val="000000"/>
                <w:spacing w:val="0"/>
                <w:w w:val="100"/>
                <w:position w:val="0"/>
                <w:sz w:val="18"/>
                <w:szCs w:val="18"/>
              </w:rPr>
              <w:t>1,812,000.00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40" w:right="0" w:firstLine="0"/>
              <w:jc w:val="left"/>
              <w:rPr>
                <w:sz w:val="18"/>
                <w:szCs w:val="18"/>
              </w:rPr>
            </w:pPr>
            <w:r>
              <w:rPr>
                <w:rFonts w:ascii="Times New Roman" w:eastAsia="Times New Roman" w:hAnsi="Times New Roman" w:cs="Times New Roman"/>
                <w:color w:val="000000"/>
                <w:spacing w:val="0"/>
                <w:w w:val="100"/>
                <w:position w:val="0"/>
                <w:sz w:val="18"/>
                <w:szCs w:val="18"/>
              </w:rPr>
              <w:t>80.00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预计难以收回</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零星款项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80" w:right="0" w:firstLine="0"/>
              <w:jc w:val="left"/>
              <w:rPr>
                <w:sz w:val="18"/>
                <w:szCs w:val="18"/>
              </w:rPr>
            </w:pPr>
            <w:r>
              <w:rPr>
                <w:rFonts w:ascii="Times New Roman" w:eastAsia="Times New Roman" w:hAnsi="Times New Roman" w:cs="Times New Roman"/>
                <w:color w:val="000000"/>
                <w:spacing w:val="0"/>
                <w:w w:val="100"/>
                <w:position w:val="0"/>
                <w:sz w:val="18"/>
                <w:szCs w:val="18"/>
              </w:rPr>
              <w:t>1,201,866.53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080" w:right="0" w:firstLine="0"/>
              <w:jc w:val="left"/>
              <w:rPr>
                <w:sz w:val="18"/>
                <w:szCs w:val="18"/>
              </w:rPr>
            </w:pPr>
            <w:r>
              <w:rPr>
                <w:rFonts w:ascii="Times New Roman" w:eastAsia="Times New Roman" w:hAnsi="Times New Roman" w:cs="Times New Roman"/>
                <w:color w:val="000000"/>
                <w:spacing w:val="0"/>
                <w:w w:val="100"/>
                <w:position w:val="0"/>
                <w:sz w:val="18"/>
                <w:szCs w:val="18"/>
              </w:rPr>
              <w:t>1,189,881.66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240" w:right="0" w:firstLine="0"/>
              <w:jc w:val="left"/>
              <w:rPr>
                <w:sz w:val="18"/>
                <w:szCs w:val="18"/>
              </w:rPr>
            </w:pPr>
            <w:r>
              <w:rPr>
                <w:rFonts w:ascii="Times New Roman" w:eastAsia="Times New Roman" w:hAnsi="Times New Roman" w:cs="Times New Roman"/>
                <w:color w:val="000000"/>
                <w:spacing w:val="0"/>
                <w:w w:val="100"/>
                <w:position w:val="0"/>
                <w:sz w:val="18"/>
                <w:szCs w:val="18"/>
              </w:rPr>
              <w:t>99.00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预计无法收回</w:t>
            </w:r>
          </w:p>
        </w:tc>
      </w:tr>
      <w:tr>
        <w:trPr>
          <w:trHeight w:val="41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168,603,282.26</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160,638,297.39</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199" w:line="1" w:lineRule="exact"/>
      </w:pPr>
    </w:p>
    <w:p>
      <w:pPr>
        <w:pStyle w:val="Style41"/>
        <w:keepNext w:val="0"/>
        <w:keepLines w:val="0"/>
        <w:widowControl w:val="0"/>
        <w:shd w:val="clear" w:color="auto" w:fill="auto"/>
        <w:bidi w:val="0"/>
        <w:spacing w:before="0" w:after="200" w:line="240" w:lineRule="auto"/>
        <w:ind w:left="0" w:right="0" w:firstLine="460"/>
        <w:jc w:val="left"/>
      </w:pPr>
      <w:r>
        <w:rPr>
          <w:color w:val="000000"/>
          <w:spacing w:val="0"/>
          <w:w w:val="100"/>
          <w:position w:val="0"/>
        </w:rPr>
        <w:t>按组合计提坏账准备:</w:t>
      </w:r>
    </w:p>
    <w:p>
      <w:pPr>
        <w:pStyle w:val="Style20"/>
        <w:keepNext w:val="0"/>
        <w:keepLines w:val="0"/>
        <w:widowControl w:val="0"/>
        <w:shd w:val="clear" w:color="auto" w:fill="auto"/>
        <w:bidi w:val="0"/>
        <w:spacing w:before="0" w:after="0" w:line="240" w:lineRule="auto"/>
        <w:ind w:left="456" w:right="0" w:firstLine="0"/>
        <w:jc w:val="left"/>
        <w:rPr>
          <w:sz w:val="17"/>
          <w:szCs w:val="17"/>
        </w:rPr>
      </w:pPr>
      <w:r>
        <w:rPr>
          <w:rFonts w:ascii="SimSun" w:eastAsia="SimSun" w:hAnsi="SimSun" w:cs="SimSun"/>
          <w:color w:val="000000"/>
          <w:spacing w:val="0"/>
          <w:w w:val="100"/>
          <w:position w:val="0"/>
          <w:sz w:val="17"/>
          <w:szCs w:val="17"/>
        </w:rPr>
        <w:t>组合计提项目：</w:t>
      </w:r>
    </w:p>
    <w:tbl>
      <w:tblPr>
        <w:tblOverlap w:val="never"/>
        <w:jc w:val="center"/>
        <w:tblLayout w:type="fixed"/>
      </w:tblPr>
      <w:tblGrid>
        <w:gridCol w:w="2582"/>
        <w:gridCol w:w="2424"/>
        <w:gridCol w:w="2429"/>
        <w:gridCol w:w="2434"/>
      </w:tblGrid>
      <w:tr>
        <w:trPr>
          <w:trHeight w:val="413" w:hRule="exact"/>
        </w:trPr>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名称</w:t>
            </w:r>
          </w:p>
        </w:tc>
        <w:tc>
          <w:tcPr>
            <w:gridSpan w:val="3"/>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r>
      <w:tr>
        <w:trPr>
          <w:trHeight w:val="408" w:hRule="exact"/>
        </w:trPr>
        <w:tc>
          <w:tcPr>
            <w:vMerge/>
            <w:tcBorders>
              <w:left w:val="single" w:sz="4"/>
            </w:tcBorders>
            <w:shd w:val="clear" w:color="auto" w:fill="D7D7D7"/>
            <w:vAlign w:val="center"/>
          </w:tcPr>
          <w:p>
            <w:pP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其他应收款项</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计提比例（</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押金备用金保证金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5,397,561.60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269,878.08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5.00</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其他往来款项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219,400.00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6,582.00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3.00</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合并范围内关联方组合</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80" w:right="0" w:firstLine="0"/>
              <w:jc w:val="left"/>
              <w:rPr>
                <w:sz w:val="18"/>
                <w:szCs w:val="18"/>
              </w:rPr>
            </w:pPr>
            <w:r>
              <w:rPr>
                <w:rFonts w:ascii="Times New Roman" w:eastAsia="Times New Roman" w:hAnsi="Times New Roman" w:cs="Times New Roman"/>
                <w:color w:val="000000"/>
                <w:spacing w:val="0"/>
                <w:w w:val="100"/>
                <w:position w:val="0"/>
                <w:sz w:val="18"/>
                <w:szCs w:val="18"/>
              </w:rPr>
              <w:t>645,166,977.73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180" w:right="0" w:firstLine="0"/>
              <w:jc w:val="left"/>
              <w:rPr>
                <w:sz w:val="18"/>
                <w:szCs w:val="18"/>
              </w:rPr>
            </w:pPr>
            <w:r>
              <w:rPr>
                <w:rFonts w:ascii="Times New Roman" w:eastAsia="Times New Roman" w:hAnsi="Times New Roman" w:cs="Times New Roman"/>
                <w:color w:val="000000"/>
                <w:spacing w:val="0"/>
                <w:w w:val="100"/>
                <w:position w:val="0"/>
                <w:sz w:val="18"/>
                <w:szCs w:val="18"/>
              </w:rPr>
              <w:t>650,783,939.33</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276,460.08</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679" w:line="1" w:lineRule="exact"/>
      </w:pPr>
    </w:p>
    <w:p>
      <w:pPr>
        <w:pStyle w:val="Style248"/>
        <w:keepNext/>
        <w:keepLines/>
        <w:widowControl w:val="0"/>
        <w:shd w:val="clear" w:color="auto" w:fill="auto"/>
        <w:bidi w:val="0"/>
        <w:spacing w:before="0" w:line="240" w:lineRule="auto"/>
        <w:ind w:left="0" w:right="0" w:firstLine="0"/>
        <w:jc w:val="left"/>
      </w:pPr>
      <w:bookmarkStart w:id="2246" w:name="bookmark2246"/>
      <w:bookmarkStart w:id="2247" w:name="bookmark2247"/>
      <w:bookmarkStart w:id="2248" w:name="bookmark2248"/>
      <w:r>
        <w:rPr>
          <w:color w:val="000000"/>
          <w:spacing w:val="0"/>
          <w:w w:val="100"/>
          <w:position w:val="0"/>
        </w:rPr>
        <w:t>2）其他应收款按款项性质分类情况</w:t>
      </w:r>
      <w:bookmarkEnd w:id="2246"/>
      <w:bookmarkEnd w:id="2247"/>
      <w:bookmarkEnd w:id="2248"/>
    </w:p>
    <w:p>
      <w:pPr>
        <w:pStyle w:val="Style41"/>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3192"/>
        <w:gridCol w:w="3192"/>
        <w:gridCol w:w="3202"/>
      </w:tblGrid>
      <w:tr>
        <w:trPr>
          <w:trHeight w:val="418"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款项性质</w:t>
            </w:r>
          </w:p>
        </w:tc>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期末账面余额</w:t>
            </w:r>
          </w:p>
        </w:tc>
        <w:tc>
          <w:tcPr>
            <w:tcBorders>
              <w:top w:val="single" w:sz="4"/>
              <w:left w:val="single" w:sz="4"/>
              <w:bottom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期初账面余额</w:t>
            </w:r>
          </w:p>
        </w:tc>
      </w:tr>
    </w:tbl>
    <w:p>
      <w:pPr>
        <w:spacing w:lineRule="exact" w:line="1"/>
        <w:rPr>
          <w:sz w:val="2"/>
          <w:szCs w:val="2"/>
        </w:rPr>
      </w:pPr>
      <w:r>
        <w:br w:type="page"/>
      </w:r>
    </w:p>
    <w:tbl>
      <w:tblPr>
        <w:tblOverlap w:val="never"/>
        <w:jc w:val="center"/>
        <w:tblLayout w:type="fixed"/>
      </w:tblPr>
      <w:tblGrid>
        <w:gridCol w:w="3192"/>
        <w:gridCol w:w="3192"/>
        <w:gridCol w:w="3202"/>
      </w:tblGrid>
      <w:tr>
        <w:trPr>
          <w:trHeight w:val="480"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合并范围内往来</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rPr>
                <w:sz w:val="18"/>
                <w:szCs w:val="18"/>
              </w:rPr>
            </w:pPr>
            <w:r>
              <w:rPr>
                <w:rFonts w:ascii="Times New Roman" w:eastAsia="Times New Roman" w:hAnsi="Times New Roman" w:cs="Times New Roman"/>
                <w:color w:val="000000"/>
                <w:spacing w:val="0"/>
                <w:w w:val="100"/>
                <w:position w:val="0"/>
                <w:sz w:val="18"/>
                <w:szCs w:val="18"/>
              </w:rPr>
              <w:t>795,303,393.46</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843,294,595.41</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备用金、押金及保证金</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left"/>
              <w:rPr>
                <w:sz w:val="18"/>
                <w:szCs w:val="18"/>
              </w:rPr>
            </w:pPr>
            <w:r>
              <w:rPr>
                <w:rFonts w:ascii="Times New Roman" w:eastAsia="Times New Roman" w:hAnsi="Times New Roman" w:cs="Times New Roman"/>
                <w:color w:val="000000"/>
                <w:spacing w:val="0"/>
                <w:w w:val="100"/>
                <w:position w:val="0"/>
                <w:sz w:val="18"/>
                <w:szCs w:val="18"/>
              </w:rPr>
              <w:t>6,371,449.63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10,296,184.32</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其他非大额、非特殊往来款项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447,378.50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770,280.50</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原子公司欠款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应收股权转让款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2200" w:right="0" w:firstLine="0"/>
              <w:jc w:val="left"/>
              <w:rPr>
                <w:sz w:val="18"/>
                <w:szCs w:val="18"/>
              </w:rPr>
            </w:pPr>
            <w:r>
              <w:rPr>
                <w:rFonts w:ascii="Times New Roman" w:eastAsia="Times New Roman" w:hAnsi="Times New Roman" w:cs="Times New Roman"/>
                <w:color w:val="000000"/>
                <w:spacing w:val="0"/>
                <w:w w:val="100"/>
                <w:position w:val="0"/>
                <w:sz w:val="18"/>
                <w:szCs w:val="18"/>
              </w:rPr>
              <w:t>2,265,000.00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2,265,000.00</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2040" w:right="0" w:firstLine="0"/>
              <w:jc w:val="left"/>
              <w:rPr>
                <w:sz w:val="18"/>
                <w:szCs w:val="18"/>
              </w:rPr>
            </w:pPr>
            <w:r>
              <w:rPr>
                <w:rFonts w:ascii="Times New Roman" w:eastAsia="Times New Roman" w:hAnsi="Times New Roman" w:cs="Times New Roman"/>
                <w:color w:val="000000"/>
                <w:spacing w:val="0"/>
                <w:w w:val="100"/>
                <w:position w:val="0"/>
                <w:sz w:val="18"/>
                <w:szCs w:val="18"/>
              </w:rPr>
              <w:t>819,387,221.59</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856,626,060.23</w:t>
            </w:r>
          </w:p>
        </w:tc>
      </w:tr>
    </w:tbl>
    <w:p>
      <w:pPr>
        <w:widowControl w:val="0"/>
        <w:spacing w:after="319" w:line="1" w:lineRule="exact"/>
      </w:pPr>
    </w:p>
    <w:p>
      <w:pPr>
        <w:pStyle w:val="Style248"/>
        <w:keepNext/>
        <w:keepLines/>
        <w:widowControl w:val="0"/>
        <w:shd w:val="clear" w:color="auto" w:fill="auto"/>
        <w:bidi w:val="0"/>
        <w:spacing w:before="0" w:line="240" w:lineRule="auto"/>
        <w:ind w:left="0" w:right="0" w:firstLine="0"/>
        <w:jc w:val="left"/>
      </w:pPr>
      <w:bookmarkStart w:id="2249" w:name="bookmark2249"/>
      <w:bookmarkStart w:id="2250" w:name="bookmark2250"/>
      <w:bookmarkStart w:id="2251" w:name="bookmark2251"/>
      <w:bookmarkStart w:id="2252" w:name="bookmark2252"/>
      <w:r>
        <w:rPr>
          <w:color w:val="000000"/>
          <w:spacing w:val="0"/>
          <w:w w:val="100"/>
          <w:position w:val="0"/>
        </w:rPr>
        <w:t>3</w:t>
      </w:r>
      <w:bookmarkEnd w:id="2251"/>
      <w:r>
        <w:rPr>
          <w:color w:val="000000"/>
          <w:spacing w:val="0"/>
          <w:w w:val="100"/>
          <w:position w:val="0"/>
        </w:rPr>
        <w:t>）坏账准备计提情况</w:t>
      </w:r>
      <w:bookmarkEnd w:id="2249"/>
      <w:bookmarkEnd w:id="2250"/>
      <w:bookmarkEnd w:id="2252"/>
    </w:p>
    <w:p>
      <w:pPr>
        <w:pStyle w:val="Style41"/>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center"/>
        <w:tblLayout w:type="fixed"/>
      </w:tblPr>
      <w:tblGrid>
        <w:gridCol w:w="1920"/>
        <w:gridCol w:w="1651"/>
        <w:gridCol w:w="2098"/>
        <w:gridCol w:w="2102"/>
        <w:gridCol w:w="1810"/>
      </w:tblGrid>
      <w:tr>
        <w:trPr>
          <w:trHeight w:val="408" w:hRule="exact"/>
        </w:trPr>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第一阶段</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第二阶段</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第三阶段</w:t>
            </w:r>
          </w:p>
        </w:tc>
        <w:tc>
          <w:tcPr>
            <w:vMerge w:val="restart"/>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720"/>
              <w:jc w:val="left"/>
            </w:pPr>
            <w:r>
              <w:rPr>
                <w:color w:val="000000"/>
                <w:spacing w:val="0"/>
                <w:w w:val="100"/>
                <w:position w:val="0"/>
              </w:rPr>
              <w:t>合计</w:t>
            </w:r>
          </w:p>
        </w:tc>
      </w:tr>
      <w:tr>
        <w:trPr>
          <w:trHeight w:val="715" w:hRule="exact"/>
        </w:trPr>
        <w:tc>
          <w:tcPr>
            <w:vMerge/>
            <w:tcBorders>
              <w:left w:val="single" w:sz="4"/>
            </w:tcBorders>
            <w:shd w:val="clear" w:color="auto" w:fill="D7D7D7"/>
            <w:vAlign w:val="center"/>
          </w:tcPr>
          <w:p>
            <w:pP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26" w:lineRule="exact"/>
              <w:ind w:left="0" w:right="0" w:firstLine="0"/>
              <w:jc w:val="center"/>
            </w:pPr>
            <w:r>
              <w:rPr>
                <w:color w:val="000000"/>
                <w:spacing w:val="0"/>
                <w:w w:val="100"/>
                <w:position w:val="0"/>
              </w:rPr>
              <w:t>未来</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个月预期信 用损失</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整个存续期预期信用损失</w:t>
            </w:r>
          </w:p>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7"/>
                <w:szCs w:val="17"/>
              </w:rPr>
              <w:t>未发生信用减值</w:t>
            </w:r>
            <w:r>
              <w:rPr>
                <w:color w:val="000000"/>
                <w:spacing w:val="0"/>
                <w:w w:val="100"/>
                <w:position w:val="0"/>
                <w:sz w:val="18"/>
                <w:szCs w:val="18"/>
              </w:rPr>
              <w:t>）</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100" w:line="240" w:lineRule="auto"/>
              <w:ind w:left="0" w:right="0" w:firstLine="0"/>
              <w:jc w:val="left"/>
            </w:pPr>
            <w:r>
              <w:rPr>
                <w:color w:val="000000"/>
                <w:spacing w:val="0"/>
                <w:w w:val="100"/>
                <w:position w:val="0"/>
              </w:rPr>
              <w:t>整个存续期预期信用损失</w:t>
            </w:r>
          </w:p>
          <w:p>
            <w:pPr>
              <w:pStyle w:val="Style2"/>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7"/>
                <w:szCs w:val="17"/>
              </w:rPr>
              <w:t>已发生信用减值</w:t>
            </w:r>
            <w:r>
              <w:rPr>
                <w:color w:val="000000"/>
                <w:spacing w:val="0"/>
                <w:w w:val="100"/>
                <w:position w:val="0"/>
                <w:sz w:val="18"/>
                <w:szCs w:val="18"/>
              </w:rPr>
              <w:t>）</w:t>
            </w:r>
          </w:p>
        </w:tc>
        <w:tc>
          <w:tcPr>
            <w:vMerge/>
            <w:tcBorders>
              <w:left w:val="single" w:sz="4"/>
              <w:right w:val="single" w:sz="4"/>
            </w:tcBorders>
            <w:shd w:val="clear" w:color="auto" w:fill="D7D7D7"/>
            <w:vAlign w:val="center"/>
          </w:tcPr>
          <w:p>
            <w:pP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日余额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455,579.08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40" w:right="0" w:firstLine="0"/>
              <w:jc w:val="left"/>
              <w:rPr>
                <w:sz w:val="18"/>
                <w:szCs w:val="18"/>
              </w:rPr>
            </w:pPr>
            <w:r>
              <w:rPr>
                <w:rFonts w:ascii="Times New Roman" w:eastAsia="Times New Roman" w:hAnsi="Times New Roman" w:cs="Times New Roman"/>
                <w:color w:val="000000"/>
                <w:spacing w:val="0"/>
                <w:w w:val="100"/>
                <w:position w:val="0"/>
                <w:sz w:val="18"/>
                <w:szCs w:val="18"/>
              </w:rPr>
              <w:t>20,350.74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both"/>
              <w:rPr>
                <w:sz w:val="18"/>
                <w:szCs w:val="18"/>
              </w:rPr>
            </w:pPr>
            <w:r>
              <w:rPr>
                <w:rFonts w:ascii="Times New Roman" w:eastAsia="Times New Roman" w:hAnsi="Times New Roman" w:cs="Times New Roman"/>
                <w:color w:val="000000"/>
                <w:spacing w:val="0"/>
                <w:w w:val="100"/>
                <w:position w:val="0"/>
                <w:sz w:val="18"/>
                <w:szCs w:val="18"/>
              </w:rPr>
              <w:t>153,221,423.64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40"/>
              <w:jc w:val="both"/>
              <w:rPr>
                <w:sz w:val="18"/>
                <w:szCs w:val="18"/>
              </w:rPr>
            </w:pPr>
            <w:r>
              <w:rPr>
                <w:rFonts w:ascii="Times New Roman" w:eastAsia="Times New Roman" w:hAnsi="Times New Roman" w:cs="Times New Roman"/>
                <w:color w:val="000000"/>
                <w:spacing w:val="0"/>
                <w:w w:val="100"/>
                <w:position w:val="0"/>
                <w:sz w:val="18"/>
                <w:szCs w:val="18"/>
              </w:rPr>
              <w:t>153,697,353.46</w:t>
            </w: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31" w:lineRule="exact"/>
              <w:ind w:left="0" w:right="0" w:firstLine="0"/>
              <w:jc w:val="left"/>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日余额在 本期</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720"/>
              <w:jc w:val="left"/>
            </w:pPr>
            <w:r>
              <w:rPr>
                <w:color w:val="000000"/>
                <w:spacing w:val="0"/>
                <w:w w:val="100"/>
                <w:position w:val="0"/>
              </w:rPr>
              <w:t>—</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转入第三阶段</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-4,026.44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-2,700.00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6,726.44</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本期计提</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-175,092.56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40" w:right="0" w:firstLine="0"/>
              <w:jc w:val="left"/>
              <w:rPr>
                <w:sz w:val="18"/>
                <w:szCs w:val="18"/>
              </w:rPr>
            </w:pPr>
            <w:r>
              <w:rPr>
                <w:rFonts w:ascii="Times New Roman" w:eastAsia="Times New Roman" w:hAnsi="Times New Roman" w:cs="Times New Roman"/>
                <w:color w:val="000000"/>
                <w:spacing w:val="0"/>
                <w:w w:val="100"/>
                <w:position w:val="0"/>
                <w:sz w:val="18"/>
                <w:szCs w:val="18"/>
              </w:rPr>
              <w:t>5,136.38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8,193,845.11</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8,023,888.93</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本期转回</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340" w:right="0" w:firstLine="0"/>
              <w:jc w:val="left"/>
              <w:rPr>
                <w:sz w:val="18"/>
                <w:szCs w:val="18"/>
              </w:rPr>
            </w:pPr>
            <w:r>
              <w:rPr>
                <w:rFonts w:ascii="Times New Roman" w:eastAsia="Times New Roman" w:hAnsi="Times New Roman" w:cs="Times New Roman"/>
                <w:color w:val="000000"/>
                <w:spacing w:val="0"/>
                <w:w w:val="100"/>
                <w:position w:val="0"/>
                <w:sz w:val="18"/>
                <w:szCs w:val="18"/>
              </w:rPr>
              <w:t>17,650.74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788,834.18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806,484.92</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日余额</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276,460.08</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440" w:right="0" w:firstLine="0"/>
              <w:jc w:val="left"/>
              <w:rPr>
                <w:sz w:val="18"/>
                <w:szCs w:val="18"/>
              </w:rPr>
            </w:pPr>
            <w:r>
              <w:rPr>
                <w:rFonts w:ascii="Times New Roman" w:eastAsia="Times New Roman" w:hAnsi="Times New Roman" w:cs="Times New Roman"/>
                <w:color w:val="000000"/>
                <w:spacing w:val="0"/>
                <w:w w:val="100"/>
                <w:position w:val="0"/>
                <w:sz w:val="18"/>
                <w:szCs w:val="18"/>
              </w:rPr>
              <w:t>5,136.38</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940"/>
              <w:jc w:val="both"/>
              <w:rPr>
                <w:sz w:val="18"/>
                <w:szCs w:val="18"/>
              </w:rPr>
            </w:pPr>
            <w:r>
              <w:rPr>
                <w:rFonts w:ascii="Times New Roman" w:eastAsia="Times New Roman" w:hAnsi="Times New Roman" w:cs="Times New Roman"/>
                <w:color w:val="000000"/>
                <w:spacing w:val="0"/>
                <w:w w:val="100"/>
                <w:position w:val="0"/>
                <w:sz w:val="18"/>
                <w:szCs w:val="18"/>
              </w:rPr>
              <w:t>160,633,161.01</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40"/>
              <w:jc w:val="both"/>
              <w:rPr>
                <w:sz w:val="18"/>
                <w:szCs w:val="18"/>
              </w:rPr>
            </w:pPr>
            <w:r>
              <w:rPr>
                <w:rFonts w:ascii="Times New Roman" w:eastAsia="Times New Roman" w:hAnsi="Times New Roman" w:cs="Times New Roman"/>
                <w:color w:val="000000"/>
                <w:spacing w:val="0"/>
                <w:w w:val="100"/>
                <w:position w:val="0"/>
                <w:sz w:val="18"/>
                <w:szCs w:val="18"/>
              </w:rPr>
              <w:t>160,914,757.47</w:t>
            </w:r>
          </w:p>
        </w:tc>
      </w:tr>
    </w:tbl>
    <w:p>
      <w:pPr>
        <w:widowControl w:val="0"/>
        <w:spacing w:after="79" w:line="1" w:lineRule="exact"/>
      </w:pPr>
    </w:p>
    <w:p>
      <w:pPr>
        <w:pStyle w:val="Style41"/>
        <w:keepNext w:val="0"/>
        <w:keepLines w:val="0"/>
        <w:widowControl w:val="0"/>
        <w:shd w:val="clear" w:color="auto" w:fill="auto"/>
        <w:bidi w:val="0"/>
        <w:spacing w:before="0" w:after="140" w:line="240" w:lineRule="auto"/>
        <w:ind w:left="0" w:right="0" w:firstLine="0"/>
        <w:jc w:val="left"/>
      </w:pPr>
      <w:r>
        <w:rPr>
          <w:color w:val="000000"/>
          <w:spacing w:val="0"/>
          <w:w w:val="100"/>
          <w:position w:val="0"/>
        </w:rPr>
        <w:t>损失准备本期变动金额重大的账面余额变动情况</w:t>
      </w:r>
    </w:p>
    <w:p>
      <w:pPr>
        <w:pStyle w:val="Style41"/>
        <w:keepNext w:val="0"/>
        <w:keepLines w:val="0"/>
        <w:widowControl w:val="0"/>
        <w:shd w:val="clear" w:color="auto" w:fill="auto"/>
        <w:bidi w:val="0"/>
        <w:spacing w:before="0" w:after="14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color w:val="000000"/>
          <w:spacing w:val="0"/>
          <w:w w:val="100"/>
          <w:position w:val="0"/>
          <w:sz w:val="18"/>
          <w:szCs w:val="18"/>
        </w:rPr>
        <w:t>寸</w:t>
      </w:r>
      <w:r>
        <w:rPr>
          <w:color w:val="000000"/>
          <w:spacing w:val="0"/>
          <w:w w:val="100"/>
          <w:position w:val="0"/>
        </w:rPr>
        <w:t>不适用</w:t>
      </w:r>
    </w:p>
    <w:p>
      <w:pPr>
        <w:pStyle w:val="Style41"/>
        <w:keepNext w:val="0"/>
        <w:keepLines w:val="0"/>
        <w:widowControl w:val="0"/>
        <w:shd w:val="clear" w:color="auto" w:fill="auto"/>
        <w:bidi w:val="0"/>
        <w:spacing w:before="0" w:after="140" w:line="240" w:lineRule="auto"/>
        <w:ind w:left="0" w:right="0" w:firstLine="0"/>
        <w:jc w:val="left"/>
      </w:pPr>
      <w:r>
        <w:rPr>
          <w:color w:val="000000"/>
          <w:spacing w:val="0"/>
          <w:w w:val="100"/>
          <w:position w:val="0"/>
        </w:rPr>
        <w:t>按账龄披露</w:t>
      </w:r>
    </w:p>
    <w:p>
      <w:pPr>
        <w:pStyle w:val="Style41"/>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center"/>
        <w:tblLayout w:type="fixed"/>
      </w:tblPr>
      <w:tblGrid>
        <w:gridCol w:w="4790"/>
        <w:gridCol w:w="4790"/>
      </w:tblGrid>
      <w:tr>
        <w:trPr>
          <w:trHeight w:val="40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账龄</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年以内（含</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41,548,465.27</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至</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620" w:right="0" w:firstLine="0"/>
              <w:jc w:val="left"/>
              <w:rPr>
                <w:sz w:val="18"/>
                <w:szCs w:val="18"/>
              </w:rPr>
            </w:pPr>
            <w:r>
              <w:rPr>
                <w:rFonts w:ascii="Times New Roman" w:eastAsia="Times New Roman" w:hAnsi="Times New Roman" w:cs="Times New Roman"/>
                <w:color w:val="000000"/>
                <w:spacing w:val="0"/>
                <w:w w:val="100"/>
                <w:position w:val="0"/>
                <w:sz w:val="18"/>
                <w:szCs w:val="18"/>
              </w:rPr>
              <w:t>140,582,218.37</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至</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620" w:right="0" w:firstLine="0"/>
              <w:jc w:val="left"/>
              <w:rPr>
                <w:sz w:val="18"/>
                <w:szCs w:val="18"/>
              </w:rPr>
            </w:pPr>
            <w:r>
              <w:rPr>
                <w:rFonts w:ascii="Times New Roman" w:eastAsia="Times New Roman" w:hAnsi="Times New Roman" w:cs="Times New Roman"/>
                <w:color w:val="000000"/>
                <w:spacing w:val="0"/>
                <w:w w:val="100"/>
                <w:position w:val="0"/>
                <w:sz w:val="18"/>
                <w:szCs w:val="18"/>
              </w:rPr>
              <w:t>421,606,807.66</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3</w:t>
            </w:r>
            <w:r>
              <w:rPr>
                <w:color w:val="000000"/>
                <w:spacing w:val="0"/>
                <w:w w:val="100"/>
                <w:position w:val="0"/>
              </w:rPr>
              <w:t>至</w:t>
            </w:r>
            <w:r>
              <w:rPr>
                <w:rFonts w:ascii="Times New Roman" w:eastAsia="Times New Roman" w:hAnsi="Times New Roman" w:cs="Times New Roman"/>
                <w:color w:val="000000"/>
                <w:spacing w:val="0"/>
                <w:w w:val="100"/>
                <w:position w:val="0"/>
                <w:sz w:val="18"/>
                <w:szCs w:val="18"/>
              </w:rPr>
              <w:t>4</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41,200,488.93</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4</w:t>
            </w:r>
            <w:r>
              <w:rPr>
                <w:color w:val="000000"/>
                <w:spacing w:val="0"/>
                <w:w w:val="100"/>
                <w:position w:val="0"/>
              </w:rPr>
              <w:t>至</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23,838,512.70</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5</w:t>
            </w:r>
            <w:r>
              <w:rPr>
                <w:color w:val="000000"/>
                <w:spacing w:val="0"/>
                <w:w w:val="100"/>
                <w:position w:val="0"/>
              </w:rPr>
              <w:t>年以上</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620" w:right="0" w:firstLine="0"/>
              <w:jc w:val="left"/>
              <w:rPr>
                <w:sz w:val="18"/>
                <w:szCs w:val="18"/>
              </w:rPr>
            </w:pPr>
            <w:r>
              <w:rPr>
                <w:rFonts w:ascii="Times New Roman" w:eastAsia="Times New Roman" w:hAnsi="Times New Roman" w:cs="Times New Roman"/>
                <w:color w:val="000000"/>
                <w:spacing w:val="0"/>
                <w:w w:val="100"/>
                <w:position w:val="0"/>
                <w:sz w:val="18"/>
                <w:szCs w:val="18"/>
              </w:rPr>
              <w:t>150,610,728.66</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620" w:right="0" w:firstLine="0"/>
              <w:jc w:val="left"/>
              <w:rPr>
                <w:sz w:val="18"/>
                <w:szCs w:val="18"/>
              </w:rPr>
            </w:pPr>
            <w:r>
              <w:rPr>
                <w:rFonts w:ascii="Times New Roman" w:eastAsia="Times New Roman" w:hAnsi="Times New Roman" w:cs="Times New Roman"/>
                <w:color w:val="000000"/>
                <w:spacing w:val="0"/>
                <w:w w:val="100"/>
                <w:position w:val="0"/>
                <w:sz w:val="18"/>
                <w:szCs w:val="18"/>
              </w:rPr>
              <w:t>819,387,221.59</w:t>
            </w:r>
          </w:p>
        </w:tc>
      </w:tr>
    </w:tbl>
    <w:p>
      <w:pPr>
        <w:widowControl w:val="0"/>
        <w:spacing w:after="319" w:line="1" w:lineRule="exact"/>
      </w:pPr>
    </w:p>
    <w:p>
      <w:pPr>
        <w:pStyle w:val="Style248"/>
        <w:keepNext/>
        <w:keepLines/>
        <w:widowControl w:val="0"/>
        <w:shd w:val="clear" w:color="auto" w:fill="auto"/>
        <w:bidi w:val="0"/>
        <w:spacing w:before="0" w:line="240" w:lineRule="auto"/>
        <w:ind w:left="0" w:right="0" w:firstLine="0"/>
        <w:jc w:val="left"/>
      </w:pPr>
      <w:bookmarkStart w:id="2253" w:name="bookmark2253"/>
      <w:bookmarkStart w:id="2254" w:name="bookmark2254"/>
      <w:bookmarkStart w:id="2255" w:name="bookmark2255"/>
      <w:bookmarkStart w:id="2256" w:name="bookmark2256"/>
      <w:r>
        <w:rPr>
          <w:color w:val="000000"/>
          <w:spacing w:val="0"/>
          <w:w w:val="100"/>
          <w:position w:val="0"/>
        </w:rPr>
        <w:t>4</w:t>
      </w:r>
      <w:bookmarkEnd w:id="2255"/>
      <w:r>
        <w:rPr>
          <w:color w:val="000000"/>
          <w:spacing w:val="0"/>
          <w:w w:val="100"/>
          <w:position w:val="0"/>
        </w:rPr>
        <w:t>）本期计提、收回或转回的坏账准备情况</w:t>
      </w:r>
      <w:bookmarkEnd w:id="2253"/>
      <w:bookmarkEnd w:id="2254"/>
      <w:bookmarkEnd w:id="2256"/>
    </w:p>
    <w:p>
      <w:pPr>
        <w:pStyle w:val="Style41"/>
        <w:keepNext w:val="0"/>
        <w:keepLines w:val="0"/>
        <w:widowControl w:val="0"/>
        <w:shd w:val="clear" w:color="auto" w:fill="auto"/>
        <w:bidi w:val="0"/>
        <w:spacing w:before="0" w:after="140" w:line="240" w:lineRule="auto"/>
        <w:ind w:left="0" w:right="0" w:firstLine="0"/>
        <w:jc w:val="left"/>
      </w:pPr>
      <w:r>
        <w:rPr>
          <w:color w:val="000000"/>
          <w:spacing w:val="0"/>
          <w:w w:val="100"/>
          <w:position w:val="0"/>
        </w:rPr>
        <w:t>本期计提坏账准备情况:</w:t>
      </w:r>
    </w:p>
    <w:p>
      <w:pPr>
        <w:pStyle w:val="Style41"/>
        <w:keepNext w:val="0"/>
        <w:keepLines w:val="0"/>
        <w:widowControl w:val="0"/>
        <w:shd w:val="clear" w:color="auto" w:fill="auto"/>
        <w:bidi w:val="0"/>
        <w:spacing w:before="0" w:after="140" w:line="240" w:lineRule="auto"/>
        <w:ind w:left="8940" w:right="0" w:firstLine="0"/>
        <w:jc w:val="left"/>
        <w:sectPr>
          <w:headerReference w:type="default" r:id="rId461"/>
          <w:footerReference w:type="default" r:id="rId462"/>
          <w:headerReference w:type="even" r:id="rId463"/>
          <w:footerReference w:type="even" r:id="rId464"/>
          <w:footnotePr>
            <w:pos w:val="pageBottom"/>
            <w:numFmt w:val="decimal"/>
            <w:numRestart w:val="continuous"/>
          </w:footnotePr>
          <w:pgSz w:w="11904" w:h="17375"/>
          <w:pgMar w:top="1677" w:right="1040" w:bottom="1673" w:left="995" w:header="0" w:footer="3" w:gutter="0"/>
          <w:cols w:space="720"/>
          <w:noEndnote/>
          <w:rtlGutter w:val="0"/>
          <w:docGrid w:linePitch="360"/>
        </w:sectPr>
      </w:pPr>
      <w:r>
        <w:rPr>
          <w:color w:val="000000"/>
          <w:spacing w:val="0"/>
          <w:w w:val="100"/>
          <w:position w:val="0"/>
        </w:rPr>
        <w:t>单位：元</w:t>
      </w:r>
    </w:p>
    <w:tbl>
      <w:tblPr>
        <w:tblOverlap w:val="never"/>
        <w:jc w:val="center"/>
        <w:tblLayout w:type="fixed"/>
      </w:tblPr>
      <w:tblGrid>
        <w:gridCol w:w="1704"/>
        <w:gridCol w:w="1421"/>
        <w:gridCol w:w="1416"/>
        <w:gridCol w:w="1560"/>
        <w:gridCol w:w="994"/>
        <w:gridCol w:w="902"/>
        <w:gridCol w:w="1589"/>
      </w:tblGrid>
      <w:tr>
        <w:trPr>
          <w:trHeight w:val="480" w:hRule="exact"/>
        </w:trPr>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类别</w:t>
            </w:r>
          </w:p>
        </w:tc>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c>
          <w:tcPr>
            <w:gridSpan w:val="4"/>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本期变动金额</w:t>
            </w:r>
          </w:p>
        </w:tc>
        <w:tc>
          <w:tcPr>
            <w:vMerge w:val="restart"/>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420"/>
              <w:jc w:val="left"/>
            </w:pPr>
            <w:r>
              <w:rPr>
                <w:color w:val="000000"/>
                <w:spacing w:val="0"/>
                <w:w w:val="100"/>
                <w:position w:val="0"/>
              </w:rPr>
              <w:t>期末余额</w:t>
            </w:r>
          </w:p>
        </w:tc>
      </w:tr>
      <w:tr>
        <w:trPr>
          <w:trHeight w:val="398" w:hRule="exact"/>
        </w:trPr>
        <w:tc>
          <w:tcPr>
            <w:vMerge/>
            <w:tcBorders>
              <w:left w:val="single" w:sz="4"/>
            </w:tcBorders>
            <w:shd w:val="clear" w:color="auto" w:fill="D7D7D7"/>
            <w:vAlign w:val="center"/>
          </w:tcPr>
          <w:p>
            <w:pPr/>
          </w:p>
        </w:tc>
        <w:tc>
          <w:tcPr>
            <w:vMerge/>
            <w:tcBorders>
              <w:left w:val="single" w:sz="4"/>
            </w:tcBorders>
            <w:shd w:val="clear" w:color="auto" w:fill="D7D7D7"/>
            <w:vAlign w:val="center"/>
          </w:tcPr>
          <w:p>
            <w:pP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520"/>
              <w:jc w:val="left"/>
            </w:pPr>
            <w:r>
              <w:rPr>
                <w:color w:val="000000"/>
                <w:spacing w:val="0"/>
                <w:w w:val="100"/>
                <w:position w:val="0"/>
              </w:rPr>
              <w:t>计提</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收回或转回</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核销</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240"/>
              <w:jc w:val="left"/>
            </w:pPr>
            <w:r>
              <w:rPr>
                <w:color w:val="000000"/>
                <w:spacing w:val="0"/>
                <w:w w:val="100"/>
                <w:position w:val="0"/>
              </w:rPr>
              <w:t>其他</w:t>
            </w:r>
          </w:p>
        </w:tc>
        <w:tc>
          <w:tcPr>
            <w:vMerge/>
            <w:tcBorders>
              <w:left w:val="single" w:sz="4"/>
              <w:right w:val="single" w:sz="4"/>
            </w:tcBorders>
            <w:shd w:val="clear" w:color="auto" w:fill="D7D7D7"/>
            <w:vAlign w:val="center"/>
          </w:tcPr>
          <w:p>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按单项计提坏账准备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rPr>
                <w:sz w:val="18"/>
                <w:szCs w:val="18"/>
              </w:rPr>
            </w:pPr>
            <w:r>
              <w:rPr>
                <w:rFonts w:ascii="Times New Roman" w:eastAsia="Times New Roman" w:hAnsi="Times New Roman" w:cs="Times New Roman"/>
                <w:color w:val="000000"/>
                <w:spacing w:val="0"/>
                <w:w w:val="100"/>
                <w:position w:val="0"/>
                <w:sz w:val="18"/>
                <w:szCs w:val="18"/>
              </w:rPr>
              <w:t>153,241,774.38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rPr>
                <w:sz w:val="18"/>
                <w:szCs w:val="18"/>
              </w:rPr>
            </w:pPr>
            <w:r>
              <w:rPr>
                <w:rFonts w:ascii="Times New Roman" w:eastAsia="Times New Roman" w:hAnsi="Times New Roman" w:cs="Times New Roman"/>
                <w:color w:val="000000"/>
                <w:spacing w:val="0"/>
                <w:w w:val="100"/>
                <w:position w:val="0"/>
                <w:sz w:val="18"/>
                <w:szCs w:val="18"/>
              </w:rPr>
              <w:t>8,198,981.49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806,484.92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4,026.44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both"/>
              <w:rPr>
                <w:sz w:val="18"/>
                <w:szCs w:val="18"/>
              </w:rPr>
            </w:pPr>
            <w:r>
              <w:rPr>
                <w:rFonts w:ascii="Times New Roman" w:eastAsia="Times New Roman" w:hAnsi="Times New Roman" w:cs="Times New Roman"/>
                <w:color w:val="000000"/>
                <w:spacing w:val="0"/>
                <w:w w:val="100"/>
                <w:position w:val="0"/>
                <w:sz w:val="18"/>
                <w:szCs w:val="18"/>
              </w:rPr>
              <w:t>160,638,297.39</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按组合计提坏账准备</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left"/>
              <w:rPr>
                <w:sz w:val="18"/>
                <w:szCs w:val="18"/>
              </w:rPr>
            </w:pPr>
            <w:r>
              <w:rPr>
                <w:rFonts w:ascii="Times New Roman" w:eastAsia="Times New Roman" w:hAnsi="Times New Roman" w:cs="Times New Roman"/>
                <w:color w:val="000000"/>
                <w:spacing w:val="0"/>
                <w:w w:val="100"/>
                <w:position w:val="0"/>
                <w:sz w:val="18"/>
                <w:szCs w:val="18"/>
              </w:rPr>
              <w:t>455,579.08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20"/>
              <w:jc w:val="left"/>
              <w:rPr>
                <w:sz w:val="18"/>
                <w:szCs w:val="18"/>
              </w:rPr>
            </w:pPr>
            <w:r>
              <w:rPr>
                <w:rFonts w:ascii="Times New Roman" w:eastAsia="Times New Roman" w:hAnsi="Times New Roman" w:cs="Times New Roman"/>
                <w:color w:val="000000"/>
                <w:spacing w:val="0"/>
                <w:w w:val="100"/>
                <w:position w:val="0"/>
                <w:sz w:val="18"/>
                <w:szCs w:val="18"/>
              </w:rPr>
              <w:t>-175,092.56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-4,026.44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276,460.08</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left"/>
              <w:rPr>
                <w:sz w:val="18"/>
                <w:szCs w:val="18"/>
              </w:rPr>
            </w:pPr>
            <w:r>
              <w:rPr>
                <w:rFonts w:ascii="Times New Roman" w:eastAsia="Times New Roman" w:hAnsi="Times New Roman" w:cs="Times New Roman"/>
                <w:color w:val="000000"/>
                <w:spacing w:val="0"/>
                <w:w w:val="100"/>
                <w:position w:val="0"/>
                <w:sz w:val="18"/>
                <w:szCs w:val="18"/>
              </w:rPr>
              <w:t>153,697,353.46</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left"/>
              <w:rPr>
                <w:sz w:val="18"/>
                <w:szCs w:val="18"/>
              </w:rPr>
            </w:pPr>
            <w:r>
              <w:rPr>
                <w:rFonts w:ascii="Times New Roman" w:eastAsia="Times New Roman" w:hAnsi="Times New Roman" w:cs="Times New Roman"/>
                <w:color w:val="000000"/>
                <w:spacing w:val="0"/>
                <w:w w:val="100"/>
                <w:position w:val="0"/>
                <w:sz w:val="18"/>
                <w:szCs w:val="18"/>
              </w:rPr>
              <w:t>8,023,888.93</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806,484.92</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20"/>
              <w:jc w:val="both"/>
              <w:rPr>
                <w:sz w:val="18"/>
                <w:szCs w:val="18"/>
              </w:rPr>
            </w:pPr>
            <w:r>
              <w:rPr>
                <w:rFonts w:ascii="Times New Roman" w:eastAsia="Times New Roman" w:hAnsi="Times New Roman" w:cs="Times New Roman"/>
                <w:color w:val="000000"/>
                <w:spacing w:val="0"/>
                <w:w w:val="100"/>
                <w:position w:val="0"/>
                <w:sz w:val="18"/>
                <w:szCs w:val="18"/>
              </w:rPr>
              <w:t>160,914,757.47</w:t>
            </w:r>
          </w:p>
        </w:tc>
      </w:tr>
    </w:tbl>
    <w:p>
      <w:pPr>
        <w:widowControl w:val="0"/>
        <w:spacing w:after="319" w:line="1" w:lineRule="exact"/>
      </w:pPr>
    </w:p>
    <w:p>
      <w:pPr>
        <w:pStyle w:val="Style248"/>
        <w:keepNext/>
        <w:keepLines/>
        <w:widowControl w:val="0"/>
        <w:shd w:val="clear" w:color="auto" w:fill="auto"/>
        <w:tabs>
          <w:tab w:pos="397" w:val="left"/>
        </w:tabs>
        <w:bidi w:val="0"/>
        <w:spacing w:before="0" w:line="240" w:lineRule="auto"/>
        <w:ind w:left="0" w:right="0" w:firstLine="0"/>
        <w:jc w:val="left"/>
      </w:pPr>
      <w:bookmarkStart w:id="2257" w:name="bookmark2257"/>
      <w:bookmarkStart w:id="2258" w:name="bookmark2258"/>
      <w:bookmarkStart w:id="2259" w:name="bookmark2259"/>
      <w:bookmarkStart w:id="2260" w:name="bookmark2260"/>
      <w:r>
        <w:rPr>
          <w:color w:val="000000"/>
          <w:spacing w:val="0"/>
          <w:w w:val="100"/>
          <w:position w:val="0"/>
        </w:rPr>
        <w:t>5</w:t>
      </w:r>
      <w:bookmarkEnd w:id="2259"/>
      <w:r>
        <w:rPr>
          <w:color w:val="000000"/>
          <w:spacing w:val="0"/>
          <w:w w:val="100"/>
          <w:position w:val="0"/>
        </w:rPr>
        <w:t>）</w:t>
        <w:tab/>
        <w:t>本期实际核销的其他应收款情况</w:t>
      </w:r>
      <w:bookmarkEnd w:id="2257"/>
      <w:bookmarkEnd w:id="2258"/>
      <w:bookmarkEnd w:id="2260"/>
    </w:p>
    <w:p>
      <w:pPr>
        <w:pStyle w:val="Style41"/>
        <w:keepNext w:val="0"/>
        <w:keepLines w:val="0"/>
        <w:widowControl w:val="0"/>
        <w:shd w:val="clear" w:color="auto" w:fill="auto"/>
        <w:bidi w:val="0"/>
        <w:spacing w:before="0" w:after="400" w:line="240" w:lineRule="auto"/>
        <w:ind w:left="0" w:right="0"/>
        <w:jc w:val="left"/>
      </w:pPr>
      <w:r>
        <w:rPr>
          <w:color w:val="000000"/>
          <w:spacing w:val="0"/>
          <w:w w:val="100"/>
          <w:position w:val="0"/>
        </w:rPr>
        <w:t>无。</w:t>
      </w:r>
    </w:p>
    <w:p>
      <w:pPr>
        <w:pStyle w:val="Style248"/>
        <w:keepNext/>
        <w:keepLines/>
        <w:widowControl w:val="0"/>
        <w:shd w:val="clear" w:color="auto" w:fill="auto"/>
        <w:tabs>
          <w:tab w:pos="397" w:val="left"/>
        </w:tabs>
        <w:bidi w:val="0"/>
        <w:spacing w:before="0" w:line="240" w:lineRule="auto"/>
        <w:ind w:left="0" w:right="0" w:firstLine="0"/>
        <w:jc w:val="left"/>
      </w:pPr>
      <w:bookmarkStart w:id="2261" w:name="bookmark2261"/>
      <w:bookmarkStart w:id="2262" w:name="bookmark2262"/>
      <w:bookmarkStart w:id="2263" w:name="bookmark2263"/>
      <w:bookmarkStart w:id="2264" w:name="bookmark2264"/>
      <w:r>
        <w:rPr>
          <w:color w:val="000000"/>
          <w:spacing w:val="0"/>
          <w:w w:val="100"/>
          <w:position w:val="0"/>
        </w:rPr>
        <w:t>6</w:t>
      </w:r>
      <w:bookmarkEnd w:id="2263"/>
      <w:r>
        <w:rPr>
          <w:color w:val="000000"/>
          <w:spacing w:val="0"/>
          <w:w w:val="100"/>
          <w:position w:val="0"/>
        </w:rPr>
        <w:t>）</w:t>
        <w:tab/>
        <w:t>按欠款方归集的期末余额前五名的其他应收款情况</w:t>
      </w:r>
      <w:bookmarkEnd w:id="2261"/>
      <w:bookmarkEnd w:id="2262"/>
      <w:bookmarkEnd w:id="2264"/>
    </w:p>
    <w:p>
      <w:pPr>
        <w:pStyle w:val="Style41"/>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2275"/>
        <w:gridCol w:w="1560"/>
        <w:gridCol w:w="1272"/>
        <w:gridCol w:w="1704"/>
        <w:gridCol w:w="1560"/>
        <w:gridCol w:w="1214"/>
      </w:tblGrid>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单位名称</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款项的性质</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660"/>
              <w:jc w:val="left"/>
            </w:pPr>
            <w:r>
              <w:rPr>
                <w:color w:val="000000"/>
                <w:spacing w:val="0"/>
                <w:w w:val="100"/>
                <w:position w:val="0"/>
              </w:rPr>
              <w:t>账龄</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占其他应收款期末 余额合计数的比例</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322" w:lineRule="exact"/>
              <w:ind w:left="0" w:right="0" w:firstLine="0"/>
              <w:jc w:val="center"/>
            </w:pPr>
            <w:r>
              <w:rPr>
                <w:color w:val="000000"/>
                <w:spacing w:val="0"/>
                <w:w w:val="100"/>
                <w:position w:val="0"/>
              </w:rPr>
              <w:t>坏账准备期末 余额</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北京神州泰岳系统集成有限 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合并关联方往来款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410,193,773.46</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3</w:t>
            </w:r>
            <w:r>
              <w:rPr>
                <w:color w:val="000000"/>
                <w:spacing w:val="0"/>
                <w:w w:val="100"/>
                <w:position w:val="0"/>
              </w:rPr>
              <w:t>年以内</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50.06%</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奇点新源国际技术开发公司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合并关联方往来款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186,600,000.00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5</w:t>
            </w:r>
            <w:r>
              <w:rPr>
                <w:color w:val="000000"/>
                <w:spacing w:val="0"/>
                <w:w w:val="100"/>
                <w:position w:val="0"/>
              </w:rPr>
              <w:t>年以内</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22.77%</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神州泰岳</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香港</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合并关联方往来款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both"/>
              <w:rPr>
                <w:sz w:val="18"/>
                <w:szCs w:val="18"/>
              </w:rPr>
            </w:pPr>
            <w:r>
              <w:rPr>
                <w:rFonts w:ascii="Times New Roman" w:eastAsia="Times New Roman" w:hAnsi="Times New Roman" w:cs="Times New Roman"/>
                <w:color w:val="000000"/>
                <w:spacing w:val="0"/>
                <w:w w:val="100"/>
                <w:position w:val="0"/>
                <w:sz w:val="18"/>
                <w:szCs w:val="18"/>
              </w:rPr>
              <w:t>77,676,735.73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年以内及</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年以上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9.48%</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77,676,735.73</w:t>
            </w: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北京泰岳智桥信息技术有限 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合并关联方往来款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both"/>
              <w:rPr>
                <w:sz w:val="18"/>
                <w:szCs w:val="18"/>
              </w:rPr>
            </w:pPr>
            <w:r>
              <w:rPr>
                <w:rFonts w:ascii="Times New Roman" w:eastAsia="Times New Roman" w:hAnsi="Times New Roman" w:cs="Times New Roman"/>
                <w:color w:val="000000"/>
                <w:spacing w:val="0"/>
                <w:w w:val="100"/>
                <w:position w:val="0"/>
                <w:sz w:val="18"/>
                <w:szCs w:val="18"/>
              </w:rPr>
              <w:t>72,459,680.00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年以内及</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年以上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8.84%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72,459,680.00</w:t>
            </w: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北京融聚世界网络科技有限 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合并关联方往来款</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both"/>
              <w:rPr>
                <w:sz w:val="18"/>
                <w:szCs w:val="18"/>
              </w:rPr>
            </w:pPr>
            <w:r>
              <w:rPr>
                <w:rFonts w:ascii="Times New Roman" w:eastAsia="Times New Roman" w:hAnsi="Times New Roman" w:cs="Times New Roman"/>
                <w:color w:val="000000"/>
                <w:spacing w:val="0"/>
                <w:w w:val="100"/>
                <w:position w:val="0"/>
                <w:sz w:val="18"/>
                <w:szCs w:val="18"/>
              </w:rPr>
              <w:t>18,667,000.00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2-5</w:t>
            </w:r>
            <w:r>
              <w:rPr>
                <w:color w:val="000000"/>
                <w:spacing w:val="0"/>
                <w:w w:val="100"/>
                <w:position w:val="0"/>
              </w:rPr>
              <w:t>年</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2.28%</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765,597,189.19</w:t>
            </w:r>
          </w:p>
        </w:tc>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78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93.44%</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150,136,415.73</w:t>
            </w:r>
          </w:p>
        </w:tc>
      </w:tr>
    </w:tbl>
    <w:p>
      <w:pPr>
        <w:widowControl w:val="0"/>
        <w:spacing w:after="319" w:line="1" w:lineRule="exact"/>
      </w:pPr>
    </w:p>
    <w:p>
      <w:pPr>
        <w:pStyle w:val="Style248"/>
        <w:keepNext/>
        <w:keepLines/>
        <w:widowControl w:val="0"/>
        <w:shd w:val="clear" w:color="auto" w:fill="auto"/>
        <w:tabs>
          <w:tab w:pos="392" w:val="left"/>
        </w:tabs>
        <w:bidi w:val="0"/>
        <w:spacing w:before="0" w:line="240" w:lineRule="auto"/>
        <w:ind w:left="0" w:right="0" w:firstLine="0"/>
        <w:jc w:val="left"/>
      </w:pPr>
      <w:bookmarkStart w:id="2265" w:name="bookmark2265"/>
      <w:bookmarkStart w:id="2266" w:name="bookmark2266"/>
      <w:bookmarkStart w:id="2267" w:name="bookmark2267"/>
      <w:bookmarkStart w:id="2268" w:name="bookmark2268"/>
      <w:r>
        <w:rPr>
          <w:color w:val="000000"/>
          <w:spacing w:val="0"/>
          <w:w w:val="100"/>
          <w:position w:val="0"/>
        </w:rPr>
        <w:t>7</w:t>
      </w:r>
      <w:bookmarkEnd w:id="2267"/>
      <w:r>
        <w:rPr>
          <w:color w:val="000000"/>
          <w:spacing w:val="0"/>
          <w:w w:val="100"/>
          <w:position w:val="0"/>
        </w:rPr>
        <w:t>）</w:t>
        <w:tab/>
        <w:t>涉及政府补助的应收款项</w:t>
      </w:r>
      <w:bookmarkEnd w:id="2265"/>
      <w:bookmarkEnd w:id="2266"/>
      <w:bookmarkEnd w:id="2268"/>
    </w:p>
    <w:p>
      <w:pPr>
        <w:pStyle w:val="Style41"/>
        <w:keepNext w:val="0"/>
        <w:keepLines w:val="0"/>
        <w:widowControl w:val="0"/>
        <w:shd w:val="clear" w:color="auto" w:fill="auto"/>
        <w:bidi w:val="0"/>
        <w:spacing w:before="0" w:after="400" w:line="240" w:lineRule="auto"/>
        <w:ind w:left="0" w:right="0"/>
        <w:jc w:val="left"/>
      </w:pPr>
      <w:r>
        <w:rPr>
          <w:color w:val="000000"/>
          <w:spacing w:val="0"/>
          <w:w w:val="100"/>
          <w:position w:val="0"/>
        </w:rPr>
        <w:t>无。</w:t>
      </w:r>
    </w:p>
    <w:p>
      <w:pPr>
        <w:pStyle w:val="Style248"/>
        <w:keepNext/>
        <w:keepLines/>
        <w:widowControl w:val="0"/>
        <w:shd w:val="clear" w:color="auto" w:fill="auto"/>
        <w:tabs>
          <w:tab w:pos="397" w:val="left"/>
        </w:tabs>
        <w:bidi w:val="0"/>
        <w:spacing w:before="0" w:line="240" w:lineRule="auto"/>
        <w:ind w:left="0" w:right="0" w:firstLine="0"/>
        <w:jc w:val="left"/>
      </w:pPr>
      <w:bookmarkStart w:id="2269" w:name="bookmark2269"/>
      <w:bookmarkStart w:id="2270" w:name="bookmark2270"/>
      <w:bookmarkStart w:id="2271" w:name="bookmark2271"/>
      <w:bookmarkStart w:id="2272" w:name="bookmark2272"/>
      <w:r>
        <w:rPr>
          <w:color w:val="000000"/>
          <w:spacing w:val="0"/>
          <w:w w:val="100"/>
          <w:position w:val="0"/>
        </w:rPr>
        <w:t>8</w:t>
      </w:r>
      <w:bookmarkEnd w:id="2271"/>
      <w:r>
        <w:rPr>
          <w:color w:val="000000"/>
          <w:spacing w:val="0"/>
          <w:w w:val="100"/>
          <w:position w:val="0"/>
        </w:rPr>
        <w:t>）</w:t>
        <w:tab/>
        <w:t>因金融资产转移而终止确认的其他应收款</w:t>
      </w:r>
      <w:bookmarkEnd w:id="2269"/>
      <w:bookmarkEnd w:id="2270"/>
      <w:bookmarkEnd w:id="2272"/>
    </w:p>
    <w:p>
      <w:pPr>
        <w:pStyle w:val="Style41"/>
        <w:keepNext w:val="0"/>
        <w:keepLines w:val="0"/>
        <w:widowControl w:val="0"/>
        <w:shd w:val="clear" w:color="auto" w:fill="auto"/>
        <w:bidi w:val="0"/>
        <w:spacing w:before="0" w:after="400" w:line="240" w:lineRule="auto"/>
        <w:ind w:left="0" w:right="0"/>
        <w:jc w:val="left"/>
      </w:pPr>
      <w:r>
        <w:rPr>
          <w:color w:val="000000"/>
          <w:spacing w:val="0"/>
          <w:w w:val="100"/>
          <w:position w:val="0"/>
        </w:rPr>
        <w:t>无。</w:t>
      </w:r>
    </w:p>
    <w:p>
      <w:pPr>
        <w:pStyle w:val="Style248"/>
        <w:keepNext/>
        <w:keepLines/>
        <w:widowControl w:val="0"/>
        <w:shd w:val="clear" w:color="auto" w:fill="auto"/>
        <w:tabs>
          <w:tab w:pos="397" w:val="left"/>
        </w:tabs>
        <w:bidi w:val="0"/>
        <w:spacing w:before="0" w:line="240" w:lineRule="auto"/>
        <w:ind w:left="0" w:right="0" w:firstLine="0"/>
        <w:jc w:val="left"/>
      </w:pPr>
      <w:bookmarkStart w:id="2273" w:name="bookmark2273"/>
      <w:bookmarkStart w:id="2274" w:name="bookmark2274"/>
      <w:bookmarkStart w:id="2275" w:name="bookmark2275"/>
      <w:bookmarkStart w:id="2276" w:name="bookmark2276"/>
      <w:r>
        <w:rPr>
          <w:color w:val="000000"/>
          <w:spacing w:val="0"/>
          <w:w w:val="100"/>
          <w:position w:val="0"/>
        </w:rPr>
        <w:t>9</w:t>
      </w:r>
      <w:bookmarkEnd w:id="2275"/>
      <w:r>
        <w:rPr>
          <w:color w:val="000000"/>
          <w:spacing w:val="0"/>
          <w:w w:val="100"/>
          <w:position w:val="0"/>
        </w:rPr>
        <w:t>）</w:t>
        <w:tab/>
        <w:t>转移其他应收款且继续涉入形成的资产、负债金额</w:t>
      </w:r>
      <w:bookmarkEnd w:id="2273"/>
      <w:bookmarkEnd w:id="2274"/>
      <w:bookmarkEnd w:id="2276"/>
    </w:p>
    <w:p>
      <w:pPr>
        <w:pStyle w:val="Style41"/>
        <w:keepNext w:val="0"/>
        <w:keepLines w:val="0"/>
        <w:widowControl w:val="0"/>
        <w:shd w:val="clear" w:color="auto" w:fill="auto"/>
        <w:bidi w:val="0"/>
        <w:spacing w:before="0" w:after="400" w:line="240" w:lineRule="auto"/>
        <w:ind w:left="0" w:right="0"/>
        <w:jc w:val="left"/>
      </w:pPr>
      <w:r>
        <w:rPr>
          <w:color w:val="000000"/>
          <w:spacing w:val="0"/>
          <w:w w:val="100"/>
          <w:position w:val="0"/>
        </w:rPr>
        <w:t>无。</w:t>
      </w:r>
    </w:p>
    <w:p>
      <w:pPr>
        <w:pStyle w:val="Style47"/>
        <w:keepNext/>
        <w:keepLines/>
        <w:widowControl w:val="0"/>
        <w:shd w:val="clear" w:color="auto" w:fill="auto"/>
        <w:bidi w:val="0"/>
        <w:spacing w:before="0" w:after="400" w:line="240" w:lineRule="auto"/>
        <w:ind w:left="0" w:right="0" w:firstLine="0"/>
        <w:jc w:val="left"/>
      </w:pPr>
      <w:bookmarkStart w:id="2277" w:name="bookmark2277"/>
      <w:bookmarkStart w:id="2278" w:name="bookmark2278"/>
      <w:bookmarkStart w:id="2279" w:name="bookmark2279"/>
      <w:bookmarkStart w:id="2280" w:name="bookmark2280"/>
      <w:r>
        <w:rPr>
          <w:color w:val="000000"/>
          <w:spacing w:val="0"/>
          <w:w w:val="100"/>
          <w:position w:val="0"/>
        </w:rPr>
        <w:t>3</w:t>
      </w:r>
      <w:bookmarkEnd w:id="2279"/>
      <w:r>
        <w:rPr>
          <w:color w:val="000000"/>
          <w:spacing w:val="0"/>
          <w:w w:val="100"/>
          <w:position w:val="0"/>
        </w:rPr>
        <w:t>、长期股权投资</w:t>
      </w:r>
      <w:bookmarkEnd w:id="2277"/>
      <w:bookmarkEnd w:id="2278"/>
      <w:bookmarkEnd w:id="2280"/>
    </w:p>
    <w:p>
      <w:pPr>
        <w:pStyle w:val="Style41"/>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1373"/>
        <w:gridCol w:w="4104"/>
        <w:gridCol w:w="4109"/>
      </w:tblGrid>
      <w:tr>
        <w:trPr>
          <w:trHeight w:val="418"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bottom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bl>
    <w:p>
      <w:pPr>
        <w:spacing w:lineRule="exact" w:line="1"/>
        <w:rPr>
          <w:sz w:val="2"/>
          <w:szCs w:val="2"/>
        </w:rPr>
      </w:pPr>
      <w:r>
        <w:br w:type="page"/>
      </w:r>
    </w:p>
    <w:tbl>
      <w:tblPr>
        <w:tblOverlap w:val="never"/>
        <w:jc w:val="center"/>
        <w:tblLayout w:type="fixed"/>
      </w:tblPr>
      <w:tblGrid>
        <w:gridCol w:w="1373"/>
        <w:gridCol w:w="1368"/>
        <w:gridCol w:w="1368"/>
        <w:gridCol w:w="1368"/>
        <w:gridCol w:w="1363"/>
        <w:gridCol w:w="1368"/>
        <w:gridCol w:w="1378"/>
      </w:tblGrid>
      <w:tr>
        <w:trPr>
          <w:trHeight w:val="480" w:hRule="exact"/>
        </w:trPr>
        <w:tc>
          <w:tcPr>
            <w:tcBorders>
              <w:top w:val="single" w:sz="4"/>
              <w:left w:val="single" w:sz="4"/>
            </w:tcBorders>
            <w:shd w:val="clear" w:color="auto" w:fill="D7D7D7"/>
            <w:vAlign w:val="top"/>
          </w:tcPr>
          <w:p>
            <w:pPr>
              <w:widowControl w:val="0"/>
              <w:rPr>
                <w:sz w:val="10"/>
                <w:szCs w:val="10"/>
              </w:rPr>
            </w:pP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300"/>
              <w:jc w:val="left"/>
            </w:pPr>
            <w:r>
              <w:rPr>
                <w:color w:val="000000"/>
                <w:spacing w:val="0"/>
                <w:w w:val="100"/>
                <w:position w:val="0"/>
              </w:rPr>
              <w:t>减值准备</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账面价值</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320"/>
              <w:jc w:val="left"/>
            </w:pPr>
            <w:r>
              <w:rPr>
                <w:color w:val="000000"/>
                <w:spacing w:val="0"/>
                <w:w w:val="100"/>
                <w:position w:val="0"/>
              </w:rPr>
              <w:t>减值准备</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300"/>
              <w:jc w:val="left"/>
            </w:pPr>
            <w:r>
              <w:rPr>
                <w:color w:val="000000"/>
                <w:spacing w:val="0"/>
                <w:w w:val="100"/>
                <w:position w:val="0"/>
              </w:rPr>
              <w:t>账面价值</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对子公司投资</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3,202,772,167.63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128,270,797.54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3,074,501,370.09</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3,211,347,166.63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rFonts w:ascii="Times New Roman" w:eastAsia="Times New Roman" w:hAnsi="Times New Roman" w:cs="Times New Roman"/>
                <w:color w:val="000000"/>
                <w:spacing w:val="0"/>
                <w:w w:val="100"/>
                <w:position w:val="0"/>
                <w:sz w:val="18"/>
                <w:szCs w:val="18"/>
              </w:rPr>
              <w:t>128,270,797.54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3,083,076,369.09</w:t>
            </w: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120" w:line="240" w:lineRule="auto"/>
              <w:ind w:left="0" w:right="0" w:firstLine="0"/>
              <w:jc w:val="left"/>
            </w:pPr>
            <w:r>
              <w:rPr>
                <w:color w:val="000000"/>
                <w:spacing w:val="0"/>
                <w:w w:val="100"/>
                <w:position w:val="0"/>
              </w:rPr>
              <w:t>对联营、合营企</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业投资</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157,620,005.14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61,532,111.30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96,087,893.84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131,197,391.53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61,532,111.30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69,665,280.23</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3,360,392,172.77</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189,802,908.84</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3,170,589,263.93</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3,342,544,558.16</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20"/>
              <w:jc w:val="left"/>
              <w:rPr>
                <w:sz w:val="18"/>
                <w:szCs w:val="18"/>
              </w:rPr>
            </w:pPr>
            <w:r>
              <w:rPr>
                <w:rFonts w:ascii="Times New Roman" w:eastAsia="Times New Roman" w:hAnsi="Times New Roman" w:cs="Times New Roman"/>
                <w:color w:val="000000"/>
                <w:spacing w:val="0"/>
                <w:w w:val="100"/>
                <w:position w:val="0"/>
                <w:sz w:val="18"/>
                <w:szCs w:val="18"/>
              </w:rPr>
              <w:t>189,802,908.84</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3,152,741,649.32</w:t>
            </w:r>
          </w:p>
        </w:tc>
      </w:tr>
    </w:tbl>
    <w:p>
      <w:pPr>
        <w:widowControl w:val="0"/>
        <w:spacing w:after="339" w:line="1" w:lineRule="exact"/>
      </w:pPr>
    </w:p>
    <w:p>
      <w:pPr>
        <w:pStyle w:val="Style58"/>
        <w:keepNext/>
        <w:keepLines/>
        <w:widowControl w:val="0"/>
        <w:shd w:val="clear" w:color="auto" w:fill="auto"/>
        <w:bidi w:val="0"/>
        <w:spacing w:before="0" w:after="400" w:line="240" w:lineRule="auto"/>
        <w:ind w:left="0" w:right="0" w:firstLine="0"/>
        <w:jc w:val="left"/>
        <w:rPr>
          <w:sz w:val="20"/>
          <w:szCs w:val="20"/>
        </w:rPr>
      </w:pPr>
      <w:bookmarkStart w:id="2281" w:name="bookmark2281"/>
      <w:bookmarkStart w:id="2282" w:name="bookmark2282"/>
      <w:bookmarkStart w:id="2283" w:name="bookmark2283"/>
      <w:r>
        <w:rPr>
          <w:b/>
          <w:bCs/>
          <w:color w:val="000000"/>
          <w:spacing w:val="0"/>
          <w:w w:val="100"/>
          <w:position w:val="0"/>
          <w:sz w:val="20"/>
          <w:szCs w:val="20"/>
        </w:rPr>
        <w:t>（1）对子公司投资</w:t>
      </w:r>
      <w:bookmarkEnd w:id="2281"/>
      <w:bookmarkEnd w:id="2282"/>
      <w:bookmarkEnd w:id="2283"/>
    </w:p>
    <w:p>
      <w:pPr>
        <w:pStyle w:val="Style41"/>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2842"/>
        <w:gridCol w:w="1416"/>
        <w:gridCol w:w="850"/>
        <w:gridCol w:w="850"/>
        <w:gridCol w:w="710"/>
        <w:gridCol w:w="283"/>
        <w:gridCol w:w="1421"/>
        <w:gridCol w:w="1214"/>
      </w:tblGrid>
      <w:tr>
        <w:trPr>
          <w:trHeight w:val="403" w:hRule="exact"/>
        </w:trPr>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960"/>
              <w:jc w:val="left"/>
            </w:pPr>
            <w:r>
              <w:rPr>
                <w:color w:val="000000"/>
                <w:spacing w:val="0"/>
                <w:w w:val="100"/>
                <w:position w:val="0"/>
              </w:rPr>
              <w:t>被投资单位</w:t>
            </w:r>
          </w:p>
        </w:tc>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firstLine="0"/>
              <w:jc w:val="center"/>
              <w:rPr>
                <w:sz w:val="18"/>
                <w:szCs w:val="18"/>
              </w:rPr>
            </w:pPr>
            <w:r>
              <w:rPr>
                <w:color w:val="000000"/>
                <w:spacing w:val="0"/>
                <w:w w:val="100"/>
                <w:position w:val="0"/>
                <w:sz w:val="17"/>
                <w:szCs w:val="17"/>
              </w:rPr>
              <w:t>期初余额</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7"/>
                <w:szCs w:val="17"/>
              </w:rPr>
              <w:t>账面价 值</w:t>
            </w:r>
            <w:r>
              <w:rPr>
                <w:color w:val="000000"/>
                <w:spacing w:val="0"/>
                <w:w w:val="100"/>
                <w:position w:val="0"/>
                <w:sz w:val="18"/>
                <w:szCs w:val="18"/>
              </w:rPr>
              <w:t>）</w:t>
            </w:r>
          </w:p>
        </w:tc>
        <w:tc>
          <w:tcPr>
            <w:gridSpan w:val="4"/>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本期增减变动</w:t>
            </w:r>
          </w:p>
        </w:tc>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firstLine="0"/>
              <w:jc w:val="center"/>
              <w:rPr>
                <w:sz w:val="18"/>
                <w:szCs w:val="18"/>
              </w:rPr>
            </w:pPr>
            <w:r>
              <w:rPr>
                <w:color w:val="000000"/>
                <w:spacing w:val="0"/>
                <w:w w:val="100"/>
                <w:position w:val="0"/>
                <w:sz w:val="17"/>
                <w:szCs w:val="17"/>
              </w:rPr>
              <w:t>期末余额</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7"/>
                <w:szCs w:val="17"/>
              </w:rPr>
              <w:t>账面价 值</w:t>
            </w:r>
            <w:r>
              <w:rPr>
                <w:color w:val="000000"/>
                <w:spacing w:val="0"/>
                <w:w w:val="100"/>
                <w:position w:val="0"/>
                <w:sz w:val="18"/>
                <w:szCs w:val="18"/>
              </w:rPr>
              <w:t>）</w:t>
            </w:r>
          </w:p>
        </w:tc>
        <w:tc>
          <w:tcPr>
            <w:vMerge w:val="restart"/>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减值准备期末 余额</w:t>
            </w:r>
          </w:p>
        </w:tc>
      </w:tr>
      <w:tr>
        <w:trPr>
          <w:trHeight w:val="715" w:hRule="exact"/>
        </w:trPr>
        <w:tc>
          <w:tcPr>
            <w:vMerge/>
            <w:tcBorders>
              <w:left w:val="single" w:sz="4"/>
            </w:tcBorders>
            <w:shd w:val="clear" w:color="auto" w:fill="D7D7D7"/>
            <w:vAlign w:val="center"/>
          </w:tcPr>
          <w:p>
            <w:pPr/>
          </w:p>
        </w:tc>
        <w:tc>
          <w:tcPr>
            <w:vMerge/>
            <w:tcBorders>
              <w:left w:val="single" w:sz="4"/>
            </w:tcBorders>
            <w:shd w:val="clear" w:color="auto" w:fill="D7D7D7"/>
            <w:vAlign w:val="center"/>
          </w:tcPr>
          <w:p>
            <w:pP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追加投资</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减少投资</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firstLine="0"/>
              <w:jc w:val="center"/>
            </w:pPr>
            <w:r>
              <w:rPr>
                <w:color w:val="000000"/>
                <w:spacing w:val="0"/>
                <w:w w:val="100"/>
                <w:position w:val="0"/>
              </w:rPr>
              <w:t>计提减 值准备</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02" w:lineRule="exact"/>
              <w:ind w:left="0" w:right="0" w:firstLine="0"/>
              <w:jc w:val="left"/>
            </w:pPr>
            <w:r>
              <w:rPr>
                <w:color w:val="000000"/>
                <w:spacing w:val="0"/>
                <w:w w:val="100"/>
                <w:position w:val="0"/>
              </w:rPr>
              <w:t>其 他</w:t>
            </w:r>
          </w:p>
        </w:tc>
        <w:tc>
          <w:tcPr>
            <w:vMerge/>
            <w:tcBorders>
              <w:left w:val="single" w:sz="4"/>
            </w:tcBorders>
            <w:shd w:val="clear" w:color="auto" w:fill="D7D7D7"/>
            <w:vAlign w:val="center"/>
          </w:tcPr>
          <w:p>
            <w:pPr/>
          </w:p>
        </w:tc>
        <w:tc>
          <w:tcPr>
            <w:vMerge/>
            <w:tcBorders>
              <w:left w:val="single" w:sz="4"/>
              <w:right w:val="single" w:sz="4"/>
            </w:tcBorders>
            <w:shd w:val="clear" w:color="auto" w:fill="D7D7D7"/>
            <w:vAlign w:val="center"/>
          </w:tcPr>
          <w:p>
            <w:pP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北京新媒传信科技有限公司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both"/>
              <w:rPr>
                <w:sz w:val="18"/>
                <w:szCs w:val="18"/>
              </w:rPr>
            </w:pPr>
            <w:r>
              <w:rPr>
                <w:rFonts w:ascii="Times New Roman" w:eastAsia="Times New Roman" w:hAnsi="Times New Roman" w:cs="Times New Roman"/>
                <w:color w:val="000000"/>
                <w:spacing w:val="0"/>
                <w:w w:val="100"/>
                <w:position w:val="0"/>
                <w:sz w:val="18"/>
                <w:szCs w:val="18"/>
              </w:rPr>
              <w:t>12,348,720.16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both"/>
              <w:rPr>
                <w:sz w:val="18"/>
                <w:szCs w:val="18"/>
              </w:rPr>
            </w:pPr>
            <w:r>
              <w:rPr>
                <w:rFonts w:ascii="Times New Roman" w:eastAsia="Times New Roman" w:hAnsi="Times New Roman" w:cs="Times New Roman"/>
                <w:color w:val="000000"/>
                <w:spacing w:val="0"/>
                <w:w w:val="100"/>
                <w:position w:val="0"/>
                <w:sz w:val="18"/>
                <w:szCs w:val="18"/>
              </w:rPr>
              <w:t>12,348,720.16</w:t>
            </w: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北京神州泰岳信息安全技术有限公 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both"/>
              <w:rPr>
                <w:sz w:val="18"/>
                <w:szCs w:val="18"/>
              </w:rPr>
            </w:pPr>
            <w:r>
              <w:rPr>
                <w:rFonts w:ascii="Times New Roman" w:eastAsia="Times New Roman" w:hAnsi="Times New Roman" w:cs="Times New Roman"/>
                <w:color w:val="000000"/>
                <w:spacing w:val="0"/>
                <w:w w:val="100"/>
                <w:position w:val="0"/>
                <w:sz w:val="18"/>
                <w:szCs w:val="18"/>
              </w:rPr>
              <w:t>80,000,000.00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both"/>
              <w:rPr>
                <w:sz w:val="18"/>
                <w:szCs w:val="18"/>
              </w:rPr>
            </w:pPr>
            <w:r>
              <w:rPr>
                <w:rFonts w:ascii="Times New Roman" w:eastAsia="Times New Roman" w:hAnsi="Times New Roman" w:cs="Times New Roman"/>
                <w:color w:val="000000"/>
                <w:spacing w:val="0"/>
                <w:w w:val="100"/>
                <w:position w:val="0"/>
                <w:sz w:val="18"/>
                <w:szCs w:val="18"/>
              </w:rPr>
              <w:t>80,000,000.00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重庆新媒农信科技有限公司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both"/>
              <w:rPr>
                <w:sz w:val="18"/>
                <w:szCs w:val="18"/>
              </w:rPr>
            </w:pPr>
            <w:r>
              <w:rPr>
                <w:rFonts w:ascii="Times New Roman" w:eastAsia="Times New Roman" w:hAnsi="Times New Roman" w:cs="Times New Roman"/>
                <w:color w:val="000000"/>
                <w:spacing w:val="0"/>
                <w:w w:val="100"/>
                <w:position w:val="0"/>
                <w:sz w:val="18"/>
                <w:szCs w:val="18"/>
              </w:rPr>
              <w:t>103,300,000.00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both"/>
              <w:rPr>
                <w:sz w:val="18"/>
                <w:szCs w:val="18"/>
              </w:rPr>
            </w:pPr>
            <w:r>
              <w:rPr>
                <w:rFonts w:ascii="Times New Roman" w:eastAsia="Times New Roman" w:hAnsi="Times New Roman" w:cs="Times New Roman"/>
                <w:color w:val="000000"/>
                <w:spacing w:val="0"/>
                <w:w w:val="100"/>
                <w:position w:val="0"/>
                <w:sz w:val="18"/>
                <w:szCs w:val="18"/>
              </w:rPr>
              <w:t>103,300,000.00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北京互联时代通讯科技有限公司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6,977,459.86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6,977,459.86</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北京神州泰岳系统集成有限公司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both"/>
              <w:rPr>
                <w:sz w:val="18"/>
                <w:szCs w:val="18"/>
              </w:rPr>
            </w:pPr>
            <w:r>
              <w:rPr>
                <w:rFonts w:ascii="Times New Roman" w:eastAsia="Times New Roman" w:hAnsi="Times New Roman" w:cs="Times New Roman"/>
                <w:color w:val="000000"/>
                <w:spacing w:val="0"/>
                <w:w w:val="100"/>
                <w:position w:val="0"/>
                <w:sz w:val="18"/>
                <w:szCs w:val="18"/>
              </w:rPr>
              <w:t>92,400,000.00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both"/>
              <w:rPr>
                <w:sz w:val="18"/>
                <w:szCs w:val="18"/>
              </w:rPr>
            </w:pPr>
            <w:r>
              <w:rPr>
                <w:rFonts w:ascii="Times New Roman" w:eastAsia="Times New Roman" w:hAnsi="Times New Roman" w:cs="Times New Roman"/>
                <w:color w:val="000000"/>
                <w:spacing w:val="0"/>
                <w:w w:val="100"/>
                <w:position w:val="0"/>
                <w:sz w:val="18"/>
                <w:szCs w:val="18"/>
              </w:rPr>
              <w:t>92,400,000.00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6,600,000.00</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宁波普天通信技术有限公司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both"/>
              <w:rPr>
                <w:sz w:val="18"/>
                <w:szCs w:val="18"/>
              </w:rPr>
            </w:pPr>
            <w:r>
              <w:rPr>
                <w:rFonts w:ascii="Times New Roman" w:eastAsia="Times New Roman" w:hAnsi="Times New Roman" w:cs="Times New Roman"/>
                <w:color w:val="000000"/>
                <w:spacing w:val="0"/>
                <w:w w:val="100"/>
                <w:position w:val="0"/>
                <w:sz w:val="18"/>
                <w:szCs w:val="18"/>
              </w:rPr>
              <w:t>237,550,000.00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both"/>
              <w:rPr>
                <w:sz w:val="18"/>
                <w:szCs w:val="18"/>
              </w:rPr>
            </w:pPr>
            <w:r>
              <w:rPr>
                <w:rFonts w:ascii="Times New Roman" w:eastAsia="Times New Roman" w:hAnsi="Times New Roman" w:cs="Times New Roman"/>
                <w:color w:val="000000"/>
                <w:spacing w:val="0"/>
                <w:w w:val="100"/>
                <w:position w:val="0"/>
                <w:sz w:val="18"/>
                <w:szCs w:val="18"/>
              </w:rPr>
              <w:t>237,550,000.00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2,450,000.00</w:t>
            </w: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宁波普金通讯设备有限公司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both"/>
              <w:rPr>
                <w:sz w:val="18"/>
                <w:szCs w:val="18"/>
              </w:rPr>
            </w:pPr>
            <w:r>
              <w:rPr>
                <w:rFonts w:ascii="Times New Roman" w:eastAsia="Times New Roman" w:hAnsi="Times New Roman" w:cs="Times New Roman"/>
                <w:color w:val="000000"/>
                <w:spacing w:val="0"/>
                <w:w w:val="100"/>
                <w:position w:val="0"/>
                <w:sz w:val="18"/>
                <w:szCs w:val="18"/>
              </w:rPr>
              <w:t>15,800,065.45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both"/>
              <w:rPr>
                <w:sz w:val="18"/>
                <w:szCs w:val="18"/>
              </w:rPr>
            </w:pPr>
            <w:r>
              <w:rPr>
                <w:rFonts w:ascii="Times New Roman" w:eastAsia="Times New Roman" w:hAnsi="Times New Roman" w:cs="Times New Roman"/>
                <w:color w:val="000000"/>
                <w:spacing w:val="0"/>
                <w:w w:val="100"/>
                <w:position w:val="0"/>
                <w:sz w:val="18"/>
                <w:szCs w:val="18"/>
              </w:rPr>
              <w:t>15,800,065.45</w:t>
            </w: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奇点新源国际技术开发（北京）有 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both"/>
              <w:rPr>
                <w:sz w:val="18"/>
                <w:szCs w:val="18"/>
              </w:rPr>
            </w:pPr>
            <w:r>
              <w:rPr>
                <w:rFonts w:ascii="Times New Roman" w:eastAsia="Times New Roman" w:hAnsi="Times New Roman" w:cs="Times New Roman"/>
                <w:color w:val="000000"/>
                <w:spacing w:val="0"/>
                <w:w w:val="100"/>
                <w:position w:val="0"/>
                <w:sz w:val="18"/>
                <w:szCs w:val="18"/>
              </w:rPr>
              <w:t>54,677,727.06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both"/>
              <w:rPr>
                <w:sz w:val="18"/>
                <w:szCs w:val="18"/>
              </w:rPr>
            </w:pPr>
            <w:r>
              <w:rPr>
                <w:rFonts w:ascii="Times New Roman" w:eastAsia="Times New Roman" w:hAnsi="Times New Roman" w:cs="Times New Roman"/>
                <w:color w:val="000000"/>
                <w:spacing w:val="0"/>
                <w:w w:val="100"/>
                <w:position w:val="0"/>
                <w:sz w:val="18"/>
                <w:szCs w:val="18"/>
              </w:rPr>
              <w:t>54,677,727.06</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神州泰岳（香港）有限公司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66,567,197.54</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北京广通神州网络技术有限公司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both"/>
              <w:rPr>
                <w:sz w:val="18"/>
                <w:szCs w:val="18"/>
              </w:rPr>
            </w:pPr>
            <w:r>
              <w:rPr>
                <w:rFonts w:ascii="Times New Roman" w:eastAsia="Times New Roman" w:hAnsi="Times New Roman" w:cs="Times New Roman"/>
                <w:color w:val="000000"/>
                <w:spacing w:val="0"/>
                <w:w w:val="100"/>
                <w:position w:val="0"/>
                <w:sz w:val="18"/>
                <w:szCs w:val="18"/>
              </w:rPr>
              <w:t>43,062,400.00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both"/>
              <w:rPr>
                <w:sz w:val="18"/>
                <w:szCs w:val="18"/>
              </w:rPr>
            </w:pPr>
            <w:r>
              <w:rPr>
                <w:rFonts w:ascii="Times New Roman" w:eastAsia="Times New Roman" w:hAnsi="Times New Roman" w:cs="Times New Roman"/>
                <w:color w:val="000000"/>
                <w:spacing w:val="0"/>
                <w:w w:val="100"/>
                <w:position w:val="0"/>
                <w:sz w:val="18"/>
                <w:szCs w:val="18"/>
              </w:rPr>
              <w:t>43,062,400.00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11,937,600.00</w:t>
            </w:r>
          </w:p>
        </w:tc>
      </w:tr>
      <w:tr>
        <w:trPr>
          <w:trHeight w:val="71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北京神州泰岳智能数据技术有限公 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both"/>
              <w:rPr>
                <w:sz w:val="18"/>
                <w:szCs w:val="18"/>
              </w:rPr>
            </w:pPr>
            <w:r>
              <w:rPr>
                <w:rFonts w:ascii="Times New Roman" w:eastAsia="Times New Roman" w:hAnsi="Times New Roman" w:cs="Times New Roman"/>
                <w:color w:val="000000"/>
                <w:spacing w:val="0"/>
                <w:w w:val="100"/>
                <w:position w:val="0"/>
                <w:sz w:val="18"/>
                <w:szCs w:val="18"/>
              </w:rPr>
              <w:t>59,375,000.00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12,820,16</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3.98</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72,195,16</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3.98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天津壳木软件有限责任公司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1,169,384,000.00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1,169,384,000.00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40,716,000.00</w:t>
            </w: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天津泰岳小漫科技有限公司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7,650,000.00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7,650,000.00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北京神州祥升软件有限公司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40"/>
              <w:jc w:val="both"/>
              <w:rPr>
                <w:sz w:val="18"/>
                <w:szCs w:val="18"/>
              </w:rPr>
            </w:pPr>
            <w:r>
              <w:rPr>
                <w:rFonts w:ascii="Times New Roman" w:eastAsia="Times New Roman" w:hAnsi="Times New Roman" w:cs="Times New Roman"/>
                <w:color w:val="000000"/>
                <w:spacing w:val="0"/>
                <w:w w:val="100"/>
                <w:position w:val="0"/>
                <w:sz w:val="18"/>
                <w:szCs w:val="18"/>
              </w:rPr>
              <w:t>32,453,024.93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both"/>
              <w:rPr>
                <w:sz w:val="18"/>
                <w:szCs w:val="18"/>
              </w:rPr>
            </w:pPr>
            <w:r>
              <w:rPr>
                <w:rFonts w:ascii="Times New Roman" w:eastAsia="Times New Roman" w:hAnsi="Times New Roman" w:cs="Times New Roman"/>
                <w:color w:val="000000"/>
                <w:spacing w:val="0"/>
                <w:w w:val="100"/>
                <w:position w:val="0"/>
                <w:sz w:val="18"/>
                <w:szCs w:val="18"/>
              </w:rPr>
              <w:t>32,453,024.93</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北京融聚世界网络科技有限公司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7,500,000.00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7,500,000.00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北京华泰德丰技术有限公司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5,241,213.74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5,241,213.74</w:t>
            </w: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深圳市前海泰岳梧桐投资基金管理 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580"/>
              <w:jc w:val="both"/>
              <w:rPr>
                <w:sz w:val="18"/>
                <w:szCs w:val="18"/>
              </w:rPr>
            </w:pPr>
            <w:r>
              <w:rPr>
                <w:rFonts w:ascii="Times New Roman" w:eastAsia="Times New Roman" w:hAnsi="Times New Roman" w:cs="Times New Roman"/>
                <w:color w:val="000000"/>
                <w:spacing w:val="0"/>
                <w:w w:val="100"/>
                <w:position w:val="0"/>
                <w:sz w:val="18"/>
                <w:szCs w:val="18"/>
              </w:rPr>
              <w:t>986,757.89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986,757.89</w:t>
            </w: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鼎富智能科技有限公司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both"/>
              <w:rPr>
                <w:sz w:val="18"/>
                <w:szCs w:val="18"/>
              </w:rPr>
            </w:pPr>
            <w:r>
              <w:rPr>
                <w:rFonts w:ascii="Times New Roman" w:eastAsia="Times New Roman" w:hAnsi="Times New Roman" w:cs="Times New Roman"/>
                <w:color w:val="000000"/>
                <w:spacing w:val="0"/>
                <w:w w:val="100"/>
                <w:position w:val="0"/>
                <w:sz w:val="18"/>
                <w:szCs w:val="18"/>
              </w:rPr>
              <w:t>732,000,000.00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40,000,00</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both"/>
              <w:rPr>
                <w:sz w:val="18"/>
                <w:szCs w:val="18"/>
              </w:rPr>
            </w:pPr>
            <w:r>
              <w:rPr>
                <w:rFonts w:ascii="Times New Roman" w:eastAsia="Times New Roman" w:hAnsi="Times New Roman" w:cs="Times New Roman"/>
                <w:color w:val="000000"/>
                <w:spacing w:val="0"/>
                <w:w w:val="100"/>
                <w:position w:val="0"/>
                <w:sz w:val="18"/>
                <w:szCs w:val="18"/>
              </w:rPr>
              <w:t>772,000,000.00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北京泰岳阳光科技有限公司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both"/>
              <w:rPr>
                <w:sz w:val="18"/>
                <w:szCs w:val="18"/>
              </w:rPr>
            </w:pPr>
            <w:r>
              <w:rPr>
                <w:rFonts w:ascii="Times New Roman" w:eastAsia="Times New Roman" w:hAnsi="Times New Roman" w:cs="Times New Roman"/>
                <w:color w:val="000000"/>
                <w:spacing w:val="0"/>
                <w:w w:val="100"/>
                <w:position w:val="0"/>
                <w:sz w:val="18"/>
                <w:szCs w:val="18"/>
              </w:rPr>
              <w:t>390,420,000.00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260"/>
              <w:jc w:val="both"/>
              <w:rPr>
                <w:sz w:val="18"/>
                <w:szCs w:val="18"/>
              </w:rPr>
            </w:pPr>
            <w:r>
              <w:rPr>
                <w:rFonts w:ascii="Times New Roman" w:eastAsia="Times New Roman" w:hAnsi="Times New Roman" w:cs="Times New Roman"/>
                <w:color w:val="000000"/>
                <w:spacing w:val="0"/>
                <w:w w:val="100"/>
                <w:position w:val="0"/>
                <w:sz w:val="18"/>
                <w:szCs w:val="18"/>
              </w:rPr>
              <w:t>390,420,000.00</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北京泰岳睿安科技有限公司</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5,900,000.00</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2,850,000.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8,750,000.00</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2842"/>
        <w:gridCol w:w="1416"/>
        <w:gridCol w:w="850"/>
        <w:gridCol w:w="850"/>
        <w:gridCol w:w="710"/>
        <w:gridCol w:w="283"/>
        <w:gridCol w:w="1421"/>
        <w:gridCol w:w="1214"/>
      </w:tblGrid>
      <w:tr>
        <w:trPr>
          <w:trHeight w:val="437"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北京慧联神州科技有限公司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7,500,000.00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2,500,000.</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10,000,000.00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北京神州智核信息技术有限公司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6,900,000.00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3,100,000.</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10,000,000.00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北京神州泰核物联网技术有限公司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2,400,000.00</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2,350,001.</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4,750,001.00</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北京泰岳宏光科技发展有限公司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8,250,000.00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8,250,000.00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西藏神州泰岳智能科技有限公司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1,000,000.00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1,000,000.00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725"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3,083,076,369.09</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63,620,16</w:t>
            </w:r>
          </w:p>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4.98</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72,195,16</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3.98</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3,074,501,370.09</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128,270,797.54</w:t>
            </w:r>
          </w:p>
        </w:tc>
      </w:tr>
    </w:tbl>
    <w:p>
      <w:pPr>
        <w:widowControl w:val="0"/>
        <w:spacing w:after="319" w:line="1" w:lineRule="exact"/>
      </w:pPr>
    </w:p>
    <w:p>
      <w:pPr>
        <w:pStyle w:val="Style58"/>
        <w:keepNext/>
        <w:keepLines/>
        <w:widowControl w:val="0"/>
        <w:shd w:val="clear" w:color="auto" w:fill="auto"/>
        <w:bidi w:val="0"/>
        <w:spacing w:before="0" w:after="400" w:line="240" w:lineRule="auto"/>
        <w:ind w:left="0" w:right="0" w:firstLine="0"/>
        <w:jc w:val="left"/>
        <w:rPr>
          <w:sz w:val="20"/>
          <w:szCs w:val="20"/>
        </w:rPr>
      </w:pPr>
      <w:bookmarkStart w:id="2284" w:name="bookmark2284"/>
      <w:bookmarkStart w:id="2285" w:name="bookmark2285"/>
      <w:bookmarkStart w:id="2286" w:name="bookmark2286"/>
      <w:r>
        <w:rPr>
          <w:b/>
          <w:bCs/>
          <w:color w:val="000000"/>
          <w:spacing w:val="0"/>
          <w:w w:val="100"/>
          <w:position w:val="0"/>
          <w:sz w:val="20"/>
          <w:szCs w:val="20"/>
        </w:rPr>
        <w:t>（2）对联营、合营企业投资</w:t>
      </w:r>
      <w:bookmarkEnd w:id="2284"/>
      <w:bookmarkEnd w:id="2285"/>
      <w:bookmarkEnd w:id="2286"/>
    </w:p>
    <w:p>
      <w:pPr>
        <w:pStyle w:val="Style41"/>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1138"/>
        <w:gridCol w:w="854"/>
        <w:gridCol w:w="850"/>
        <w:gridCol w:w="566"/>
        <w:gridCol w:w="850"/>
        <w:gridCol w:w="850"/>
        <w:gridCol w:w="710"/>
        <w:gridCol w:w="850"/>
        <w:gridCol w:w="710"/>
        <w:gridCol w:w="605"/>
        <w:gridCol w:w="797"/>
        <w:gridCol w:w="806"/>
      </w:tblGrid>
      <w:tr>
        <w:trPr>
          <w:trHeight w:val="403" w:hRule="exact"/>
        </w:trPr>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200"/>
              <w:jc w:val="left"/>
            </w:pPr>
            <w:r>
              <w:rPr>
                <w:color w:val="000000"/>
                <w:spacing w:val="0"/>
                <w:w w:val="100"/>
                <w:position w:val="0"/>
              </w:rPr>
              <w:t>投资单位</w:t>
            </w:r>
          </w:p>
        </w:tc>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26" w:lineRule="exact"/>
              <w:ind w:left="0" w:right="0" w:firstLine="0"/>
              <w:jc w:val="left"/>
            </w:pPr>
            <w:r>
              <w:rPr>
                <w:color w:val="000000"/>
                <w:spacing w:val="0"/>
                <w:w w:val="100"/>
                <w:position w:val="0"/>
              </w:rPr>
              <w:t>期初余额</w:t>
            </w:r>
          </w:p>
          <w:p>
            <w:pPr>
              <w:pStyle w:val="Style2"/>
              <w:keepNext w:val="0"/>
              <w:keepLines w:val="0"/>
              <w:widowControl w:val="0"/>
              <w:shd w:val="clear" w:color="auto" w:fill="auto"/>
              <w:bidi w:val="0"/>
              <w:spacing w:before="0" w:after="0" w:line="326" w:lineRule="exact"/>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7"/>
                <w:szCs w:val="17"/>
              </w:rPr>
              <w:t>账面价 值</w:t>
            </w:r>
            <w:r>
              <w:rPr>
                <w:color w:val="000000"/>
                <w:spacing w:val="0"/>
                <w:w w:val="100"/>
                <w:position w:val="0"/>
                <w:sz w:val="18"/>
                <w:szCs w:val="18"/>
              </w:rPr>
              <w:t>）</w:t>
            </w:r>
          </w:p>
        </w:tc>
        <w:tc>
          <w:tcPr>
            <w:gridSpan w:val="8"/>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本期增减变动</w:t>
            </w:r>
          </w:p>
        </w:tc>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26" w:lineRule="exact"/>
              <w:ind w:left="0" w:right="0" w:firstLine="0"/>
              <w:jc w:val="both"/>
            </w:pPr>
            <w:r>
              <w:rPr>
                <w:color w:val="000000"/>
                <w:spacing w:val="0"/>
                <w:w w:val="100"/>
                <w:position w:val="0"/>
              </w:rPr>
              <w:t>期末余额</w:t>
            </w:r>
          </w:p>
          <w:p>
            <w:pPr>
              <w:pStyle w:val="Style2"/>
              <w:keepNext w:val="0"/>
              <w:keepLines w:val="0"/>
              <w:widowControl w:val="0"/>
              <w:shd w:val="clear" w:color="auto" w:fill="auto"/>
              <w:bidi w:val="0"/>
              <w:spacing w:before="0" w:after="0" w:line="326" w:lineRule="exact"/>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7"/>
                <w:szCs w:val="17"/>
              </w:rPr>
              <w:t>账面价 值</w:t>
            </w:r>
            <w:r>
              <w:rPr>
                <w:color w:val="000000"/>
                <w:spacing w:val="0"/>
                <w:w w:val="100"/>
                <w:position w:val="0"/>
                <w:sz w:val="18"/>
                <w:szCs w:val="18"/>
              </w:rPr>
              <w:t>）</w:t>
            </w:r>
          </w:p>
        </w:tc>
        <w:tc>
          <w:tcPr>
            <w:vMerge w:val="restart"/>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120" w:line="240" w:lineRule="auto"/>
              <w:ind w:left="0" w:right="0" w:firstLine="0"/>
              <w:jc w:val="right"/>
            </w:pPr>
            <w:r>
              <w:rPr>
                <w:color w:val="000000"/>
                <w:spacing w:val="0"/>
                <w:w w:val="100"/>
                <w:position w:val="0"/>
              </w:rPr>
              <w:t>减值准备</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期末余额</w:t>
            </w:r>
          </w:p>
        </w:tc>
      </w:tr>
      <w:tr>
        <w:trPr>
          <w:trHeight w:val="1027" w:hRule="exact"/>
        </w:trPr>
        <w:tc>
          <w:tcPr>
            <w:vMerge/>
            <w:tcBorders>
              <w:left w:val="single" w:sz="4"/>
            </w:tcBorders>
            <w:shd w:val="clear" w:color="auto" w:fill="D7D7D7"/>
            <w:vAlign w:val="center"/>
          </w:tcPr>
          <w:p>
            <w:pPr/>
          </w:p>
        </w:tc>
        <w:tc>
          <w:tcPr>
            <w:vMerge/>
            <w:tcBorders>
              <w:left w:val="single" w:sz="4"/>
            </w:tcBorders>
            <w:shd w:val="clear" w:color="auto" w:fill="D7D7D7"/>
            <w:vAlign w:val="center"/>
          </w:tcPr>
          <w:p>
            <w:pP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追加投资</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120" w:line="240" w:lineRule="auto"/>
              <w:ind w:left="0" w:right="0" w:firstLine="0"/>
              <w:jc w:val="left"/>
            </w:pPr>
            <w:r>
              <w:rPr>
                <w:color w:val="000000"/>
                <w:spacing w:val="0"/>
                <w:w w:val="100"/>
                <w:position w:val="0"/>
              </w:rPr>
              <w:t>减少</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投资</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9" w:lineRule="exact"/>
              <w:ind w:left="0" w:right="0" w:firstLine="0"/>
              <w:jc w:val="center"/>
            </w:pPr>
            <w:r>
              <w:rPr>
                <w:color w:val="000000"/>
                <w:spacing w:val="0"/>
                <w:w w:val="100"/>
                <w:position w:val="0"/>
              </w:rPr>
              <w:t>权益法下 确认的投 资损益</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其他综合 收益调整</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其他权 益变动</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24" w:lineRule="exact"/>
              <w:ind w:left="0" w:right="0" w:firstLine="0"/>
              <w:jc w:val="center"/>
            </w:pPr>
            <w:r>
              <w:rPr>
                <w:color w:val="000000"/>
                <w:spacing w:val="0"/>
                <w:w w:val="100"/>
                <w:position w:val="0"/>
              </w:rPr>
              <w:t>宣告发放 现金股利 或利润</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firstLine="0"/>
              <w:jc w:val="center"/>
            </w:pPr>
            <w:r>
              <w:rPr>
                <w:color w:val="000000"/>
                <w:spacing w:val="0"/>
                <w:w w:val="100"/>
                <w:position w:val="0"/>
              </w:rPr>
              <w:t>计提减 值准备</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vMerge/>
            <w:tcBorders>
              <w:left w:val="single" w:sz="4"/>
            </w:tcBorders>
            <w:shd w:val="clear" w:color="auto" w:fill="D7D7D7"/>
            <w:vAlign w:val="center"/>
          </w:tcPr>
          <w:p>
            <w:pPr/>
          </w:p>
        </w:tc>
        <w:tc>
          <w:tcPr>
            <w:vMerge/>
            <w:tcBorders>
              <w:left w:val="single" w:sz="4"/>
              <w:right w:val="single" w:sz="4"/>
            </w:tcBorders>
            <w:shd w:val="clear" w:color="auto" w:fill="D7D7D7"/>
            <w:vAlign w:val="center"/>
          </w:tcPr>
          <w:p>
            <w:pPr/>
          </w:p>
        </w:tc>
      </w:tr>
      <w:tr>
        <w:trPr>
          <w:trHeight w:val="403" w:hRule="exact"/>
        </w:trPr>
        <w:tc>
          <w:tcPr>
            <w:gridSpan w:val="12"/>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一、合营企业</w:t>
            </w:r>
          </w:p>
        </w:tc>
      </w:tr>
      <w:tr>
        <w:trPr>
          <w:trHeight w:val="403" w:hRule="exact"/>
        </w:trPr>
        <w:tc>
          <w:tcPr>
            <w:gridSpan w:val="12"/>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二、联营企业</w:t>
            </w:r>
          </w:p>
        </w:tc>
      </w:tr>
      <w:tr>
        <w:trPr>
          <w:trHeight w:val="10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宁波泰岳梧 桐投资管理 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80,828.39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-80,828.39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339"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both"/>
            </w:pPr>
            <w:r>
              <w:rPr>
                <w:color w:val="000000"/>
                <w:spacing w:val="0"/>
                <w:w w:val="100"/>
                <w:position w:val="0"/>
              </w:rPr>
              <w:t>北京神州泰 岳良品电子 商务有限公 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44,050,47</w:t>
            </w:r>
          </w:p>
          <w:p>
            <w:pPr>
              <w:pStyle w:val="Style2"/>
              <w:keepNext w:val="0"/>
              <w:keepLines w:val="0"/>
              <w:widowControl w:val="0"/>
              <w:shd w:val="clear" w:color="auto" w:fill="auto"/>
              <w:bidi w:val="0"/>
              <w:spacing w:before="0" w:after="0" w:line="240" w:lineRule="auto"/>
              <w:ind w:left="0" w:right="0" w:firstLine="500"/>
              <w:jc w:val="both"/>
              <w:rPr>
                <w:sz w:val="18"/>
                <w:szCs w:val="18"/>
              </w:rPr>
            </w:pPr>
            <w:r>
              <w:rPr>
                <w:rFonts w:ascii="Times New Roman" w:eastAsia="Times New Roman" w:hAnsi="Times New Roman" w:cs="Times New Roman"/>
                <w:color w:val="000000"/>
                <w:spacing w:val="0"/>
                <w:w w:val="100"/>
                <w:position w:val="0"/>
                <w:sz w:val="18"/>
                <w:szCs w:val="18"/>
              </w:rPr>
              <w:t>1.43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-1,975,099</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42,075,37</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1.83</w:t>
            </w: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both"/>
            </w:pPr>
            <w:r>
              <w:rPr>
                <w:color w:val="000000"/>
                <w:spacing w:val="0"/>
                <w:w w:val="100"/>
                <w:position w:val="0"/>
              </w:rPr>
              <w:t>北京神州泰 岳教育科技 有限公司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蓝鸥科技有 限公司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61,532,11</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1.30</w:t>
            </w:r>
          </w:p>
        </w:tc>
      </w:tr>
      <w:tr>
        <w:trPr>
          <w:trHeight w:val="1022"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珠海神州泰 岳投资管理 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754,630.6</w:t>
            </w:r>
          </w:p>
          <w:p>
            <w:pPr>
              <w:pStyle w:val="Style2"/>
              <w:keepNext w:val="0"/>
              <w:keepLines w:val="0"/>
              <w:widowControl w:val="0"/>
              <w:shd w:val="clear" w:color="auto" w:fill="auto"/>
              <w:bidi w:val="0"/>
              <w:spacing w:before="0" w:after="0" w:line="240" w:lineRule="auto"/>
              <w:ind w:left="0" w:right="0" w:firstLine="720"/>
              <w:jc w:val="lef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-396,646.4</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357,984.1</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w:t>
            </w:r>
          </w:p>
        </w:tc>
        <w:tc>
          <w:tcPr>
            <w:tcBorders>
              <w:top w:val="single" w:sz="4"/>
              <w:left w:val="single" w:sz="4"/>
              <w:right w:val="single" w:sz="4"/>
            </w:tcBorders>
            <w:shd w:val="clear" w:color="auto" w:fill="FFFFFF"/>
            <w:vAlign w:val="top"/>
          </w:tcPr>
          <w:p>
            <w:pPr>
              <w:widowControl w:val="0"/>
              <w:rPr>
                <w:sz w:val="10"/>
                <w:szCs w:val="10"/>
              </w:rPr>
            </w:pPr>
          </w:p>
        </w:tc>
      </w:tr>
      <w:tr>
        <w:trPr>
          <w:trHeight w:val="1037"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317" w:lineRule="exact"/>
              <w:ind w:left="0" w:right="0" w:firstLine="0"/>
              <w:jc w:val="both"/>
            </w:pPr>
            <w:r>
              <w:rPr>
                <w:color w:val="000000"/>
                <w:spacing w:val="0"/>
                <w:w w:val="100"/>
                <w:position w:val="0"/>
              </w:rPr>
              <w:t>珠海泰岳梧 桐投资管理 有限公司</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737,459.1</w:t>
            </w:r>
          </w:p>
          <w:p>
            <w:pPr>
              <w:pStyle w:val="Style2"/>
              <w:keepNext w:val="0"/>
              <w:keepLines w:val="0"/>
              <w:widowControl w:val="0"/>
              <w:shd w:val="clear" w:color="auto" w:fill="auto"/>
              <w:bidi w:val="0"/>
              <w:spacing w:before="0" w:after="0" w:line="240" w:lineRule="auto"/>
              <w:ind w:left="0" w:right="0" w:firstLine="720"/>
              <w:jc w:val="left"/>
              <w:rPr>
                <w:sz w:val="18"/>
                <w:szCs w:val="18"/>
              </w:rPr>
            </w:pPr>
            <w:r>
              <w:rPr>
                <w:rFonts w:ascii="Times New Roman" w:eastAsia="Times New Roman" w:hAnsi="Times New Roman" w:cs="Times New Roman"/>
                <w:color w:val="000000"/>
                <w:spacing w:val="0"/>
                <w:w w:val="100"/>
                <w:position w:val="0"/>
                <w:sz w:val="18"/>
                <w:szCs w:val="18"/>
              </w:rPr>
              <w:t>5</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-278,108.2</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459,350.8</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1138"/>
        <w:gridCol w:w="854"/>
        <w:gridCol w:w="850"/>
        <w:gridCol w:w="566"/>
        <w:gridCol w:w="850"/>
        <w:gridCol w:w="850"/>
        <w:gridCol w:w="710"/>
        <w:gridCol w:w="850"/>
        <w:gridCol w:w="710"/>
        <w:gridCol w:w="605"/>
        <w:gridCol w:w="797"/>
        <w:gridCol w:w="806"/>
      </w:tblGrid>
      <w:tr>
        <w:trPr>
          <w:trHeight w:val="720"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中建智能技 术有限公司</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24,041,89</w:t>
            </w:r>
          </w:p>
          <w:p>
            <w:pPr>
              <w:pStyle w:val="Style2"/>
              <w:keepNext w:val="0"/>
              <w:keepLines w:val="0"/>
              <w:widowControl w:val="0"/>
              <w:shd w:val="clear" w:color="auto" w:fill="auto"/>
              <w:bidi w:val="0"/>
              <w:spacing w:before="0" w:after="0" w:line="240" w:lineRule="auto"/>
              <w:ind w:left="0" w:right="0" w:firstLine="500"/>
              <w:jc w:val="left"/>
              <w:rPr>
                <w:sz w:val="18"/>
                <w:szCs w:val="18"/>
              </w:rPr>
            </w:pPr>
            <w:r>
              <w:rPr>
                <w:rFonts w:ascii="Times New Roman" w:eastAsia="Times New Roman" w:hAnsi="Times New Roman" w:cs="Times New Roman"/>
                <w:color w:val="000000"/>
                <w:spacing w:val="0"/>
                <w:w w:val="100"/>
                <w:position w:val="0"/>
                <w:sz w:val="18"/>
                <w:szCs w:val="18"/>
              </w:rPr>
              <w:t>0.66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2,348,978.</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26,390,86</w:t>
            </w:r>
          </w:p>
          <w:p>
            <w:pPr>
              <w:pStyle w:val="Style2"/>
              <w:keepNext w:val="0"/>
              <w:keepLines w:val="0"/>
              <w:widowControl w:val="0"/>
              <w:shd w:val="clear" w:color="auto" w:fill="auto"/>
              <w:bidi w:val="0"/>
              <w:spacing w:before="0" w:after="0" w:line="240" w:lineRule="auto"/>
              <w:ind w:left="0" w:right="0" w:firstLine="460"/>
              <w:jc w:val="both"/>
              <w:rPr>
                <w:sz w:val="18"/>
                <w:szCs w:val="18"/>
              </w:rPr>
            </w:pPr>
            <w:r>
              <w:rPr>
                <w:rFonts w:ascii="Times New Roman" w:eastAsia="Times New Roman" w:hAnsi="Times New Roman" w:cs="Times New Roman"/>
                <w:color w:val="000000"/>
                <w:spacing w:val="0"/>
                <w:w w:val="100"/>
                <w:position w:val="0"/>
                <w:sz w:val="18"/>
                <w:szCs w:val="18"/>
              </w:rPr>
              <w:t>9.07</w:t>
            </w:r>
          </w:p>
        </w:tc>
        <w:tc>
          <w:tcPr>
            <w:tcBorders>
              <w:top w:val="single" w:sz="4"/>
              <w:left w:val="single" w:sz="4"/>
              <w:right w:val="single" w:sz="4"/>
            </w:tcBorders>
            <w:shd w:val="clear" w:color="auto" w:fill="FFFFFF"/>
            <w:vAlign w:val="top"/>
          </w:tcPr>
          <w:p>
            <w:pPr>
              <w:widowControl w:val="0"/>
              <w:rPr>
                <w:sz w:val="10"/>
                <w:szCs w:val="10"/>
              </w:rPr>
            </w:pPr>
          </w:p>
        </w:tc>
      </w:tr>
      <w:tr>
        <w:trPr>
          <w:trHeight w:val="133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北京神州泰 岳智能数据 技术有限公 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72,195,16</w:t>
            </w:r>
          </w:p>
          <w:p>
            <w:pPr>
              <w:pStyle w:val="Style2"/>
              <w:keepNext w:val="0"/>
              <w:keepLines w:val="0"/>
              <w:widowControl w:val="0"/>
              <w:shd w:val="clear" w:color="auto" w:fill="auto"/>
              <w:bidi w:val="0"/>
              <w:spacing w:before="0" w:after="0" w:line="240" w:lineRule="auto"/>
              <w:ind w:left="0" w:right="0" w:firstLine="500"/>
              <w:jc w:val="left"/>
              <w:rPr>
                <w:sz w:val="18"/>
                <w:szCs w:val="18"/>
              </w:rPr>
            </w:pPr>
            <w:r>
              <w:rPr>
                <w:rFonts w:ascii="Times New Roman" w:eastAsia="Times New Roman" w:hAnsi="Times New Roman" w:cs="Times New Roman"/>
                <w:color w:val="000000"/>
                <w:spacing w:val="0"/>
                <w:w w:val="100"/>
                <w:position w:val="0"/>
                <w:sz w:val="18"/>
                <w:szCs w:val="18"/>
              </w:rPr>
              <w:t>3.98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-45,390,84</w:t>
            </w:r>
          </w:p>
          <w:p>
            <w:pPr>
              <w:pStyle w:val="Style2"/>
              <w:keepNext w:val="0"/>
              <w:keepLines w:val="0"/>
              <w:widowControl w:val="0"/>
              <w:shd w:val="clear" w:color="auto" w:fill="auto"/>
              <w:bidi w:val="0"/>
              <w:spacing w:before="0" w:after="0" w:line="240" w:lineRule="auto"/>
              <w:ind w:left="0" w:right="0" w:firstLine="500"/>
              <w:jc w:val="left"/>
              <w:rPr>
                <w:sz w:val="18"/>
                <w:szCs w:val="18"/>
              </w:rPr>
            </w:pPr>
            <w:r>
              <w:rPr>
                <w:rFonts w:ascii="Times New Roman" w:eastAsia="Times New Roman" w:hAnsi="Times New Roman" w:cs="Times New Roman"/>
                <w:color w:val="000000"/>
                <w:spacing w:val="0"/>
                <w:w w:val="100"/>
                <w:position w:val="0"/>
                <w:sz w:val="18"/>
                <w:szCs w:val="18"/>
              </w:rPr>
              <w:t>6.09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26,804,31</w:t>
            </w:r>
          </w:p>
          <w:p>
            <w:pPr>
              <w:pStyle w:val="Style2"/>
              <w:keepNext w:val="0"/>
              <w:keepLines w:val="0"/>
              <w:widowControl w:val="0"/>
              <w:shd w:val="clear" w:color="auto" w:fill="auto"/>
              <w:bidi w:val="0"/>
              <w:spacing w:before="0" w:after="0" w:line="240" w:lineRule="auto"/>
              <w:ind w:left="0" w:right="0" w:firstLine="460"/>
              <w:jc w:val="both"/>
              <w:rPr>
                <w:sz w:val="18"/>
                <w:szCs w:val="18"/>
              </w:rPr>
            </w:pPr>
            <w:r>
              <w:rPr>
                <w:rFonts w:ascii="Times New Roman" w:eastAsia="Times New Roman" w:hAnsi="Times New Roman" w:cs="Times New Roman"/>
                <w:color w:val="000000"/>
                <w:spacing w:val="0"/>
                <w:w w:val="100"/>
                <w:position w:val="0"/>
                <w:sz w:val="18"/>
                <w:szCs w:val="18"/>
              </w:rPr>
              <w:t>7.89</w:t>
            </w: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小计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69,665,28</w:t>
            </w:r>
          </w:p>
          <w:p>
            <w:pPr>
              <w:pStyle w:val="Style2"/>
              <w:keepNext w:val="0"/>
              <w:keepLines w:val="0"/>
              <w:widowControl w:val="0"/>
              <w:shd w:val="clear" w:color="auto" w:fill="auto"/>
              <w:bidi w:val="0"/>
              <w:spacing w:before="0" w:after="0" w:line="240" w:lineRule="auto"/>
              <w:ind w:left="0" w:right="0" w:firstLine="500"/>
              <w:jc w:val="left"/>
              <w:rPr>
                <w:sz w:val="18"/>
                <w:szCs w:val="18"/>
              </w:rPr>
            </w:pPr>
            <w:r>
              <w:rPr>
                <w:rFonts w:ascii="Times New Roman" w:eastAsia="Times New Roman" w:hAnsi="Times New Roman" w:cs="Times New Roman"/>
                <w:color w:val="000000"/>
                <w:spacing w:val="0"/>
                <w:w w:val="100"/>
                <w:position w:val="0"/>
                <w:sz w:val="18"/>
                <w:szCs w:val="18"/>
              </w:rPr>
              <w:t>0.23</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72,195,16</w:t>
            </w:r>
          </w:p>
          <w:p>
            <w:pPr>
              <w:pStyle w:val="Style2"/>
              <w:keepNext w:val="0"/>
              <w:keepLines w:val="0"/>
              <w:widowControl w:val="0"/>
              <w:shd w:val="clear" w:color="auto" w:fill="auto"/>
              <w:bidi w:val="0"/>
              <w:spacing w:before="0" w:after="0" w:line="240" w:lineRule="auto"/>
              <w:ind w:left="0" w:right="0" w:firstLine="500"/>
              <w:jc w:val="left"/>
              <w:rPr>
                <w:sz w:val="18"/>
                <w:szCs w:val="18"/>
              </w:rPr>
            </w:pPr>
            <w:r>
              <w:rPr>
                <w:rFonts w:ascii="Times New Roman" w:eastAsia="Times New Roman" w:hAnsi="Times New Roman" w:cs="Times New Roman"/>
                <w:color w:val="000000"/>
                <w:spacing w:val="0"/>
                <w:w w:val="100"/>
                <w:position w:val="0"/>
                <w:sz w:val="18"/>
                <w:szCs w:val="18"/>
              </w:rPr>
              <w:t>3.98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-45,772,55</w:t>
            </w:r>
          </w:p>
          <w:p>
            <w:pPr>
              <w:pStyle w:val="Style2"/>
              <w:keepNext w:val="0"/>
              <w:keepLines w:val="0"/>
              <w:widowControl w:val="0"/>
              <w:shd w:val="clear" w:color="auto" w:fill="auto"/>
              <w:bidi w:val="0"/>
              <w:spacing w:before="0" w:after="0" w:line="240" w:lineRule="auto"/>
              <w:ind w:left="0" w:right="0" w:firstLine="500"/>
              <w:jc w:val="left"/>
              <w:rPr>
                <w:sz w:val="18"/>
                <w:szCs w:val="18"/>
              </w:rPr>
            </w:pPr>
            <w:r>
              <w:rPr>
                <w:rFonts w:ascii="Times New Roman" w:eastAsia="Times New Roman" w:hAnsi="Times New Roman" w:cs="Times New Roman"/>
                <w:color w:val="000000"/>
                <w:spacing w:val="0"/>
                <w:w w:val="100"/>
                <w:position w:val="0"/>
                <w:sz w:val="18"/>
                <w:szCs w:val="18"/>
              </w:rPr>
              <w:t>0.37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96,087,89</w:t>
            </w:r>
          </w:p>
          <w:p>
            <w:pPr>
              <w:pStyle w:val="Style2"/>
              <w:keepNext w:val="0"/>
              <w:keepLines w:val="0"/>
              <w:widowControl w:val="0"/>
              <w:shd w:val="clear" w:color="auto" w:fill="auto"/>
              <w:bidi w:val="0"/>
              <w:spacing w:before="0" w:after="0" w:line="240" w:lineRule="auto"/>
              <w:ind w:left="0" w:right="0" w:firstLine="460"/>
              <w:jc w:val="both"/>
              <w:rPr>
                <w:sz w:val="18"/>
                <w:szCs w:val="18"/>
              </w:rPr>
            </w:pPr>
            <w:r>
              <w:rPr>
                <w:rFonts w:ascii="Times New Roman" w:eastAsia="Times New Roman" w:hAnsi="Times New Roman" w:cs="Times New Roman"/>
                <w:color w:val="000000"/>
                <w:spacing w:val="0"/>
                <w:w w:val="100"/>
                <w:position w:val="0"/>
                <w:sz w:val="18"/>
                <w:szCs w:val="18"/>
              </w:rPr>
              <w:t>3.84</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61,532,11</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1.30</w:t>
            </w:r>
          </w:p>
        </w:tc>
      </w:tr>
      <w:tr>
        <w:trPr>
          <w:trHeight w:val="725"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69,665,28</w:t>
            </w:r>
          </w:p>
          <w:p>
            <w:pPr>
              <w:pStyle w:val="Style2"/>
              <w:keepNext w:val="0"/>
              <w:keepLines w:val="0"/>
              <w:widowControl w:val="0"/>
              <w:shd w:val="clear" w:color="auto" w:fill="auto"/>
              <w:bidi w:val="0"/>
              <w:spacing w:before="0" w:after="0" w:line="240" w:lineRule="auto"/>
              <w:ind w:left="0" w:right="0" w:firstLine="500"/>
              <w:jc w:val="left"/>
              <w:rPr>
                <w:sz w:val="18"/>
                <w:szCs w:val="18"/>
              </w:rPr>
            </w:pPr>
            <w:r>
              <w:rPr>
                <w:rFonts w:ascii="Times New Roman" w:eastAsia="Times New Roman" w:hAnsi="Times New Roman" w:cs="Times New Roman"/>
                <w:color w:val="000000"/>
                <w:spacing w:val="0"/>
                <w:w w:val="100"/>
                <w:position w:val="0"/>
                <w:sz w:val="18"/>
                <w:szCs w:val="18"/>
              </w:rPr>
              <w:t>0.23</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72,195,16</w:t>
            </w:r>
          </w:p>
          <w:p>
            <w:pPr>
              <w:pStyle w:val="Style2"/>
              <w:keepNext w:val="0"/>
              <w:keepLines w:val="0"/>
              <w:widowControl w:val="0"/>
              <w:shd w:val="clear" w:color="auto" w:fill="auto"/>
              <w:bidi w:val="0"/>
              <w:spacing w:before="0" w:after="0" w:line="240" w:lineRule="auto"/>
              <w:ind w:left="0" w:right="0" w:firstLine="500"/>
              <w:jc w:val="left"/>
              <w:rPr>
                <w:sz w:val="18"/>
                <w:szCs w:val="18"/>
              </w:rPr>
            </w:pPr>
            <w:r>
              <w:rPr>
                <w:rFonts w:ascii="Times New Roman" w:eastAsia="Times New Roman" w:hAnsi="Times New Roman" w:cs="Times New Roman"/>
                <w:color w:val="000000"/>
                <w:spacing w:val="0"/>
                <w:w w:val="100"/>
                <w:position w:val="0"/>
                <w:sz w:val="18"/>
                <w:szCs w:val="18"/>
              </w:rPr>
              <w:t>3.98</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-45,772,55</w:t>
            </w:r>
          </w:p>
          <w:p>
            <w:pPr>
              <w:pStyle w:val="Style2"/>
              <w:keepNext w:val="0"/>
              <w:keepLines w:val="0"/>
              <w:widowControl w:val="0"/>
              <w:shd w:val="clear" w:color="auto" w:fill="auto"/>
              <w:bidi w:val="0"/>
              <w:spacing w:before="0" w:after="0" w:line="240" w:lineRule="auto"/>
              <w:ind w:left="0" w:right="0" w:firstLine="500"/>
              <w:jc w:val="left"/>
              <w:rPr>
                <w:sz w:val="18"/>
                <w:szCs w:val="18"/>
              </w:rPr>
            </w:pPr>
            <w:r>
              <w:rPr>
                <w:rFonts w:ascii="Times New Roman" w:eastAsia="Times New Roman" w:hAnsi="Times New Roman" w:cs="Times New Roman"/>
                <w:color w:val="000000"/>
                <w:spacing w:val="0"/>
                <w:w w:val="100"/>
                <w:position w:val="0"/>
                <w:sz w:val="18"/>
                <w:szCs w:val="18"/>
              </w:rPr>
              <w:t>0.37</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96,087,89</w:t>
            </w:r>
          </w:p>
          <w:p>
            <w:pPr>
              <w:pStyle w:val="Style2"/>
              <w:keepNext w:val="0"/>
              <w:keepLines w:val="0"/>
              <w:widowControl w:val="0"/>
              <w:shd w:val="clear" w:color="auto" w:fill="auto"/>
              <w:bidi w:val="0"/>
              <w:spacing w:before="0" w:after="0" w:line="240" w:lineRule="auto"/>
              <w:ind w:left="0" w:right="0" w:firstLine="460"/>
              <w:jc w:val="both"/>
              <w:rPr>
                <w:sz w:val="18"/>
                <w:szCs w:val="18"/>
              </w:rPr>
            </w:pPr>
            <w:r>
              <w:rPr>
                <w:rFonts w:ascii="Times New Roman" w:eastAsia="Times New Roman" w:hAnsi="Times New Roman" w:cs="Times New Roman"/>
                <w:color w:val="000000"/>
                <w:spacing w:val="0"/>
                <w:w w:val="100"/>
                <w:position w:val="0"/>
                <w:sz w:val="18"/>
                <w:szCs w:val="18"/>
              </w:rPr>
              <w:t>3.84</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61,532,11</w:t>
            </w:r>
          </w:p>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1.30</w:t>
            </w:r>
          </w:p>
        </w:tc>
      </w:tr>
    </w:tbl>
    <w:p>
      <w:pPr>
        <w:widowControl w:val="0"/>
        <w:spacing w:after="319" w:line="1" w:lineRule="exact"/>
      </w:pPr>
    </w:p>
    <w:p>
      <w:pPr>
        <w:pStyle w:val="Style58"/>
        <w:keepNext/>
        <w:keepLines/>
        <w:widowControl w:val="0"/>
        <w:numPr>
          <w:ilvl w:val="0"/>
          <w:numId w:val="51"/>
        </w:numPr>
        <w:shd w:val="clear" w:color="auto" w:fill="auto"/>
        <w:bidi w:val="0"/>
        <w:spacing w:before="0" w:after="400" w:line="240" w:lineRule="auto"/>
        <w:ind w:left="0" w:right="0" w:firstLine="140"/>
        <w:jc w:val="left"/>
        <w:rPr>
          <w:sz w:val="20"/>
          <w:szCs w:val="20"/>
        </w:rPr>
      </w:pPr>
      <w:bookmarkStart w:id="2287" w:name="bookmark2287"/>
      <w:bookmarkStart w:id="2288" w:name="bookmark2288"/>
      <w:bookmarkStart w:id="2289" w:name="bookmark2289"/>
      <w:bookmarkStart w:id="2290" w:name="bookmark2290"/>
      <w:bookmarkEnd w:id="2289"/>
      <w:r>
        <w:rPr>
          <w:b/>
          <w:bCs/>
          <w:color w:val="000000"/>
          <w:spacing w:val="0"/>
          <w:w w:val="100"/>
          <w:position w:val="0"/>
          <w:sz w:val="20"/>
          <w:szCs w:val="20"/>
        </w:rPr>
        <w:t>其他说明</w:t>
      </w:r>
      <w:bookmarkEnd w:id="2287"/>
      <w:bookmarkEnd w:id="2288"/>
      <w:bookmarkEnd w:id="2290"/>
    </w:p>
    <w:p>
      <w:pPr>
        <w:pStyle w:val="Style41"/>
        <w:keepNext w:val="0"/>
        <w:keepLines w:val="0"/>
        <w:widowControl w:val="0"/>
        <w:shd w:val="clear" w:color="auto" w:fill="auto"/>
        <w:bidi w:val="0"/>
        <w:spacing w:before="0" w:after="400" w:line="240" w:lineRule="auto"/>
        <w:ind w:left="0" w:right="0" w:firstLine="200"/>
        <w:jc w:val="left"/>
      </w:pPr>
      <w:r>
        <w:rPr>
          <w:color w:val="000000"/>
          <w:spacing w:val="0"/>
          <w:w w:val="100"/>
          <w:position w:val="0"/>
        </w:rPr>
        <w:t>无。</w:t>
      </w:r>
    </w:p>
    <w:p>
      <w:pPr>
        <w:pStyle w:val="Style47"/>
        <w:keepNext/>
        <w:keepLines/>
        <w:widowControl w:val="0"/>
        <w:shd w:val="clear" w:color="auto" w:fill="auto"/>
        <w:bidi w:val="0"/>
        <w:spacing w:before="0" w:after="400" w:line="240" w:lineRule="auto"/>
        <w:ind w:left="0" w:right="0" w:firstLine="0"/>
        <w:jc w:val="left"/>
      </w:pPr>
      <w:bookmarkStart w:id="2291" w:name="bookmark2291"/>
      <w:bookmarkStart w:id="2292" w:name="bookmark2292"/>
      <w:bookmarkStart w:id="2293" w:name="bookmark2293"/>
      <w:bookmarkStart w:id="2294" w:name="bookmark2294"/>
      <w:r>
        <w:rPr>
          <w:color w:val="000000"/>
          <w:spacing w:val="0"/>
          <w:w w:val="100"/>
          <w:position w:val="0"/>
        </w:rPr>
        <w:t>4</w:t>
      </w:r>
      <w:bookmarkEnd w:id="2293"/>
      <w:r>
        <w:rPr>
          <w:color w:val="000000"/>
          <w:spacing w:val="0"/>
          <w:w w:val="100"/>
          <w:position w:val="0"/>
        </w:rPr>
        <w:t>、营业收入和营业成本</w:t>
      </w:r>
      <w:bookmarkEnd w:id="2291"/>
      <w:bookmarkEnd w:id="2292"/>
      <w:bookmarkEnd w:id="2294"/>
    </w:p>
    <w:p>
      <w:pPr>
        <w:pStyle w:val="Style41"/>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center"/>
        <w:tblLayout w:type="fixed"/>
      </w:tblPr>
      <w:tblGrid>
        <w:gridCol w:w="1997"/>
        <w:gridCol w:w="1838"/>
        <w:gridCol w:w="1915"/>
        <w:gridCol w:w="1910"/>
        <w:gridCol w:w="1925"/>
      </w:tblGrid>
      <w:tr>
        <w:trPr>
          <w:trHeight w:val="408" w:hRule="exact"/>
        </w:trPr>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gridSpan w:val="2"/>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gridSpan w:val="2"/>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398" w:hRule="exact"/>
        </w:trPr>
        <w:tc>
          <w:tcPr>
            <w:vMerge/>
            <w:tcBorders>
              <w:left w:val="single" w:sz="4"/>
            </w:tcBorders>
            <w:shd w:val="clear" w:color="auto" w:fill="D7D7D7"/>
            <w:vAlign w:val="center"/>
          </w:tcPr>
          <w:p>
            <w:pP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收入</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成本</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760"/>
              <w:jc w:val="left"/>
            </w:pPr>
            <w:r>
              <w:rPr>
                <w:color w:val="000000"/>
                <w:spacing w:val="0"/>
                <w:w w:val="100"/>
                <w:position w:val="0"/>
              </w:rPr>
              <w:t>收入</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760"/>
              <w:jc w:val="left"/>
            </w:pPr>
            <w:r>
              <w:rPr>
                <w:color w:val="000000"/>
                <w:spacing w:val="0"/>
                <w:w w:val="100"/>
                <w:position w:val="0"/>
              </w:rPr>
              <w:t>成本</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主营业务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rPr>
                <w:sz w:val="18"/>
                <w:szCs w:val="18"/>
              </w:rPr>
            </w:pPr>
            <w:r>
              <w:rPr>
                <w:rFonts w:ascii="Times New Roman" w:eastAsia="Times New Roman" w:hAnsi="Times New Roman" w:cs="Times New Roman"/>
                <w:color w:val="000000"/>
                <w:spacing w:val="0"/>
                <w:w w:val="100"/>
                <w:position w:val="0"/>
                <w:sz w:val="18"/>
                <w:szCs w:val="18"/>
              </w:rPr>
              <w:t>758,183,332.24</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rPr>
                <w:sz w:val="18"/>
                <w:szCs w:val="18"/>
              </w:rPr>
            </w:pPr>
            <w:r>
              <w:rPr>
                <w:rFonts w:ascii="Times New Roman" w:eastAsia="Times New Roman" w:hAnsi="Times New Roman" w:cs="Times New Roman"/>
                <w:color w:val="000000"/>
                <w:spacing w:val="0"/>
                <w:w w:val="100"/>
                <w:position w:val="0"/>
                <w:sz w:val="18"/>
                <w:szCs w:val="18"/>
              </w:rPr>
              <w:t>415,052,403.52</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rPr>
                <w:sz w:val="18"/>
                <w:szCs w:val="18"/>
              </w:rPr>
            </w:pPr>
            <w:r>
              <w:rPr>
                <w:rFonts w:ascii="Times New Roman" w:eastAsia="Times New Roman" w:hAnsi="Times New Roman" w:cs="Times New Roman"/>
                <w:color w:val="000000"/>
                <w:spacing w:val="0"/>
                <w:w w:val="100"/>
                <w:position w:val="0"/>
                <w:sz w:val="18"/>
                <w:szCs w:val="18"/>
              </w:rPr>
              <w:t>408,889,458.07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rPr>
                <w:sz w:val="18"/>
                <w:szCs w:val="18"/>
              </w:rPr>
            </w:pPr>
            <w:r>
              <w:rPr>
                <w:rFonts w:ascii="Times New Roman" w:eastAsia="Times New Roman" w:hAnsi="Times New Roman" w:cs="Times New Roman"/>
                <w:color w:val="000000"/>
                <w:spacing w:val="0"/>
                <w:w w:val="100"/>
                <w:position w:val="0"/>
                <w:sz w:val="18"/>
                <w:szCs w:val="18"/>
              </w:rPr>
              <w:t>265,222,751.36</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其他业务</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20"/>
              <w:jc w:val="left"/>
              <w:rPr>
                <w:sz w:val="18"/>
                <w:szCs w:val="18"/>
              </w:rPr>
            </w:pPr>
            <w:r>
              <w:rPr>
                <w:rFonts w:ascii="Times New Roman" w:eastAsia="Times New Roman" w:hAnsi="Times New Roman" w:cs="Times New Roman"/>
                <w:color w:val="000000"/>
                <w:spacing w:val="0"/>
                <w:w w:val="100"/>
                <w:position w:val="0"/>
                <w:sz w:val="18"/>
                <w:szCs w:val="18"/>
              </w:rPr>
              <w:t>37,908,534.17</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7,786,252.41</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36,309,266.23</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7,841,849.48</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80"/>
              <w:jc w:val="both"/>
              <w:rPr>
                <w:sz w:val="18"/>
                <w:szCs w:val="18"/>
              </w:rPr>
            </w:pPr>
            <w:r>
              <w:rPr>
                <w:rFonts w:ascii="Times New Roman" w:eastAsia="Times New Roman" w:hAnsi="Times New Roman" w:cs="Times New Roman"/>
                <w:color w:val="000000"/>
                <w:spacing w:val="0"/>
                <w:w w:val="100"/>
                <w:position w:val="0"/>
                <w:sz w:val="18"/>
                <w:szCs w:val="18"/>
              </w:rPr>
              <w:t>796,091,866.41</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rPr>
                <w:sz w:val="18"/>
                <w:szCs w:val="18"/>
              </w:rPr>
            </w:pPr>
            <w:r>
              <w:rPr>
                <w:rFonts w:ascii="Times New Roman" w:eastAsia="Times New Roman" w:hAnsi="Times New Roman" w:cs="Times New Roman"/>
                <w:color w:val="000000"/>
                <w:spacing w:val="0"/>
                <w:w w:val="100"/>
                <w:position w:val="0"/>
                <w:sz w:val="18"/>
                <w:szCs w:val="18"/>
              </w:rPr>
              <w:t>422,838,655.93</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rPr>
                <w:sz w:val="18"/>
                <w:szCs w:val="18"/>
              </w:rPr>
            </w:pPr>
            <w:r>
              <w:rPr>
                <w:rFonts w:ascii="Times New Roman" w:eastAsia="Times New Roman" w:hAnsi="Times New Roman" w:cs="Times New Roman"/>
                <w:color w:val="000000"/>
                <w:spacing w:val="0"/>
                <w:w w:val="100"/>
                <w:position w:val="0"/>
                <w:sz w:val="18"/>
                <w:szCs w:val="18"/>
              </w:rPr>
              <w:t>445,198,724.30</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60"/>
              <w:jc w:val="left"/>
              <w:rPr>
                <w:sz w:val="18"/>
                <w:szCs w:val="18"/>
              </w:rPr>
            </w:pPr>
            <w:r>
              <w:rPr>
                <w:rFonts w:ascii="Times New Roman" w:eastAsia="Times New Roman" w:hAnsi="Times New Roman" w:cs="Times New Roman"/>
                <w:color w:val="000000"/>
                <w:spacing w:val="0"/>
                <w:w w:val="100"/>
                <w:position w:val="0"/>
                <w:sz w:val="18"/>
                <w:szCs w:val="18"/>
              </w:rPr>
              <w:t>273,064,600.84</w:t>
            </w:r>
          </w:p>
        </w:tc>
      </w:tr>
    </w:tbl>
    <w:p>
      <w:pPr>
        <w:pStyle w:val="Style20"/>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收入相关信息:</w:t>
      </w:r>
    </w:p>
    <w:p>
      <w:pPr>
        <w:widowControl w:val="0"/>
        <w:spacing w:after="119" w:line="1" w:lineRule="exact"/>
      </w:pPr>
    </w:p>
    <w:p>
      <w:pPr>
        <w:pStyle w:val="Style41"/>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center"/>
        <w:tblLayout w:type="fixed"/>
      </w:tblPr>
      <w:tblGrid>
        <w:gridCol w:w="4709"/>
        <w:gridCol w:w="4834"/>
      </w:tblGrid>
      <w:tr>
        <w:trPr>
          <w:trHeight w:val="40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合同分类</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本期金额</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按经营地区分类：</w:t>
            </w:r>
          </w:p>
        </w:tc>
        <w:tc>
          <w:tcPr>
            <w:tcBorders>
              <w:top w:val="single" w:sz="4"/>
              <w:left w:val="single" w:sz="4"/>
              <w:right w:val="single" w:sz="4"/>
            </w:tcBorders>
            <w:shd w:val="clear" w:color="auto" w:fill="D7D7D7"/>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大陆地区</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660" w:right="0" w:firstLine="0"/>
              <w:jc w:val="both"/>
              <w:rPr>
                <w:sz w:val="18"/>
                <w:szCs w:val="18"/>
              </w:rPr>
            </w:pPr>
            <w:r>
              <w:rPr>
                <w:rFonts w:ascii="Times New Roman" w:eastAsia="Times New Roman" w:hAnsi="Times New Roman" w:cs="Times New Roman"/>
                <w:color w:val="000000"/>
                <w:spacing w:val="0"/>
                <w:w w:val="100"/>
                <w:position w:val="0"/>
                <w:sz w:val="18"/>
                <w:szCs w:val="18"/>
              </w:rPr>
              <w:t>791,907,344.25</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海外地区</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4,184,522.16</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市场或客户类型：</w:t>
            </w:r>
          </w:p>
        </w:tc>
        <w:tc>
          <w:tcPr>
            <w:tcBorders>
              <w:top w:val="single" w:sz="4"/>
              <w:left w:val="single" w:sz="4"/>
              <w:right w:val="single" w:sz="4"/>
            </w:tcBorders>
            <w:shd w:val="clear" w:color="auto" w:fill="D7D7D7"/>
            <w:vAlign w:val="top"/>
          </w:tcPr>
          <w:p>
            <w:pPr>
              <w:widowControl w:val="0"/>
              <w:rPr>
                <w:sz w:val="10"/>
                <w:szCs w:val="10"/>
              </w:rPr>
            </w:pP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电信</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660" w:right="0" w:firstLine="0"/>
              <w:jc w:val="both"/>
              <w:rPr>
                <w:sz w:val="18"/>
                <w:szCs w:val="18"/>
              </w:rPr>
            </w:pPr>
            <w:r>
              <w:rPr>
                <w:rFonts w:ascii="Times New Roman" w:eastAsia="Times New Roman" w:hAnsi="Times New Roman" w:cs="Times New Roman"/>
                <w:color w:val="000000"/>
                <w:spacing w:val="0"/>
                <w:w w:val="100"/>
                <w:position w:val="0"/>
                <w:sz w:val="18"/>
                <w:szCs w:val="18"/>
              </w:rPr>
              <w:t>516,834,571.71</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政府及事业单位</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28,747,911.92</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金融</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660" w:right="0" w:firstLine="0"/>
              <w:jc w:val="both"/>
              <w:rPr>
                <w:sz w:val="18"/>
                <w:szCs w:val="18"/>
              </w:rPr>
            </w:pPr>
            <w:r>
              <w:rPr>
                <w:rFonts w:ascii="Times New Roman" w:eastAsia="Times New Roman" w:hAnsi="Times New Roman" w:cs="Times New Roman"/>
                <w:color w:val="000000"/>
                <w:spacing w:val="0"/>
                <w:w w:val="100"/>
                <w:position w:val="0"/>
                <w:sz w:val="18"/>
                <w:szCs w:val="18"/>
              </w:rPr>
              <w:t>103,222,088.70</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交通、能源及其他行业</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660" w:right="0" w:firstLine="0"/>
              <w:jc w:val="both"/>
              <w:rPr>
                <w:sz w:val="18"/>
                <w:szCs w:val="18"/>
              </w:rPr>
            </w:pPr>
            <w:r>
              <w:rPr>
                <w:rFonts w:ascii="Times New Roman" w:eastAsia="Times New Roman" w:hAnsi="Times New Roman" w:cs="Times New Roman"/>
                <w:color w:val="000000"/>
                <w:spacing w:val="0"/>
                <w:w w:val="100"/>
                <w:position w:val="0"/>
                <w:sz w:val="18"/>
                <w:szCs w:val="18"/>
              </w:rPr>
              <w:t>147,287,294.08</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合同类型：</w:t>
            </w:r>
          </w:p>
        </w:tc>
        <w:tc>
          <w:tcPr>
            <w:tcBorders>
              <w:top w:val="single" w:sz="4"/>
              <w:left w:val="single" w:sz="4"/>
              <w:right w:val="single" w:sz="4"/>
            </w:tcBorders>
            <w:shd w:val="clear" w:color="auto" w:fill="D7D7D7"/>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商品</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660" w:right="0" w:firstLine="0"/>
              <w:jc w:val="both"/>
              <w:rPr>
                <w:sz w:val="18"/>
                <w:szCs w:val="18"/>
              </w:rPr>
            </w:pPr>
            <w:r>
              <w:rPr>
                <w:rFonts w:ascii="Times New Roman" w:eastAsia="Times New Roman" w:hAnsi="Times New Roman" w:cs="Times New Roman"/>
                <w:color w:val="000000"/>
                <w:spacing w:val="0"/>
                <w:w w:val="100"/>
                <w:position w:val="0"/>
                <w:sz w:val="18"/>
                <w:szCs w:val="18"/>
              </w:rPr>
              <w:t>203,216,078.79</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服务</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660" w:right="0" w:firstLine="0"/>
              <w:jc w:val="both"/>
              <w:rPr>
                <w:sz w:val="18"/>
                <w:szCs w:val="18"/>
              </w:rPr>
            </w:pPr>
            <w:r>
              <w:rPr>
                <w:rFonts w:ascii="Times New Roman" w:eastAsia="Times New Roman" w:hAnsi="Times New Roman" w:cs="Times New Roman"/>
                <w:color w:val="000000"/>
                <w:spacing w:val="0"/>
                <w:w w:val="100"/>
                <w:position w:val="0"/>
                <w:sz w:val="18"/>
                <w:szCs w:val="18"/>
              </w:rPr>
              <w:t>592,875,787.62</w:t>
            </w:r>
          </w:p>
        </w:tc>
      </w:tr>
    </w:tbl>
    <w:p>
      <w:pPr>
        <w:spacing w:lineRule="exact" w:line="1"/>
        <w:rPr>
          <w:sz w:val="2"/>
          <w:szCs w:val="2"/>
        </w:rPr>
      </w:pPr>
      <w:r>
        <w:br w:type="page"/>
      </w:r>
    </w:p>
    <w:tbl>
      <w:tblPr>
        <w:tblOverlap w:val="never"/>
        <w:jc w:val="center"/>
        <w:tblLayout w:type="fixed"/>
      </w:tblPr>
      <w:tblGrid>
        <w:gridCol w:w="4709"/>
        <w:gridCol w:w="4834"/>
      </w:tblGrid>
      <w:tr>
        <w:trPr>
          <w:trHeight w:val="480"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按商品转让的时间分类：</w:t>
            </w:r>
          </w:p>
        </w:tc>
        <w:tc>
          <w:tcPr>
            <w:tcBorders>
              <w:top w:val="single" w:sz="4"/>
              <w:left w:val="single" w:sz="4"/>
              <w:right w:val="single" w:sz="4"/>
            </w:tcBorders>
            <w:shd w:val="clear" w:color="auto" w:fill="D7D7D7"/>
            <w:vAlign w:val="top"/>
          </w:tcPr>
          <w:p>
            <w:pPr>
              <w:widowControl w:val="0"/>
              <w:rPr>
                <w:sz w:val="10"/>
                <w:szCs w:val="10"/>
              </w:rPr>
            </w:pP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在某一时段内确认</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660" w:right="0" w:firstLine="0"/>
              <w:jc w:val="left"/>
              <w:rPr>
                <w:sz w:val="18"/>
                <w:szCs w:val="18"/>
              </w:rPr>
            </w:pPr>
            <w:r>
              <w:rPr>
                <w:rFonts w:ascii="Times New Roman" w:eastAsia="Times New Roman" w:hAnsi="Times New Roman" w:cs="Times New Roman"/>
                <w:color w:val="000000"/>
                <w:spacing w:val="0"/>
                <w:w w:val="100"/>
                <w:position w:val="0"/>
                <w:sz w:val="18"/>
                <w:szCs w:val="18"/>
              </w:rPr>
              <w:t>248,406,015.98</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在某一时点确认</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660" w:right="0" w:firstLine="0"/>
              <w:jc w:val="left"/>
              <w:rPr>
                <w:sz w:val="18"/>
                <w:szCs w:val="18"/>
              </w:rPr>
            </w:pPr>
            <w:r>
              <w:rPr>
                <w:rFonts w:ascii="Times New Roman" w:eastAsia="Times New Roman" w:hAnsi="Times New Roman" w:cs="Times New Roman"/>
                <w:color w:val="000000"/>
                <w:spacing w:val="0"/>
                <w:w w:val="100"/>
                <w:position w:val="0"/>
                <w:sz w:val="18"/>
                <w:szCs w:val="18"/>
              </w:rPr>
              <w:t>547,685,850.43</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3660" w:right="0" w:firstLine="0"/>
              <w:jc w:val="left"/>
              <w:rPr>
                <w:sz w:val="18"/>
                <w:szCs w:val="18"/>
              </w:rPr>
            </w:pPr>
            <w:r>
              <w:rPr>
                <w:rFonts w:ascii="Times New Roman" w:eastAsia="Times New Roman" w:hAnsi="Times New Roman" w:cs="Times New Roman"/>
                <w:color w:val="000000"/>
                <w:spacing w:val="0"/>
                <w:w w:val="100"/>
                <w:position w:val="0"/>
                <w:sz w:val="18"/>
                <w:szCs w:val="18"/>
              </w:rPr>
              <w:t>796,091,866.41</w:t>
            </w:r>
          </w:p>
        </w:tc>
      </w:tr>
    </w:tbl>
    <w:p>
      <w:pPr>
        <w:widowControl w:val="0"/>
        <w:spacing w:after="339" w:line="1" w:lineRule="exact"/>
      </w:pPr>
    </w:p>
    <w:p>
      <w:pPr>
        <w:pStyle w:val="Style47"/>
        <w:keepNext/>
        <w:keepLines/>
        <w:widowControl w:val="0"/>
        <w:shd w:val="clear" w:color="auto" w:fill="auto"/>
        <w:bidi w:val="0"/>
        <w:spacing w:before="0" w:after="400" w:line="240" w:lineRule="auto"/>
        <w:ind w:left="0" w:right="0" w:firstLine="0"/>
        <w:jc w:val="left"/>
      </w:pPr>
      <w:bookmarkStart w:id="2295" w:name="bookmark2295"/>
      <w:bookmarkStart w:id="2296" w:name="bookmark2296"/>
      <w:bookmarkStart w:id="2297" w:name="bookmark2297"/>
      <w:bookmarkStart w:id="2298" w:name="bookmark2298"/>
      <w:r>
        <w:rPr>
          <w:color w:val="000000"/>
          <w:spacing w:val="0"/>
          <w:w w:val="100"/>
          <w:position w:val="0"/>
        </w:rPr>
        <w:t>5</w:t>
      </w:r>
      <w:bookmarkEnd w:id="2297"/>
      <w:r>
        <w:rPr>
          <w:color w:val="000000"/>
          <w:spacing w:val="0"/>
          <w:w w:val="100"/>
          <w:position w:val="0"/>
        </w:rPr>
        <w:t>、投资收益</w:t>
      </w:r>
      <w:bookmarkEnd w:id="2295"/>
      <w:bookmarkEnd w:id="2296"/>
      <w:bookmarkEnd w:id="2298"/>
    </w:p>
    <w:p>
      <w:pPr>
        <w:pStyle w:val="Style41"/>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3331"/>
        <w:gridCol w:w="3058"/>
        <w:gridCol w:w="3197"/>
      </w:tblGrid>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成本法核算的长期股权投资收益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80" w:right="0" w:firstLine="0"/>
              <w:jc w:val="left"/>
              <w:rPr>
                <w:sz w:val="18"/>
                <w:szCs w:val="18"/>
              </w:rPr>
            </w:pPr>
            <w:r>
              <w:rPr>
                <w:rFonts w:ascii="Times New Roman" w:eastAsia="Times New Roman" w:hAnsi="Times New Roman" w:cs="Times New Roman"/>
                <w:color w:val="000000"/>
                <w:spacing w:val="0"/>
                <w:w w:val="100"/>
                <w:position w:val="0"/>
                <w:sz w:val="18"/>
                <w:szCs w:val="18"/>
              </w:rPr>
              <w:t>50,000,000.00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权益法核算的长期股权投资收益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-45,772,550.37</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4,557,214.70</w:t>
            </w: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处置长期股权投资产生的投资收益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80" w:right="0" w:firstLine="0"/>
              <w:jc w:val="left"/>
              <w:rPr>
                <w:sz w:val="18"/>
                <w:szCs w:val="18"/>
              </w:rPr>
            </w:pPr>
            <w:r>
              <w:rPr>
                <w:rFonts w:ascii="Times New Roman" w:eastAsia="Times New Roman" w:hAnsi="Times New Roman" w:cs="Times New Roman"/>
                <w:color w:val="000000"/>
                <w:spacing w:val="0"/>
                <w:w w:val="100"/>
                <w:position w:val="0"/>
                <w:sz w:val="18"/>
                <w:szCs w:val="18"/>
              </w:rPr>
              <w:t>23,767,450.05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19,854,476.02</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处置交易性金融资产取得的投资收益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411,095.85</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412,772.55</w:t>
            </w: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120" w:line="240" w:lineRule="auto"/>
              <w:ind w:left="0" w:right="0" w:firstLine="0"/>
              <w:jc w:val="left"/>
            </w:pPr>
            <w:r>
              <w:rPr>
                <w:color w:val="000000"/>
                <w:spacing w:val="0"/>
                <w:w w:val="100"/>
                <w:position w:val="0"/>
              </w:rPr>
              <w:t>其他非流动金融资产在持有期间的投资收</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u w:val="single"/>
              </w:rPr>
              <w:t>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3,785,995.50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3,072,692.00</w:t>
            </w: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1980" w:right="0" w:firstLine="0"/>
              <w:jc w:val="left"/>
              <w:rPr>
                <w:sz w:val="18"/>
                <w:szCs w:val="18"/>
              </w:rPr>
            </w:pPr>
            <w:r>
              <w:rPr>
                <w:rFonts w:ascii="Times New Roman" w:eastAsia="Times New Roman" w:hAnsi="Times New Roman" w:cs="Times New Roman"/>
                <w:color w:val="000000"/>
                <w:spacing w:val="0"/>
                <w:w w:val="100"/>
                <w:position w:val="0"/>
                <w:sz w:val="18"/>
                <w:szCs w:val="18"/>
              </w:rPr>
              <w:t>32,191,991.03</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27,897,155.27</w:t>
            </w:r>
          </w:p>
        </w:tc>
      </w:tr>
    </w:tbl>
    <w:p>
      <w:pPr>
        <w:widowControl w:val="0"/>
        <w:spacing w:after="339" w:line="1" w:lineRule="exact"/>
      </w:pPr>
    </w:p>
    <w:p>
      <w:pPr>
        <w:pStyle w:val="Style47"/>
        <w:keepNext/>
        <w:keepLines/>
        <w:widowControl w:val="0"/>
        <w:shd w:val="clear" w:color="auto" w:fill="auto"/>
        <w:bidi w:val="0"/>
        <w:spacing w:before="0" w:after="400" w:line="240" w:lineRule="auto"/>
        <w:ind w:left="0" w:right="0" w:firstLine="0"/>
        <w:jc w:val="left"/>
      </w:pPr>
      <w:bookmarkStart w:id="2299" w:name="bookmark2299"/>
      <w:bookmarkStart w:id="2300" w:name="bookmark2300"/>
      <w:bookmarkStart w:id="2301" w:name="bookmark2301"/>
      <w:bookmarkStart w:id="2302" w:name="bookmark2302"/>
      <w:r>
        <w:rPr>
          <w:color w:val="000000"/>
          <w:spacing w:val="0"/>
          <w:w w:val="100"/>
          <w:position w:val="0"/>
        </w:rPr>
        <w:t>6</w:t>
      </w:r>
      <w:bookmarkEnd w:id="2301"/>
      <w:r>
        <w:rPr>
          <w:color w:val="000000"/>
          <w:spacing w:val="0"/>
          <w:w w:val="100"/>
          <w:position w:val="0"/>
        </w:rPr>
        <w:t>、其他</w:t>
      </w:r>
      <w:bookmarkEnd w:id="2299"/>
      <w:bookmarkEnd w:id="2300"/>
      <w:bookmarkEnd w:id="2302"/>
    </w:p>
    <w:p>
      <w:pPr>
        <w:pStyle w:val="Style41"/>
        <w:keepNext w:val="0"/>
        <w:keepLines w:val="0"/>
        <w:widowControl w:val="0"/>
        <w:shd w:val="clear" w:color="auto" w:fill="auto"/>
        <w:bidi w:val="0"/>
        <w:spacing w:before="0" w:after="400" w:line="240" w:lineRule="auto"/>
        <w:ind w:left="0" w:right="0"/>
        <w:jc w:val="left"/>
      </w:pPr>
      <w:r>
        <w:rPr>
          <w:color w:val="000000"/>
          <w:spacing w:val="0"/>
          <w:w w:val="100"/>
          <w:position w:val="0"/>
        </w:rPr>
        <w:t>无。</w:t>
      </w:r>
    </w:p>
    <w:p>
      <w:pPr>
        <w:pStyle w:val="Style39"/>
        <w:keepNext/>
        <w:keepLines/>
        <w:widowControl w:val="0"/>
        <w:shd w:val="clear" w:color="auto" w:fill="auto"/>
        <w:bidi w:val="0"/>
        <w:spacing w:before="0" w:after="340" w:line="240" w:lineRule="auto"/>
        <w:ind w:left="0" w:right="0" w:firstLine="0"/>
        <w:jc w:val="left"/>
      </w:pPr>
      <w:bookmarkStart w:id="2303" w:name="bookmark2303"/>
      <w:bookmarkStart w:id="2304" w:name="bookmark2304"/>
      <w:bookmarkStart w:id="2305" w:name="bookmark2305"/>
      <w:r>
        <w:rPr>
          <w:color w:val="000000"/>
          <w:spacing w:val="0"/>
          <w:w w:val="100"/>
          <w:position w:val="0"/>
          <w:sz w:val="24"/>
          <w:szCs w:val="24"/>
        </w:rPr>
        <w:t>十八、补充资料</w:t>
      </w:r>
      <w:bookmarkEnd w:id="2303"/>
      <w:bookmarkEnd w:id="2304"/>
      <w:bookmarkEnd w:id="2305"/>
    </w:p>
    <w:p>
      <w:pPr>
        <w:pStyle w:val="Style47"/>
        <w:keepNext/>
        <w:keepLines/>
        <w:widowControl w:val="0"/>
        <w:shd w:val="clear" w:color="auto" w:fill="auto"/>
        <w:bidi w:val="0"/>
        <w:spacing w:before="0" w:after="400" w:line="240" w:lineRule="auto"/>
        <w:ind w:left="0" w:right="0" w:firstLine="0"/>
        <w:jc w:val="left"/>
      </w:pPr>
      <w:bookmarkStart w:id="2306" w:name="bookmark2306"/>
      <w:bookmarkStart w:id="2307" w:name="bookmark2307"/>
      <w:bookmarkStart w:id="2308" w:name="bookmark2308"/>
      <w:r>
        <w:rPr>
          <w:color w:val="000000"/>
          <w:spacing w:val="0"/>
          <w:w w:val="100"/>
          <w:position w:val="0"/>
        </w:rPr>
        <w:t>1、当期非经常性损益明细表</w:t>
      </w:r>
      <w:bookmarkEnd w:id="2306"/>
      <w:bookmarkEnd w:id="2307"/>
      <w:bookmarkEnd w:id="2308"/>
    </w:p>
    <w:p>
      <w:pPr>
        <w:pStyle w:val="Style41"/>
        <w:keepNext w:val="0"/>
        <w:keepLines w:val="0"/>
        <w:widowControl w:val="0"/>
        <w:shd w:val="clear" w:color="auto" w:fill="auto"/>
        <w:bidi w:val="0"/>
        <w:spacing w:before="0" w:after="140" w:line="240" w:lineRule="auto"/>
        <w:ind w:left="0" w:right="0" w:firstLine="0"/>
        <w:jc w:val="left"/>
      </w:pPr>
      <w:r>
        <w:rPr>
          <w:color w:val="000000"/>
          <w:spacing w:val="0"/>
          <w:w w:val="100"/>
          <w:position w:val="0"/>
          <w:sz w:val="18"/>
          <w:szCs w:val="18"/>
        </w:rPr>
        <w:t>寸</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41"/>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5539"/>
        <w:gridCol w:w="1694"/>
        <w:gridCol w:w="2352"/>
      </w:tblGrid>
      <w:tr>
        <w:trPr>
          <w:trHeight w:val="40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说明</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非流动资产处置损益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-119,489.05</w:t>
            </w: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7" w:lineRule="exact"/>
              <w:ind w:left="0" w:right="0" w:firstLine="0"/>
              <w:jc w:val="both"/>
            </w:pPr>
            <w:r>
              <w:rPr>
                <w:color w:val="000000"/>
                <w:spacing w:val="0"/>
                <w:w w:val="100"/>
                <w:position w:val="0"/>
              </w:rPr>
              <w:t>计入当期损益的政府补助（与企业业务密切相关，按照国家统一标准 定额或定量享受的政府补助除外）</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20"/>
              <w:jc w:val="both"/>
              <w:rPr>
                <w:sz w:val="18"/>
                <w:szCs w:val="18"/>
              </w:rPr>
            </w:pPr>
            <w:r>
              <w:rPr>
                <w:rFonts w:ascii="Times New Roman" w:eastAsia="Times New Roman" w:hAnsi="Times New Roman" w:cs="Times New Roman"/>
                <w:color w:val="000000"/>
                <w:spacing w:val="0"/>
                <w:w w:val="100"/>
                <w:position w:val="0"/>
                <w:sz w:val="18"/>
                <w:szCs w:val="18"/>
              </w:rPr>
              <w:t>6,796,477.53</w:t>
            </w: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计入当期损益的对非金融企业收取的资金占用费</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180,817.60</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314" w:lineRule="exact"/>
              <w:ind w:left="0" w:right="0" w:firstLine="0"/>
              <w:jc w:val="left"/>
            </w:pPr>
            <w:r>
              <w:rPr>
                <w:color w:val="000000"/>
                <w:spacing w:val="0"/>
                <w:w w:val="100"/>
                <w:position w:val="0"/>
              </w:rPr>
              <w:t>该金额为在借款协议期内对 原子公司欠款收取的资金占 用费</w:t>
            </w:r>
          </w:p>
        </w:tc>
      </w:tr>
      <w:tr>
        <w:trPr>
          <w:trHeight w:val="1339"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314" w:lineRule="exact"/>
              <w:ind w:left="0" w:right="0" w:firstLine="0"/>
              <w:jc w:val="both"/>
            </w:pPr>
            <w:r>
              <w:rPr>
                <w:color w:val="000000"/>
                <w:spacing w:val="0"/>
                <w:w w:val="100"/>
                <w:position w:val="0"/>
              </w:rPr>
              <w:t>除同公司正常经营业务相关的有效套期保值业务外，持有交易性金融 资产、衍生金融资产、交易性金融负债、衍生金融负债产生的公允价 值变动损益，以及处置交易性金融资产、衍生金融资产、交易性金融 负债、衍生金融负债和其他债权投资取得的投资收益</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20"/>
              <w:jc w:val="both"/>
              <w:rPr>
                <w:sz w:val="18"/>
                <w:szCs w:val="18"/>
              </w:rPr>
            </w:pPr>
            <w:r>
              <w:rPr>
                <w:rFonts w:ascii="Times New Roman" w:eastAsia="Times New Roman" w:hAnsi="Times New Roman" w:cs="Times New Roman"/>
                <w:color w:val="000000"/>
                <w:spacing w:val="0"/>
                <w:w w:val="100"/>
                <w:position w:val="0"/>
                <w:sz w:val="18"/>
                <w:szCs w:val="18"/>
              </w:rPr>
              <w:t>1,936,508.30</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单独进行减值测试的应收款项、合同资产减值准备转回</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720"/>
              <w:jc w:val="both"/>
              <w:rPr>
                <w:sz w:val="18"/>
                <w:szCs w:val="18"/>
              </w:rPr>
            </w:pPr>
            <w:r>
              <w:rPr>
                <w:rFonts w:ascii="Times New Roman" w:eastAsia="Times New Roman" w:hAnsi="Times New Roman" w:cs="Times New Roman"/>
                <w:color w:val="000000"/>
                <w:spacing w:val="0"/>
                <w:w w:val="100"/>
                <w:position w:val="0"/>
                <w:sz w:val="18"/>
                <w:szCs w:val="18"/>
              </w:rPr>
              <w:t>4,779,058.72</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ectPr>
          <w:headerReference w:type="default" r:id="rId465"/>
          <w:footerReference w:type="default" r:id="rId466"/>
          <w:headerReference w:type="even" r:id="rId467"/>
          <w:footerReference w:type="even" r:id="rId468"/>
          <w:headerReference w:type="first" r:id="rId469"/>
          <w:footerReference w:type="first" r:id="rId470"/>
          <w:footnotePr>
            <w:pos w:val="pageBottom"/>
            <w:numFmt w:val="decimal"/>
            <w:numRestart w:val="continuous"/>
          </w:footnotePr>
          <w:pgSz w:w="11904" w:h="17375"/>
          <w:pgMar w:top="1677" w:right="1040" w:bottom="1673" w:left="995" w:header="0" w:footer="3" w:gutter="0"/>
          <w:cols w:space="720"/>
          <w:noEndnote/>
          <w:titlePg/>
          <w:rtlGutter w:val="0"/>
          <w:docGrid w:linePitch="360"/>
        </w:sectPr>
      </w:pPr>
    </w:p>
    <w:tbl>
      <w:tblPr>
        <w:tblOverlap w:val="never"/>
        <w:jc w:val="center"/>
        <w:tblLayout w:type="fixed"/>
      </w:tblPr>
      <w:tblGrid>
        <w:gridCol w:w="5534"/>
        <w:gridCol w:w="1699"/>
        <w:gridCol w:w="2352"/>
      </w:tblGrid>
      <w:tr>
        <w:trPr>
          <w:trHeight w:val="480"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除上述各项之外的其他营业外收入和支出</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-7,913,307.68</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其他符合非经常性损益定义的损益项目</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40"/>
              <w:jc w:val="both"/>
              <w:rPr>
                <w:sz w:val="18"/>
                <w:szCs w:val="18"/>
              </w:rPr>
            </w:pPr>
            <w:r>
              <w:rPr>
                <w:rFonts w:ascii="Times New Roman" w:eastAsia="Times New Roman" w:hAnsi="Times New Roman" w:cs="Times New Roman"/>
                <w:color w:val="000000"/>
                <w:spacing w:val="0"/>
                <w:w w:val="100"/>
                <w:position w:val="0"/>
                <w:sz w:val="18"/>
                <w:szCs w:val="18"/>
              </w:rPr>
              <w:t>46,494,063.03</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减：所得税影响额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383,275.72</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rPr>
              <w:t>少数股东权益影响额</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2,738,960.98</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640"/>
              <w:jc w:val="both"/>
              <w:rPr>
                <w:sz w:val="18"/>
                <w:szCs w:val="18"/>
              </w:rPr>
            </w:pPr>
            <w:r>
              <w:rPr>
                <w:rFonts w:ascii="Times New Roman" w:eastAsia="Times New Roman" w:hAnsi="Times New Roman" w:cs="Times New Roman"/>
                <w:color w:val="000000"/>
                <w:spacing w:val="0"/>
                <w:w w:val="100"/>
                <w:position w:val="0"/>
                <w:sz w:val="18"/>
                <w:szCs w:val="18"/>
              </w:rPr>
              <w:t>49,031,891.75</w:t>
            </w:r>
          </w:p>
        </w:tc>
        <w:tc>
          <w:tcPr>
            <w:tcBorders>
              <w:top w:val="single" w:sz="4"/>
              <w:left w:val="single" w:sz="4"/>
              <w:bottom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r>
    </w:tbl>
    <w:p>
      <w:pPr>
        <w:pStyle w:val="Style20"/>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对非经常性损益项目的其他说明:</w:t>
      </w:r>
    </w:p>
    <w:p>
      <w:pPr>
        <w:widowControl w:val="0"/>
        <w:spacing w:after="399" w:line="1" w:lineRule="exact"/>
      </w:pPr>
    </w:p>
    <w:tbl>
      <w:tblPr>
        <w:tblOverlap w:val="never"/>
        <w:jc w:val="center"/>
        <w:tblLayout w:type="fixed"/>
      </w:tblPr>
      <w:tblGrid>
        <w:gridCol w:w="6922"/>
        <w:gridCol w:w="2947"/>
      </w:tblGrid>
      <w:tr>
        <w:trPr>
          <w:trHeight w:val="413"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涉及金额</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对子公司丧失控制权改用权益法计量，剩余股权按公允价值重新计量产生的利得</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41,967,730.49</w:t>
            </w:r>
          </w:p>
        </w:tc>
      </w:tr>
      <w:tr>
        <w:trPr>
          <w:trHeight w:val="408"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进项税加计抵减</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4,526,332.54</w:t>
            </w:r>
          </w:p>
        </w:tc>
      </w:tr>
      <w:tr>
        <w:trPr>
          <w:trHeight w:val="418" w:hRule="exact"/>
        </w:trPr>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46,494,063.03</w:t>
            </w:r>
          </w:p>
        </w:tc>
      </w:tr>
    </w:tbl>
    <w:p>
      <w:pPr>
        <w:widowControl w:val="0"/>
        <w:spacing w:after="339" w:line="1" w:lineRule="exact"/>
      </w:pPr>
    </w:p>
    <w:p>
      <w:pPr>
        <w:pStyle w:val="Style41"/>
        <w:keepNext w:val="0"/>
        <w:keepLines w:val="0"/>
        <w:widowControl w:val="0"/>
        <w:shd w:val="clear" w:color="auto" w:fill="auto"/>
        <w:bidi w:val="0"/>
        <w:spacing w:before="0" w:after="140" w:line="312" w:lineRule="exact"/>
        <w:ind w:left="0" w:right="0" w:firstLine="0"/>
        <w:jc w:val="both"/>
      </w:pPr>
      <w:r>
        <w:rPr>
          <w:color w:val="000000"/>
          <w:spacing w:val="0"/>
          <w:w w:val="100"/>
          <w:position w:val="0"/>
        </w:rPr>
        <w:t>对公司根据《公开发行证券的公司信息披露解释性公告第</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号一非经常性损益》定义界定的非经常性损益项目，以及把《公 开发行证券的公司信息披露解释性公告第</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号一非经常性损益》中列举的非经常性损益项目界定为经常性损益的项目，应 说明原因。</w:t>
      </w:r>
    </w:p>
    <w:p>
      <w:pPr>
        <w:pStyle w:val="Style41"/>
        <w:keepNext w:val="0"/>
        <w:keepLines w:val="0"/>
        <w:widowControl w:val="0"/>
        <w:shd w:val="clear" w:color="auto" w:fill="auto"/>
        <w:bidi w:val="0"/>
        <w:spacing w:before="0" w:after="260" w:line="36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color w:val="000000"/>
          <w:spacing w:val="0"/>
          <w:w w:val="100"/>
          <w:position w:val="0"/>
          <w:sz w:val="18"/>
          <w:szCs w:val="18"/>
        </w:rPr>
        <w:t>寸</w:t>
      </w:r>
      <w:r>
        <w:rPr>
          <w:color w:val="000000"/>
          <w:spacing w:val="0"/>
          <w:w w:val="100"/>
          <w:position w:val="0"/>
        </w:rPr>
        <w:t>不适用</w:t>
      </w:r>
    </w:p>
    <w:p>
      <w:pPr>
        <w:pStyle w:val="Style47"/>
        <w:keepNext/>
        <w:keepLines/>
        <w:widowControl w:val="0"/>
        <w:shd w:val="clear" w:color="auto" w:fill="auto"/>
        <w:bidi w:val="0"/>
        <w:spacing w:before="0" w:after="340" w:line="240" w:lineRule="auto"/>
        <w:ind w:left="0" w:right="0" w:firstLine="0"/>
        <w:jc w:val="left"/>
      </w:pPr>
      <w:bookmarkStart w:id="2309" w:name="bookmark2309"/>
      <w:bookmarkStart w:id="2310" w:name="bookmark2310"/>
      <w:bookmarkStart w:id="2311" w:name="bookmark2311"/>
      <w:r>
        <w:rPr>
          <w:color w:val="000000"/>
          <w:spacing w:val="0"/>
          <w:w w:val="100"/>
          <w:position w:val="0"/>
        </w:rPr>
        <w:t>2、净资产收益率及每股收益</w:t>
      </w:r>
      <w:bookmarkEnd w:id="2309"/>
      <w:bookmarkEnd w:id="2310"/>
      <w:bookmarkEnd w:id="2311"/>
    </w:p>
    <w:tbl>
      <w:tblPr>
        <w:tblOverlap w:val="never"/>
        <w:jc w:val="center"/>
        <w:tblLayout w:type="fixed"/>
      </w:tblPr>
      <w:tblGrid>
        <w:gridCol w:w="2669"/>
        <w:gridCol w:w="3086"/>
        <w:gridCol w:w="1906"/>
        <w:gridCol w:w="1920"/>
      </w:tblGrid>
      <w:tr>
        <w:trPr>
          <w:trHeight w:val="408" w:hRule="exact"/>
        </w:trPr>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报告期利润</w:t>
            </w:r>
          </w:p>
        </w:tc>
        <w:tc>
          <w:tcPr>
            <w:vMerge w:val="restart"/>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加权平均净资产收益率</w:t>
            </w:r>
          </w:p>
        </w:tc>
        <w:tc>
          <w:tcPr>
            <w:gridSpan w:val="2"/>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每股收益</w:t>
            </w:r>
          </w:p>
        </w:tc>
      </w:tr>
      <w:tr>
        <w:trPr>
          <w:trHeight w:val="403" w:hRule="exact"/>
        </w:trPr>
        <w:tc>
          <w:tcPr>
            <w:vMerge/>
            <w:tcBorders>
              <w:left w:val="single" w:sz="4"/>
            </w:tcBorders>
            <w:shd w:val="clear" w:color="auto" w:fill="D7D7D7"/>
            <w:vAlign w:val="center"/>
          </w:tcPr>
          <w:p>
            <w:pPr/>
          </w:p>
        </w:tc>
        <w:tc>
          <w:tcPr>
            <w:vMerge/>
            <w:tcBorders>
              <w:left w:val="single" w:sz="4"/>
            </w:tcBorders>
            <w:shd w:val="clear" w:color="auto" w:fill="D7D7D7"/>
            <w:vAlign w:val="center"/>
          </w:tcPr>
          <w:p>
            <w:pPr/>
          </w:p>
        </w:tc>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基本每股收益（元</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股）</w:t>
            </w:r>
          </w:p>
        </w:tc>
        <w:tc>
          <w:tcPr>
            <w:tcBorders>
              <w:top w:val="single" w:sz="4"/>
              <w:left w:val="single" w:sz="4"/>
              <w:righ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稀释每股收益（元</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股）</w:t>
            </w:r>
          </w:p>
        </w:tc>
      </w:tr>
      <w:tr>
        <w:trPr>
          <w:trHeight w:val="398" w:hRule="exact"/>
        </w:trPr>
        <w:tc>
          <w:tcPr>
            <w:tcBorders>
              <w:top w:val="single" w:sz="4"/>
              <w:left w:val="single" w:sz="4"/>
            </w:tcBorders>
            <w:shd w:val="clear" w:color="auto" w:fill="D7D7D7"/>
            <w:vAlign w:val="center"/>
          </w:tcPr>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归属于公司普通股股东的净利润</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9.55%</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0.1809</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0.1809</w:t>
            </w:r>
          </w:p>
        </w:tc>
      </w:tr>
      <w:tr>
        <w:trPr>
          <w:trHeight w:val="725" w:hRule="exact"/>
        </w:trPr>
        <w:tc>
          <w:tcPr>
            <w:tcBorders>
              <w:top w:val="single" w:sz="4"/>
              <w:left w:val="single" w:sz="4"/>
              <w:bottom w:val="single" w:sz="4"/>
            </w:tcBorders>
            <w:shd w:val="clear" w:color="auto" w:fill="D7D7D7"/>
            <w:vAlign w:val="center"/>
          </w:tcPr>
          <w:p>
            <w:pPr>
              <w:pStyle w:val="Style2"/>
              <w:keepNext w:val="0"/>
              <w:keepLines w:val="0"/>
              <w:widowControl w:val="0"/>
              <w:shd w:val="clear" w:color="auto" w:fill="auto"/>
              <w:bidi w:val="0"/>
              <w:spacing w:before="0" w:after="0" w:line="322" w:lineRule="exact"/>
              <w:ind w:left="0" w:right="0" w:firstLine="0"/>
              <w:jc w:val="left"/>
            </w:pPr>
            <w:r>
              <w:rPr>
                <w:color w:val="000000"/>
                <w:spacing w:val="0"/>
                <w:w w:val="100"/>
                <w:position w:val="0"/>
              </w:rPr>
              <w:t>扣除非经常性损益后归属于公司 普通股股东的净利润</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8.22%</w:t>
            </w:r>
          </w:p>
        </w:tc>
        <w:tc>
          <w:tcPr>
            <w:tcBorders>
              <w:top w:val="single" w:sz="4"/>
              <w:left w:val="single" w:sz="4"/>
              <w:bottom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0.1557</w:t>
            </w:r>
          </w:p>
        </w:tc>
        <w:tc>
          <w:tcPr>
            <w:tcBorders>
              <w:top w:val="single" w:sz="4"/>
              <w:left w:val="single" w:sz="4"/>
              <w:bottom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0.1557</w:t>
            </w:r>
          </w:p>
        </w:tc>
      </w:tr>
    </w:tbl>
    <w:p>
      <w:pPr>
        <w:widowControl w:val="0"/>
        <w:spacing w:after="339" w:line="1" w:lineRule="exact"/>
      </w:pPr>
    </w:p>
    <w:p>
      <w:pPr>
        <w:pStyle w:val="Style47"/>
        <w:keepNext/>
        <w:keepLines/>
        <w:widowControl w:val="0"/>
        <w:shd w:val="clear" w:color="auto" w:fill="auto"/>
        <w:tabs>
          <w:tab w:pos="378" w:val="left"/>
        </w:tabs>
        <w:bidi w:val="0"/>
        <w:spacing w:before="0" w:after="400" w:line="240" w:lineRule="auto"/>
        <w:ind w:left="0" w:right="0" w:firstLine="0"/>
        <w:jc w:val="left"/>
      </w:pPr>
      <w:bookmarkStart w:id="2312" w:name="bookmark2312"/>
      <w:bookmarkStart w:id="2313" w:name="bookmark2313"/>
      <w:bookmarkStart w:id="2314" w:name="bookmark2314"/>
      <w:bookmarkStart w:id="2315" w:name="bookmark2315"/>
      <w:r>
        <w:rPr>
          <w:color w:val="000000"/>
          <w:spacing w:val="0"/>
          <w:w w:val="100"/>
          <w:position w:val="0"/>
        </w:rPr>
        <w:t>3</w:t>
      </w:r>
      <w:bookmarkEnd w:id="2314"/>
      <w:r>
        <w:rPr>
          <w:color w:val="000000"/>
          <w:spacing w:val="0"/>
          <w:w w:val="100"/>
          <w:position w:val="0"/>
        </w:rPr>
        <w:t>、</w:t>
        <w:tab/>
        <w:t>境内外会计准则下会计数据差异</w:t>
      </w:r>
      <w:bookmarkEnd w:id="2312"/>
      <w:bookmarkEnd w:id="2313"/>
      <w:bookmarkEnd w:id="2315"/>
    </w:p>
    <w:p>
      <w:pPr>
        <w:pStyle w:val="Style41"/>
        <w:keepNext w:val="0"/>
        <w:keepLines w:val="0"/>
        <w:widowControl w:val="0"/>
        <w:shd w:val="clear" w:color="auto" w:fill="auto"/>
        <w:bidi w:val="0"/>
        <w:spacing w:before="0" w:after="400" w:line="240" w:lineRule="auto"/>
        <w:ind w:left="0" w:right="0" w:firstLine="460"/>
        <w:jc w:val="left"/>
      </w:pPr>
      <w:r>
        <w:rPr>
          <w:color w:val="000000"/>
          <w:spacing w:val="0"/>
          <w:w w:val="100"/>
          <w:position w:val="0"/>
        </w:rPr>
        <w:t>无。</w:t>
      </w:r>
    </w:p>
    <w:p>
      <w:pPr>
        <w:pStyle w:val="Style47"/>
        <w:keepNext/>
        <w:keepLines/>
        <w:widowControl w:val="0"/>
        <w:shd w:val="clear" w:color="auto" w:fill="auto"/>
        <w:tabs>
          <w:tab w:pos="378" w:val="left"/>
        </w:tabs>
        <w:bidi w:val="0"/>
        <w:spacing w:before="0" w:after="400" w:line="240" w:lineRule="auto"/>
        <w:ind w:left="0" w:right="0" w:firstLine="0"/>
        <w:jc w:val="left"/>
      </w:pPr>
      <w:bookmarkStart w:id="2316" w:name="bookmark2316"/>
      <w:bookmarkStart w:id="2317" w:name="bookmark2317"/>
      <w:bookmarkStart w:id="2318" w:name="bookmark2318"/>
      <w:bookmarkStart w:id="2319" w:name="bookmark2319"/>
      <w:r>
        <w:rPr>
          <w:color w:val="000000"/>
          <w:spacing w:val="0"/>
          <w:w w:val="100"/>
          <w:position w:val="0"/>
        </w:rPr>
        <w:t>4</w:t>
      </w:r>
      <w:bookmarkEnd w:id="2318"/>
      <w:r>
        <w:rPr>
          <w:color w:val="000000"/>
          <w:spacing w:val="0"/>
          <w:w w:val="100"/>
          <w:position w:val="0"/>
        </w:rPr>
        <w:t>、</w:t>
        <w:tab/>
        <w:t>其他</w:t>
      </w:r>
      <w:bookmarkEnd w:id="2316"/>
      <w:bookmarkEnd w:id="2317"/>
      <w:bookmarkEnd w:id="2319"/>
    </w:p>
    <w:p>
      <w:pPr>
        <w:pStyle w:val="Style41"/>
        <w:keepNext w:val="0"/>
        <w:keepLines w:val="0"/>
        <w:widowControl w:val="0"/>
        <w:shd w:val="clear" w:color="auto" w:fill="auto"/>
        <w:bidi w:val="0"/>
        <w:spacing w:before="0" w:after="360" w:line="240" w:lineRule="auto"/>
        <w:ind w:left="0" w:right="0" w:firstLine="460"/>
        <w:jc w:val="left"/>
        <w:sectPr>
          <w:headerReference w:type="default" r:id="rId471"/>
          <w:footerReference w:type="default" r:id="rId472"/>
          <w:headerReference w:type="even" r:id="rId473"/>
          <w:footerReference w:type="even" r:id="rId474"/>
          <w:footnotePr>
            <w:pos w:val="pageBottom"/>
            <w:numFmt w:val="decimal"/>
            <w:numRestart w:val="continuous"/>
          </w:footnotePr>
          <w:pgSz w:w="11904" w:h="17375"/>
          <w:pgMar w:top="1677" w:right="1040" w:bottom="1673" w:left="995" w:header="0" w:footer="3" w:gutter="0"/>
          <w:cols w:space="720"/>
          <w:noEndnote/>
          <w:rtlGutter w:val="0"/>
          <w:docGrid w:linePitch="360"/>
        </w:sectPr>
      </w:pPr>
      <w:r>
        <w:rPr>
          <w:color w:val="000000"/>
          <w:spacing w:val="0"/>
          <w:w w:val="100"/>
          <w:position w:val="0"/>
        </w:rPr>
        <w:t>无。</w:t>
      </w:r>
    </w:p>
    <w:p>
      <w:pPr>
        <w:pStyle w:val="Style7"/>
        <w:keepNext/>
        <w:keepLines/>
        <w:widowControl w:val="0"/>
        <w:shd w:val="clear" w:color="auto" w:fill="auto"/>
        <w:bidi w:val="0"/>
        <w:spacing w:before="0" w:after="680" w:line="240" w:lineRule="auto"/>
        <w:ind w:left="0" w:right="0" w:firstLine="0"/>
        <w:jc w:val="center"/>
      </w:pPr>
      <w:bookmarkStart w:id="2320" w:name="bookmark2320"/>
      <w:bookmarkStart w:id="2321" w:name="bookmark2321"/>
      <w:bookmarkStart w:id="2322" w:name="bookmark2322"/>
      <w:r>
        <w:rPr>
          <w:color w:val="000000"/>
          <w:spacing w:val="0"/>
          <w:w w:val="100"/>
          <w:position w:val="0"/>
        </w:rPr>
        <w:t>第十三节备查文件目录</w:t>
      </w:r>
      <w:bookmarkEnd w:id="2320"/>
      <w:bookmarkEnd w:id="2321"/>
      <w:bookmarkEnd w:id="2322"/>
    </w:p>
    <w:p>
      <w:pPr>
        <w:pStyle w:val="Style41"/>
        <w:keepNext w:val="0"/>
        <w:keepLines w:val="0"/>
        <w:widowControl w:val="0"/>
        <w:shd w:val="clear" w:color="auto" w:fill="auto"/>
        <w:tabs>
          <w:tab w:pos="895" w:val="left"/>
        </w:tabs>
        <w:bidi w:val="0"/>
        <w:spacing w:before="0" w:after="260" w:line="240" w:lineRule="auto"/>
        <w:ind w:left="0" w:right="0" w:firstLine="460"/>
        <w:jc w:val="left"/>
      </w:pPr>
      <w:bookmarkStart w:id="2323" w:name="bookmark2323"/>
      <w:r>
        <w:rPr>
          <w:color w:val="000000"/>
          <w:spacing w:val="0"/>
          <w:w w:val="100"/>
          <w:position w:val="0"/>
        </w:rPr>
        <w:t>一</w:t>
      </w:r>
      <w:bookmarkEnd w:id="2323"/>
      <w:r>
        <w:rPr>
          <w:color w:val="000000"/>
          <w:spacing w:val="0"/>
          <w:w w:val="100"/>
          <w:position w:val="0"/>
        </w:rPr>
        <w:t>、</w:t>
        <w:tab/>
        <w:t>载有法定代表人冒大卫先生、主管会计工作负责人戈爱晶女士、会计机构负责人刘晓峰先生签名并盖章的财务报表;</w:t>
      </w:r>
    </w:p>
    <w:p>
      <w:pPr>
        <w:pStyle w:val="Style41"/>
        <w:keepNext w:val="0"/>
        <w:keepLines w:val="0"/>
        <w:widowControl w:val="0"/>
        <w:shd w:val="clear" w:color="auto" w:fill="auto"/>
        <w:tabs>
          <w:tab w:pos="895" w:val="left"/>
        </w:tabs>
        <w:bidi w:val="0"/>
        <w:spacing w:before="0" w:after="260" w:line="240" w:lineRule="auto"/>
        <w:ind w:left="0" w:right="0" w:firstLine="460"/>
        <w:jc w:val="left"/>
      </w:pPr>
      <w:bookmarkStart w:id="2324" w:name="bookmark2324"/>
      <w:r>
        <w:rPr>
          <w:color w:val="000000"/>
          <w:spacing w:val="0"/>
          <w:w w:val="100"/>
          <w:position w:val="0"/>
        </w:rPr>
        <w:t>二</w:t>
      </w:r>
      <w:bookmarkEnd w:id="2324"/>
      <w:r>
        <w:rPr>
          <w:color w:val="000000"/>
          <w:spacing w:val="0"/>
          <w:w w:val="100"/>
          <w:position w:val="0"/>
        </w:rPr>
        <w:t>、</w:t>
        <w:tab/>
        <w:t>载有会计师事务所盖章、注册会计师签名并盖章的审计报告原件；</w:t>
      </w:r>
    </w:p>
    <w:p>
      <w:pPr>
        <w:pStyle w:val="Style41"/>
        <w:keepNext w:val="0"/>
        <w:keepLines w:val="0"/>
        <w:widowControl w:val="0"/>
        <w:shd w:val="clear" w:color="auto" w:fill="auto"/>
        <w:tabs>
          <w:tab w:pos="895" w:val="left"/>
        </w:tabs>
        <w:bidi w:val="0"/>
        <w:spacing w:before="0" w:after="260" w:line="240" w:lineRule="auto"/>
        <w:ind w:left="0" w:right="0" w:firstLine="460"/>
        <w:jc w:val="left"/>
      </w:pPr>
      <w:bookmarkStart w:id="2325" w:name="bookmark2325"/>
      <w:r>
        <w:rPr>
          <w:color w:val="000000"/>
          <w:spacing w:val="0"/>
          <w:w w:val="100"/>
          <w:position w:val="0"/>
        </w:rPr>
        <w:t>三</w:t>
      </w:r>
      <w:bookmarkEnd w:id="2325"/>
      <w:r>
        <w:rPr>
          <w:color w:val="000000"/>
          <w:spacing w:val="0"/>
          <w:w w:val="100"/>
          <w:position w:val="0"/>
        </w:rPr>
        <w:t>、</w:t>
        <w:tab/>
        <w:t>报告期内在中国证监会指定网站上公开披露过的所有公司文件的正本及公告的原稿；</w:t>
      </w:r>
    </w:p>
    <w:p>
      <w:pPr>
        <w:pStyle w:val="Style41"/>
        <w:keepNext w:val="0"/>
        <w:keepLines w:val="0"/>
        <w:widowControl w:val="0"/>
        <w:shd w:val="clear" w:color="auto" w:fill="auto"/>
        <w:tabs>
          <w:tab w:pos="895" w:val="left"/>
        </w:tabs>
        <w:bidi w:val="0"/>
        <w:spacing w:before="0" w:after="260" w:line="240" w:lineRule="auto"/>
        <w:ind w:left="0" w:right="0" w:firstLine="460"/>
        <w:jc w:val="left"/>
      </w:pPr>
      <w:bookmarkStart w:id="2326" w:name="bookmark2326"/>
      <w:r>
        <w:rPr>
          <w:color w:val="000000"/>
          <w:spacing w:val="0"/>
          <w:w w:val="100"/>
          <w:position w:val="0"/>
        </w:rPr>
        <w:t>四</w:t>
      </w:r>
      <w:bookmarkEnd w:id="2326"/>
      <w:r>
        <w:rPr>
          <w:color w:val="000000"/>
          <w:spacing w:val="0"/>
          <w:w w:val="100"/>
          <w:position w:val="0"/>
        </w:rPr>
        <w:t>、</w:t>
        <w:tab/>
        <w:t>其他相关资料。</w:t>
      </w:r>
    </w:p>
    <w:p>
      <w:pPr>
        <w:pStyle w:val="Style41"/>
        <w:keepNext w:val="0"/>
        <w:keepLines w:val="0"/>
        <w:widowControl w:val="0"/>
        <w:shd w:val="clear" w:color="auto" w:fill="auto"/>
        <w:bidi w:val="0"/>
        <w:spacing w:before="0" w:after="260" w:line="240" w:lineRule="auto"/>
        <w:ind w:left="0" w:right="0" w:firstLine="460"/>
        <w:jc w:val="left"/>
      </w:pPr>
      <w:r>
        <w:rPr>
          <w:color w:val="000000"/>
          <w:spacing w:val="0"/>
          <w:w w:val="100"/>
          <w:position w:val="0"/>
        </w:rPr>
        <w:t>以上备查文件的备置地点：公司董事会办公室</w:t>
      </w:r>
    </w:p>
    <w:sectPr>
      <w:headerReference w:type="default" r:id="rId475"/>
      <w:footerReference w:type="default" r:id="rId476"/>
      <w:headerReference w:type="even" r:id="rId477"/>
      <w:footerReference w:type="even" r:id="rId478"/>
      <w:footnotePr>
        <w:pos w:val="pageBottom"/>
        <w:numFmt w:val="decimal"/>
        <w:numRestart w:val="continuous"/>
      </w:footnotePr>
      <w:pgSz w:w="11904" w:h="17375"/>
      <w:pgMar w:top="2188" w:right="1018" w:bottom="2188" w:left="1018" w:header="0" w:footer="3" w:gutter="0"/>
      <w:cols w:space="720"/>
      <w:noEndnote/>
      <w:rtlGutter w:val="0"/>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2" behindDoc="1" locked="0" layoutInCell="1" allowOverlap="1">
              <wp:simplePos x="0" y="0"/>
              <wp:positionH relativeFrom="page">
                <wp:posOffset>6784975</wp:posOffset>
              </wp:positionH>
              <wp:positionV relativeFrom="page">
                <wp:posOffset>10128250</wp:posOffset>
              </wp:positionV>
              <wp:extent cx="52070" cy="79375"/>
              <wp:wrapNone/>
              <wp:docPr id="6" name="Shape 6"/>
              <a:graphic xmlns:a="http://schemas.openxmlformats.org/drawingml/2006/main">
                <a:graphicData uri="http://schemas.microsoft.com/office/word/2010/wordprocessingShape">
                  <wps:wsp>
                    <wps:cNvSpPr txBox="1"/>
                    <wps:spPr>
                      <a:xfrm>
                        <a:ext cx="52070" cy="7937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032" type="#_x0000_t202" style="position:absolute;margin-left:534.25pt;margin-top:797.5pt;width:4.0999999999999996pt;height:6.25pt;z-index:-188744061;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8" behindDoc="1" locked="0" layoutInCell="1" allowOverlap="1">
              <wp:simplePos x="0" y="0"/>
              <wp:positionH relativeFrom="page">
                <wp:posOffset>6742430</wp:posOffset>
              </wp:positionH>
              <wp:positionV relativeFrom="page">
                <wp:posOffset>10146030</wp:posOffset>
              </wp:positionV>
              <wp:extent cx="97790" cy="79375"/>
              <wp:wrapNone/>
              <wp:docPr id="47" name="Shape 47"/>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073" type="#_x0000_t202" style="position:absolute;margin-left:530.89999999999998pt;margin-top:798.89999999999998pt;width:7.7000000000000002pt;height:6.25pt;z-index:-188744025;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10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8" behindDoc="1" locked="0" layoutInCell="1" allowOverlap="1">
              <wp:simplePos x="0" y="0"/>
              <wp:positionH relativeFrom="page">
                <wp:posOffset>6744335</wp:posOffset>
              </wp:positionH>
              <wp:positionV relativeFrom="page">
                <wp:posOffset>10141585</wp:posOffset>
              </wp:positionV>
              <wp:extent cx="103505" cy="79375"/>
              <wp:wrapNone/>
              <wp:docPr id="662" name="Shape 662"/>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688" type="#_x0000_t202" style="position:absolute;margin-left:531.04999999999995pt;margin-top:798.55000000000007pt;width:8.1500000000000004pt;height:6.25pt;z-index:-188743675;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10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2" behindDoc="1" locked="0" layoutInCell="1" allowOverlap="1">
              <wp:simplePos x="0" y="0"/>
              <wp:positionH relativeFrom="page">
                <wp:posOffset>6732905</wp:posOffset>
              </wp:positionH>
              <wp:positionV relativeFrom="page">
                <wp:posOffset>10149840</wp:posOffset>
              </wp:positionV>
              <wp:extent cx="103505" cy="79375"/>
              <wp:wrapNone/>
              <wp:docPr id="666" name="Shape 666"/>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692" type="#_x0000_t202" style="position:absolute;margin-left:530.14999999999998pt;margin-top:799.20000000000005pt;width:8.1500000000000004pt;height:6.25pt;z-index:-188743671;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10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4" behindDoc="1" locked="0" layoutInCell="1" allowOverlap="1">
              <wp:simplePos x="0" y="0"/>
              <wp:positionH relativeFrom="page">
                <wp:posOffset>6742430</wp:posOffset>
              </wp:positionH>
              <wp:positionV relativeFrom="page">
                <wp:posOffset>10131425</wp:posOffset>
              </wp:positionV>
              <wp:extent cx="97790" cy="79375"/>
              <wp:wrapNone/>
              <wp:docPr id="668" name="Shape 668"/>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694" type="#_x0000_t202" style="position:absolute;margin-left:530.89999999999998pt;margin-top:797.75pt;width:7.7000000000000002pt;height:6.25pt;z-index:-188743669;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10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6" behindDoc="1" locked="0" layoutInCell="1" allowOverlap="1">
              <wp:simplePos x="0" y="0"/>
              <wp:positionH relativeFrom="page">
                <wp:posOffset>6742430</wp:posOffset>
              </wp:positionH>
              <wp:positionV relativeFrom="page">
                <wp:posOffset>10131425</wp:posOffset>
              </wp:positionV>
              <wp:extent cx="97790" cy="79375"/>
              <wp:wrapNone/>
              <wp:docPr id="670" name="Shape 670"/>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696" type="#_x0000_t202" style="position:absolute;margin-left:530.89999999999998pt;margin-top:797.75pt;width:7.7000000000000002pt;height:6.25pt;z-index:-188743667;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10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0" behindDoc="1" locked="0" layoutInCell="1" allowOverlap="1">
              <wp:simplePos x="0" y="0"/>
              <wp:positionH relativeFrom="page">
                <wp:posOffset>6732905</wp:posOffset>
              </wp:positionH>
              <wp:positionV relativeFrom="page">
                <wp:posOffset>10149840</wp:posOffset>
              </wp:positionV>
              <wp:extent cx="103505" cy="79375"/>
              <wp:wrapNone/>
              <wp:docPr id="674" name="Shape 674"/>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700" type="#_x0000_t202" style="position:absolute;margin-left:530.14999999999998pt;margin-top:799.20000000000005pt;width:8.1500000000000004pt;height:6.25pt;z-index:-188743663;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10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4" behindDoc="1" locked="0" layoutInCell="1" allowOverlap="1">
              <wp:simplePos x="0" y="0"/>
              <wp:positionH relativeFrom="page">
                <wp:posOffset>6732905</wp:posOffset>
              </wp:positionH>
              <wp:positionV relativeFrom="page">
                <wp:posOffset>10149840</wp:posOffset>
              </wp:positionV>
              <wp:extent cx="103505" cy="79375"/>
              <wp:wrapNone/>
              <wp:docPr id="678" name="Shape 678"/>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704" type="#_x0000_t202" style="position:absolute;margin-left:530.14999999999998pt;margin-top:799.20000000000005pt;width:8.1500000000000004pt;height:6.25pt;z-index:-188743659;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10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0" behindDoc="1" locked="0" layoutInCell="1" allowOverlap="1">
              <wp:simplePos x="0" y="0"/>
              <wp:positionH relativeFrom="page">
                <wp:posOffset>6736080</wp:posOffset>
              </wp:positionH>
              <wp:positionV relativeFrom="page">
                <wp:posOffset>10153015</wp:posOffset>
              </wp:positionV>
              <wp:extent cx="100330" cy="79375"/>
              <wp:wrapNone/>
              <wp:docPr id="685" name="Shape 685"/>
              <a:graphic xmlns:a="http://schemas.openxmlformats.org/drawingml/2006/main">
                <a:graphicData uri="http://schemas.microsoft.com/office/word/2010/wordprocessingShape">
                  <wps:wsp>
                    <wps:cNvSpPr txBox="1"/>
                    <wps:spPr>
                      <a:xfrm>
                        <a:ext cx="100330"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711" type="#_x0000_t202" style="position:absolute;margin-left:530.39999999999998pt;margin-top:799.45000000000005pt;width:7.9000000000000004pt;height:6.25pt;z-index:-188743653;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10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6" behindDoc="1" locked="0" layoutInCell="1" allowOverlap="1">
              <wp:simplePos x="0" y="0"/>
              <wp:positionH relativeFrom="page">
                <wp:posOffset>6736080</wp:posOffset>
              </wp:positionH>
              <wp:positionV relativeFrom="page">
                <wp:posOffset>10153015</wp:posOffset>
              </wp:positionV>
              <wp:extent cx="100330" cy="79375"/>
              <wp:wrapNone/>
              <wp:docPr id="692" name="Shape 692"/>
              <a:graphic xmlns:a="http://schemas.openxmlformats.org/drawingml/2006/main">
                <a:graphicData uri="http://schemas.microsoft.com/office/word/2010/wordprocessingShape">
                  <wps:wsp>
                    <wps:cNvSpPr txBox="1"/>
                    <wps:spPr>
                      <a:xfrm>
                        <a:ext cx="100330"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718" type="#_x0000_t202" style="position:absolute;margin-left:530.39999999999998pt;margin-top:799.45000000000005pt;width:7.9000000000000004pt;height:6.25pt;z-index:-188743647;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10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2" behindDoc="1" locked="0" layoutInCell="1" allowOverlap="1">
              <wp:simplePos x="0" y="0"/>
              <wp:positionH relativeFrom="page">
                <wp:posOffset>6736080</wp:posOffset>
              </wp:positionH>
              <wp:positionV relativeFrom="page">
                <wp:posOffset>10153015</wp:posOffset>
              </wp:positionV>
              <wp:extent cx="100330" cy="79375"/>
              <wp:wrapNone/>
              <wp:docPr id="699" name="Shape 699"/>
              <a:graphic xmlns:a="http://schemas.openxmlformats.org/drawingml/2006/main">
                <a:graphicData uri="http://schemas.microsoft.com/office/word/2010/wordprocessingShape">
                  <wps:wsp>
                    <wps:cNvSpPr txBox="1"/>
                    <wps:spPr>
                      <a:xfrm>
                        <a:ext cx="100330"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725" type="#_x0000_t202" style="position:absolute;margin-left:530.39999999999998pt;margin-top:799.45000000000005pt;width:7.9000000000000004pt;height:6.25pt;z-index:-188743641;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10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4" behindDoc="1" locked="0" layoutInCell="1" allowOverlap="1">
              <wp:simplePos x="0" y="0"/>
              <wp:positionH relativeFrom="page">
                <wp:posOffset>6742430</wp:posOffset>
              </wp:positionH>
              <wp:positionV relativeFrom="page">
                <wp:posOffset>10131425</wp:posOffset>
              </wp:positionV>
              <wp:extent cx="97790" cy="79375"/>
              <wp:wrapNone/>
              <wp:docPr id="701" name="Shape 701"/>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727" type="#_x0000_t202" style="position:absolute;margin-left:530.89999999999998pt;margin-top:797.75pt;width:7.7000000000000002pt;height:6.25pt;z-index:-188743639;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4" behindDoc="1" locked="0" layoutInCell="1" allowOverlap="1">
              <wp:simplePos x="0" y="0"/>
              <wp:positionH relativeFrom="page">
                <wp:posOffset>6742430</wp:posOffset>
              </wp:positionH>
              <wp:positionV relativeFrom="page">
                <wp:posOffset>10128250</wp:posOffset>
              </wp:positionV>
              <wp:extent cx="94615" cy="79375"/>
              <wp:wrapNone/>
              <wp:docPr id="146" name="Shape 146"/>
              <a:graphic xmlns:a="http://schemas.openxmlformats.org/drawingml/2006/main">
                <a:graphicData uri="http://schemas.microsoft.com/office/word/2010/wordprocessingShape">
                  <wps:wsp>
                    <wps:cNvSpPr txBox="1"/>
                    <wps:spPr>
                      <a:xfrm>
                        <a:ext cx="94615" cy="7937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172" type="#_x0000_t202" style="position:absolute;margin-left:530.89999999999998pt;margin-top:797.5pt;width:7.4500000000000002pt;height:6.25pt;z-index:-188744019;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1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6" behindDoc="1" locked="0" layoutInCell="1" allowOverlap="1">
              <wp:simplePos x="0" y="0"/>
              <wp:positionH relativeFrom="page">
                <wp:posOffset>6742430</wp:posOffset>
              </wp:positionH>
              <wp:positionV relativeFrom="page">
                <wp:posOffset>10131425</wp:posOffset>
              </wp:positionV>
              <wp:extent cx="97790" cy="79375"/>
              <wp:wrapNone/>
              <wp:docPr id="703" name="Shape 703"/>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729" type="#_x0000_t202" style="position:absolute;margin-left:530.89999999999998pt;margin-top:797.75pt;width:7.7000000000000002pt;height:6.25pt;z-index:-188743637;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1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2" behindDoc="1" locked="0" layoutInCell="1" allowOverlap="1">
              <wp:simplePos x="0" y="0"/>
              <wp:positionH relativeFrom="page">
                <wp:posOffset>6736080</wp:posOffset>
              </wp:positionH>
              <wp:positionV relativeFrom="page">
                <wp:posOffset>10153015</wp:posOffset>
              </wp:positionV>
              <wp:extent cx="100330" cy="79375"/>
              <wp:wrapNone/>
              <wp:docPr id="720" name="Shape 720"/>
              <a:graphic xmlns:a="http://schemas.openxmlformats.org/drawingml/2006/main">
                <a:graphicData uri="http://schemas.microsoft.com/office/word/2010/wordprocessingShape">
                  <wps:wsp>
                    <wps:cNvSpPr txBox="1"/>
                    <wps:spPr>
                      <a:xfrm>
                        <a:ext cx="100330"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746" type="#_x0000_t202" style="position:absolute;margin-left:530.39999999999998pt;margin-top:799.45000000000005pt;width:7.9000000000000004pt;height:6.25pt;z-index:-188743631;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1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8" behindDoc="1" locked="0" layoutInCell="1" allowOverlap="1">
              <wp:simplePos x="0" y="0"/>
              <wp:positionH relativeFrom="page">
                <wp:posOffset>6736080</wp:posOffset>
              </wp:positionH>
              <wp:positionV relativeFrom="page">
                <wp:posOffset>10153015</wp:posOffset>
              </wp:positionV>
              <wp:extent cx="100330" cy="79375"/>
              <wp:wrapNone/>
              <wp:docPr id="727" name="Shape 727"/>
              <a:graphic xmlns:a="http://schemas.openxmlformats.org/drawingml/2006/main">
                <a:graphicData uri="http://schemas.microsoft.com/office/word/2010/wordprocessingShape">
                  <wps:wsp>
                    <wps:cNvSpPr txBox="1"/>
                    <wps:spPr>
                      <a:xfrm>
                        <a:ext cx="100330"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753" type="#_x0000_t202" style="position:absolute;margin-left:530.39999999999998pt;margin-top:799.45000000000005pt;width:7.9000000000000004pt;height:6.25pt;z-index:-188743625;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1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4" behindDoc="1" locked="0" layoutInCell="1" allowOverlap="1">
              <wp:simplePos x="0" y="0"/>
              <wp:positionH relativeFrom="page">
                <wp:posOffset>6736080</wp:posOffset>
              </wp:positionH>
              <wp:positionV relativeFrom="page">
                <wp:posOffset>10153015</wp:posOffset>
              </wp:positionV>
              <wp:extent cx="100330" cy="79375"/>
              <wp:wrapNone/>
              <wp:docPr id="734" name="Shape 734"/>
              <a:graphic xmlns:a="http://schemas.openxmlformats.org/drawingml/2006/main">
                <a:graphicData uri="http://schemas.microsoft.com/office/word/2010/wordprocessingShape">
                  <wps:wsp>
                    <wps:cNvSpPr txBox="1"/>
                    <wps:spPr>
                      <a:xfrm>
                        <a:ext cx="100330"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760" type="#_x0000_t202" style="position:absolute;margin-left:530.39999999999998pt;margin-top:799.45000000000005pt;width:7.9000000000000004pt;height:6.25pt;z-index:-188743619;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1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0" behindDoc="1" locked="0" layoutInCell="1" allowOverlap="1">
              <wp:simplePos x="0" y="0"/>
              <wp:positionH relativeFrom="page">
                <wp:posOffset>6736080</wp:posOffset>
              </wp:positionH>
              <wp:positionV relativeFrom="page">
                <wp:posOffset>10153015</wp:posOffset>
              </wp:positionV>
              <wp:extent cx="100330" cy="79375"/>
              <wp:wrapNone/>
              <wp:docPr id="741" name="Shape 741"/>
              <a:graphic xmlns:a="http://schemas.openxmlformats.org/drawingml/2006/main">
                <a:graphicData uri="http://schemas.microsoft.com/office/word/2010/wordprocessingShape">
                  <wps:wsp>
                    <wps:cNvSpPr txBox="1"/>
                    <wps:spPr>
                      <a:xfrm>
                        <a:ext cx="100330"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767" type="#_x0000_t202" style="position:absolute;margin-left:530.39999999999998pt;margin-top:799.45000000000005pt;width:7.9000000000000004pt;height:6.25pt;z-index:-188743613;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1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4" behindDoc="1" locked="0" layoutInCell="1" allowOverlap="1">
              <wp:simplePos x="0" y="0"/>
              <wp:positionH relativeFrom="page">
                <wp:posOffset>6698615</wp:posOffset>
              </wp:positionH>
              <wp:positionV relativeFrom="page">
                <wp:posOffset>10126345</wp:posOffset>
              </wp:positionV>
              <wp:extent cx="155575" cy="79375"/>
              <wp:wrapNone/>
              <wp:docPr id="746" name="Shape 746"/>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772" type="#_x0000_t202" style="position:absolute;margin-left:527.45000000000005pt;margin-top:797.35000000000002pt;width:12.25pt;height:6.25pt;z-index:-188743609;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1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8" behindDoc="1" locked="0" layoutInCell="1" allowOverlap="1">
              <wp:simplePos x="0" y="0"/>
              <wp:positionH relativeFrom="page">
                <wp:posOffset>6698615</wp:posOffset>
              </wp:positionH>
              <wp:positionV relativeFrom="page">
                <wp:posOffset>10126345</wp:posOffset>
              </wp:positionV>
              <wp:extent cx="155575" cy="79375"/>
              <wp:wrapNone/>
              <wp:docPr id="753" name="Shape 753"/>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779" type="#_x0000_t202" style="position:absolute;margin-left:527.45000000000005pt;margin-top:797.35000000000002pt;width:12.25pt;height:6.25pt;z-index:-188743605;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1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2" behindDoc="1" locked="0" layoutInCell="1" allowOverlap="1">
              <wp:simplePos x="0" y="0"/>
              <wp:positionH relativeFrom="page">
                <wp:posOffset>6698615</wp:posOffset>
              </wp:positionH>
              <wp:positionV relativeFrom="page">
                <wp:posOffset>10126345</wp:posOffset>
              </wp:positionV>
              <wp:extent cx="155575" cy="79375"/>
              <wp:wrapNone/>
              <wp:docPr id="758" name="Shape 758"/>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784" type="#_x0000_t202" style="position:absolute;margin-left:527.45000000000005pt;margin-top:797.35000000000002pt;width:12.25pt;height:6.25pt;z-index:-188743601;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1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8" behindDoc="1" locked="0" layoutInCell="1" allowOverlap="1">
              <wp:simplePos x="0" y="0"/>
              <wp:positionH relativeFrom="page">
                <wp:posOffset>6736080</wp:posOffset>
              </wp:positionH>
              <wp:positionV relativeFrom="page">
                <wp:posOffset>10153015</wp:posOffset>
              </wp:positionV>
              <wp:extent cx="100330" cy="79375"/>
              <wp:wrapNone/>
              <wp:docPr id="765" name="Shape 765"/>
              <a:graphic xmlns:a="http://schemas.openxmlformats.org/drawingml/2006/main">
                <a:graphicData uri="http://schemas.microsoft.com/office/word/2010/wordprocessingShape">
                  <wps:wsp>
                    <wps:cNvSpPr txBox="1"/>
                    <wps:spPr>
                      <a:xfrm>
                        <a:ext cx="100330"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791" type="#_x0000_t202" style="position:absolute;margin-left:530.39999999999998pt;margin-top:799.45000000000005pt;width:7.9000000000000004pt;height:6.25pt;z-index:-188743595;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1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4" behindDoc="1" locked="0" layoutInCell="1" allowOverlap="1">
              <wp:simplePos x="0" y="0"/>
              <wp:positionH relativeFrom="page">
                <wp:posOffset>6736080</wp:posOffset>
              </wp:positionH>
              <wp:positionV relativeFrom="page">
                <wp:posOffset>10153015</wp:posOffset>
              </wp:positionV>
              <wp:extent cx="100330" cy="79375"/>
              <wp:wrapNone/>
              <wp:docPr id="772" name="Shape 772"/>
              <a:graphic xmlns:a="http://schemas.openxmlformats.org/drawingml/2006/main">
                <a:graphicData uri="http://schemas.microsoft.com/office/word/2010/wordprocessingShape">
                  <wps:wsp>
                    <wps:cNvSpPr txBox="1"/>
                    <wps:spPr>
                      <a:xfrm>
                        <a:ext cx="100330"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798" type="#_x0000_t202" style="position:absolute;margin-left:530.39999999999998pt;margin-top:799.45000000000005pt;width:7.9000000000000004pt;height:6.25pt;z-index:-188743589;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0" behindDoc="1" locked="0" layoutInCell="1" allowOverlap="1">
              <wp:simplePos x="0" y="0"/>
              <wp:positionH relativeFrom="page">
                <wp:posOffset>6742430</wp:posOffset>
              </wp:positionH>
              <wp:positionV relativeFrom="page">
                <wp:posOffset>10128250</wp:posOffset>
              </wp:positionV>
              <wp:extent cx="94615" cy="79375"/>
              <wp:wrapNone/>
              <wp:docPr id="153" name="Shape 153"/>
              <a:graphic xmlns:a="http://schemas.openxmlformats.org/drawingml/2006/main">
                <a:graphicData uri="http://schemas.microsoft.com/office/word/2010/wordprocessingShape">
                  <wps:wsp>
                    <wps:cNvSpPr txBox="1"/>
                    <wps:spPr>
                      <a:xfrm>
                        <a:ext cx="94615" cy="7937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179" type="#_x0000_t202" style="position:absolute;margin-left:530.89999999999998pt;margin-top:797.5pt;width:7.4500000000000002pt;height:6.25pt;z-index:-188744013;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1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8" behindDoc="1" locked="0" layoutInCell="1" allowOverlap="1">
              <wp:simplePos x="0" y="0"/>
              <wp:positionH relativeFrom="page">
                <wp:posOffset>6643370</wp:posOffset>
              </wp:positionH>
              <wp:positionV relativeFrom="page">
                <wp:posOffset>10152380</wp:posOffset>
              </wp:positionV>
              <wp:extent cx="152400" cy="79375"/>
              <wp:wrapNone/>
              <wp:docPr id="777" name="Shape 777"/>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803" type="#_x0000_t202" style="position:absolute;margin-left:523.10000000000002pt;margin-top:799.39999999999998pt;width:12.pt;height:6.25pt;z-index:-188743585;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1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0" behindDoc="1" locked="0" layoutInCell="1" allowOverlap="1">
              <wp:simplePos x="0" y="0"/>
              <wp:positionH relativeFrom="page">
                <wp:posOffset>6742430</wp:posOffset>
              </wp:positionH>
              <wp:positionV relativeFrom="page">
                <wp:posOffset>10131425</wp:posOffset>
              </wp:positionV>
              <wp:extent cx="97790" cy="79375"/>
              <wp:wrapNone/>
              <wp:docPr id="779" name="Shape 779"/>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805" type="#_x0000_t202" style="position:absolute;margin-left:530.89999999999998pt;margin-top:797.75pt;width:7.7000000000000002pt;height:6.25pt;z-index:-188743583;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1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4" behindDoc="1" locked="0" layoutInCell="1" allowOverlap="1">
              <wp:simplePos x="0" y="0"/>
              <wp:positionH relativeFrom="page">
                <wp:posOffset>6698615</wp:posOffset>
              </wp:positionH>
              <wp:positionV relativeFrom="page">
                <wp:posOffset>10126345</wp:posOffset>
              </wp:positionV>
              <wp:extent cx="155575" cy="79375"/>
              <wp:wrapNone/>
              <wp:docPr id="784" name="Shape 784"/>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810" type="#_x0000_t202" style="position:absolute;margin-left:527.45000000000005pt;margin-top:797.35000000000002pt;width:12.25pt;height:6.25pt;z-index:-188743579;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1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8" behindDoc="1" locked="0" layoutInCell="1" allowOverlap="1">
              <wp:simplePos x="0" y="0"/>
              <wp:positionH relativeFrom="page">
                <wp:posOffset>6698615</wp:posOffset>
              </wp:positionH>
              <wp:positionV relativeFrom="page">
                <wp:posOffset>10126345</wp:posOffset>
              </wp:positionV>
              <wp:extent cx="155575" cy="79375"/>
              <wp:wrapNone/>
              <wp:docPr id="789" name="Shape 789"/>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815" type="#_x0000_t202" style="position:absolute;margin-left:527.45000000000005pt;margin-top:797.35000000000002pt;width:12.25pt;height:6.25pt;z-index:-188743575;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1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2" behindDoc="1" locked="0" layoutInCell="1" allowOverlap="1">
              <wp:simplePos x="0" y="0"/>
              <wp:positionH relativeFrom="page">
                <wp:posOffset>6698615</wp:posOffset>
              </wp:positionH>
              <wp:positionV relativeFrom="page">
                <wp:posOffset>10126345</wp:posOffset>
              </wp:positionV>
              <wp:extent cx="155575" cy="79375"/>
              <wp:wrapNone/>
              <wp:docPr id="794" name="Shape 794"/>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820" type="#_x0000_t202" style="position:absolute;margin-left:527.45000000000005pt;margin-top:797.35000000000002pt;width:12.25pt;height:6.25pt;z-index:-188743571;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1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4" behindDoc="1" locked="0" layoutInCell="1" allowOverlap="1">
              <wp:simplePos x="0" y="0"/>
              <wp:positionH relativeFrom="page">
                <wp:posOffset>6742430</wp:posOffset>
              </wp:positionH>
              <wp:positionV relativeFrom="page">
                <wp:posOffset>10131425</wp:posOffset>
              </wp:positionV>
              <wp:extent cx="97790" cy="79375"/>
              <wp:wrapNone/>
              <wp:docPr id="796" name="Shape 796"/>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822" type="#_x0000_t202" style="position:absolute;margin-left:530.89999999999998pt;margin-top:797.75pt;width:7.7000000000000002pt;height:6.25pt;z-index:-188743569;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1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6" behindDoc="1" locked="0" layoutInCell="1" allowOverlap="1">
              <wp:simplePos x="0" y="0"/>
              <wp:positionH relativeFrom="page">
                <wp:posOffset>6742430</wp:posOffset>
              </wp:positionH>
              <wp:positionV relativeFrom="page">
                <wp:posOffset>10131425</wp:posOffset>
              </wp:positionV>
              <wp:extent cx="97790" cy="79375"/>
              <wp:wrapNone/>
              <wp:docPr id="798" name="Shape 798"/>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824" type="#_x0000_t202" style="position:absolute;margin-left:530.89999999999998pt;margin-top:797.75pt;width:7.7000000000000002pt;height:6.25pt;z-index:-188743567;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1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0" behindDoc="1" locked="0" layoutInCell="1" allowOverlap="1">
              <wp:simplePos x="0" y="0"/>
              <wp:positionH relativeFrom="page">
                <wp:posOffset>6643370</wp:posOffset>
              </wp:positionH>
              <wp:positionV relativeFrom="page">
                <wp:posOffset>10152380</wp:posOffset>
              </wp:positionV>
              <wp:extent cx="152400" cy="79375"/>
              <wp:wrapNone/>
              <wp:docPr id="803" name="Shape 803"/>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829" type="#_x0000_t202" style="position:absolute;margin-left:523.10000000000002pt;margin-top:799.39999999999998pt;width:12.pt;height:6.25pt;z-index:-188743563;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1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4" behindDoc="1" locked="0" layoutInCell="1" allowOverlap="1">
              <wp:simplePos x="0" y="0"/>
              <wp:positionH relativeFrom="page">
                <wp:posOffset>6643370</wp:posOffset>
              </wp:positionH>
              <wp:positionV relativeFrom="page">
                <wp:posOffset>10152380</wp:posOffset>
              </wp:positionV>
              <wp:extent cx="152400" cy="79375"/>
              <wp:wrapNone/>
              <wp:docPr id="808" name="Shape 808"/>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834" type="#_x0000_t202" style="position:absolute;margin-left:523.10000000000002pt;margin-top:799.39999999999998pt;width:12.pt;height:6.25pt;z-index:-188743559;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1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6" behindDoc="1" locked="0" layoutInCell="1" allowOverlap="1">
              <wp:simplePos x="0" y="0"/>
              <wp:positionH relativeFrom="page">
                <wp:posOffset>6742430</wp:posOffset>
              </wp:positionH>
              <wp:positionV relativeFrom="page">
                <wp:posOffset>10131425</wp:posOffset>
              </wp:positionV>
              <wp:extent cx="97790" cy="79375"/>
              <wp:wrapNone/>
              <wp:docPr id="814" name="Shape 814"/>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840" type="#_x0000_t202" style="position:absolute;margin-left:530.89999999999998pt;margin-top:797.75pt;width:7.7000000000000002pt;height:6.25pt;z-index:-188743557;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2" behindDoc="1" locked="0" layoutInCell="1" allowOverlap="1">
              <wp:simplePos x="0" y="0"/>
              <wp:positionH relativeFrom="page">
                <wp:posOffset>6742430</wp:posOffset>
              </wp:positionH>
              <wp:positionV relativeFrom="page">
                <wp:posOffset>10131425</wp:posOffset>
              </wp:positionV>
              <wp:extent cx="97790" cy="79375"/>
              <wp:wrapNone/>
              <wp:docPr id="155" name="Shape 155"/>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181" type="#_x0000_t202" style="position:absolute;margin-left:530.89999999999998pt;margin-top:797.75pt;width:7.7000000000000002pt;height:6.25pt;z-index:-188744011;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1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8" behindDoc="1" locked="0" layoutInCell="1" allowOverlap="1">
              <wp:simplePos x="0" y="0"/>
              <wp:positionH relativeFrom="page">
                <wp:posOffset>6742430</wp:posOffset>
              </wp:positionH>
              <wp:positionV relativeFrom="page">
                <wp:posOffset>10131425</wp:posOffset>
              </wp:positionV>
              <wp:extent cx="97790" cy="79375"/>
              <wp:wrapNone/>
              <wp:docPr id="816" name="Shape 816"/>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842" type="#_x0000_t202" style="position:absolute;margin-left:530.89999999999998pt;margin-top:797.75pt;width:7.7000000000000002pt;height:6.25pt;z-index:-188743555;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1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2" behindDoc="1" locked="0" layoutInCell="1" allowOverlap="1">
              <wp:simplePos x="0" y="0"/>
              <wp:positionH relativeFrom="page">
                <wp:posOffset>6643370</wp:posOffset>
              </wp:positionH>
              <wp:positionV relativeFrom="page">
                <wp:posOffset>10152380</wp:posOffset>
              </wp:positionV>
              <wp:extent cx="152400" cy="79375"/>
              <wp:wrapNone/>
              <wp:docPr id="821" name="Shape 821"/>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847" type="#_x0000_t202" style="position:absolute;margin-left:523.10000000000002pt;margin-top:799.39999999999998pt;width:12.pt;height:6.25pt;z-index:-188743551;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1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6" behindDoc="1" locked="0" layoutInCell="1" allowOverlap="1">
              <wp:simplePos x="0" y="0"/>
              <wp:positionH relativeFrom="page">
                <wp:posOffset>6643370</wp:posOffset>
              </wp:positionH>
              <wp:positionV relativeFrom="page">
                <wp:posOffset>10152380</wp:posOffset>
              </wp:positionV>
              <wp:extent cx="152400" cy="79375"/>
              <wp:wrapNone/>
              <wp:docPr id="826" name="Shape 826"/>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852" type="#_x0000_t202" style="position:absolute;margin-left:523.10000000000002pt;margin-top:799.39999999999998pt;width:12.pt;height:6.25pt;z-index:-188743547;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1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8" behindDoc="1" locked="0" layoutInCell="1" allowOverlap="1">
              <wp:simplePos x="0" y="0"/>
              <wp:positionH relativeFrom="page">
                <wp:posOffset>6742430</wp:posOffset>
              </wp:positionH>
              <wp:positionV relativeFrom="page">
                <wp:posOffset>10131425</wp:posOffset>
              </wp:positionV>
              <wp:extent cx="97790" cy="79375"/>
              <wp:wrapNone/>
              <wp:docPr id="828" name="Shape 828"/>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854" type="#_x0000_t202" style="position:absolute;margin-left:530.89999999999998pt;margin-top:797.75pt;width:7.7000000000000002pt;height:6.25pt;z-index:-188743545;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1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0" behindDoc="1" locked="0" layoutInCell="1" allowOverlap="1">
              <wp:simplePos x="0" y="0"/>
              <wp:positionH relativeFrom="page">
                <wp:posOffset>6742430</wp:posOffset>
              </wp:positionH>
              <wp:positionV relativeFrom="page">
                <wp:posOffset>10131425</wp:posOffset>
              </wp:positionV>
              <wp:extent cx="97790" cy="79375"/>
              <wp:wrapNone/>
              <wp:docPr id="830" name="Shape 830"/>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856" type="#_x0000_t202" style="position:absolute;margin-left:530.89999999999998pt;margin-top:797.75pt;width:7.7000000000000002pt;height:6.25pt;z-index:-188743543;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1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4" behindDoc="1" locked="0" layoutInCell="1" allowOverlap="1">
              <wp:simplePos x="0" y="0"/>
              <wp:positionH relativeFrom="page">
                <wp:posOffset>6684010</wp:posOffset>
              </wp:positionH>
              <wp:positionV relativeFrom="page">
                <wp:posOffset>10128250</wp:posOffset>
              </wp:positionV>
              <wp:extent cx="152400" cy="79375"/>
              <wp:wrapNone/>
              <wp:docPr id="834" name="Shape 834"/>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860" type="#_x0000_t202" style="position:absolute;margin-left:526.29999999999995pt;margin-top:797.5pt;width:12.pt;height:6.25pt;z-index:-188743539;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1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8" behindDoc="1" locked="0" layoutInCell="1" allowOverlap="1">
              <wp:simplePos x="0" y="0"/>
              <wp:positionH relativeFrom="page">
                <wp:posOffset>6684010</wp:posOffset>
              </wp:positionH>
              <wp:positionV relativeFrom="page">
                <wp:posOffset>10128250</wp:posOffset>
              </wp:positionV>
              <wp:extent cx="152400" cy="79375"/>
              <wp:wrapNone/>
              <wp:docPr id="838" name="Shape 838"/>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864" type="#_x0000_t202" style="position:absolute;margin-left:526.29999999999995pt;margin-top:797.5pt;width:12.pt;height:6.25pt;z-index:-188743535;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1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0" behindDoc="1" locked="0" layoutInCell="1" allowOverlap="1">
              <wp:simplePos x="0" y="0"/>
              <wp:positionH relativeFrom="page">
                <wp:posOffset>6742430</wp:posOffset>
              </wp:positionH>
              <wp:positionV relativeFrom="page">
                <wp:posOffset>10131425</wp:posOffset>
              </wp:positionV>
              <wp:extent cx="97790" cy="79375"/>
              <wp:wrapNone/>
              <wp:docPr id="840" name="Shape 840"/>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866" type="#_x0000_t202" style="position:absolute;margin-left:530.89999999999998pt;margin-top:797.75pt;width:7.7000000000000002pt;height:6.25pt;z-index:-188743533;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1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2" behindDoc="1" locked="0" layoutInCell="1" allowOverlap="1">
              <wp:simplePos x="0" y="0"/>
              <wp:positionH relativeFrom="page">
                <wp:posOffset>6742430</wp:posOffset>
              </wp:positionH>
              <wp:positionV relativeFrom="page">
                <wp:posOffset>10131425</wp:posOffset>
              </wp:positionV>
              <wp:extent cx="97790" cy="79375"/>
              <wp:wrapNone/>
              <wp:docPr id="842" name="Shape 842"/>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868" type="#_x0000_t202" style="position:absolute;margin-left:530.89999999999998pt;margin-top:797.75pt;width:7.7000000000000002pt;height:6.25pt;z-index:-188743531;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1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6" behindDoc="1" locked="0" layoutInCell="1" allowOverlap="1">
              <wp:simplePos x="0" y="0"/>
              <wp:positionH relativeFrom="page">
                <wp:posOffset>6643370</wp:posOffset>
              </wp:positionH>
              <wp:positionV relativeFrom="page">
                <wp:posOffset>10152380</wp:posOffset>
              </wp:positionV>
              <wp:extent cx="152400" cy="79375"/>
              <wp:wrapNone/>
              <wp:docPr id="847" name="Shape 847"/>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873" type="#_x0000_t202" style="position:absolute;margin-left:523.10000000000002pt;margin-top:799.39999999999998pt;width:12.pt;height:6.25pt;z-index:-188743527;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4" behindDoc="1" locked="0" layoutInCell="1" allowOverlap="1">
              <wp:simplePos x="0" y="0"/>
              <wp:positionH relativeFrom="page">
                <wp:posOffset>6742430</wp:posOffset>
              </wp:positionH>
              <wp:positionV relativeFrom="page">
                <wp:posOffset>10131425</wp:posOffset>
              </wp:positionV>
              <wp:extent cx="97790" cy="79375"/>
              <wp:wrapNone/>
              <wp:docPr id="157" name="Shape 157"/>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183" type="#_x0000_t202" style="position:absolute;margin-left:530.89999999999998pt;margin-top:797.75pt;width:7.7000000000000002pt;height:6.25pt;z-index:-188744009;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1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30" behindDoc="1" locked="0" layoutInCell="1" allowOverlap="1">
              <wp:simplePos x="0" y="0"/>
              <wp:positionH relativeFrom="page">
                <wp:posOffset>6643370</wp:posOffset>
              </wp:positionH>
              <wp:positionV relativeFrom="page">
                <wp:posOffset>10152380</wp:posOffset>
              </wp:positionV>
              <wp:extent cx="152400" cy="79375"/>
              <wp:wrapNone/>
              <wp:docPr id="852" name="Shape 852"/>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878" type="#_x0000_t202" style="position:absolute;margin-left:523.10000000000002pt;margin-top:799.39999999999998pt;width:12.pt;height:6.25pt;z-index:-188743523;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1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32" behindDoc="1" locked="0" layoutInCell="1" allowOverlap="1">
              <wp:simplePos x="0" y="0"/>
              <wp:positionH relativeFrom="page">
                <wp:posOffset>6742430</wp:posOffset>
              </wp:positionH>
              <wp:positionV relativeFrom="page">
                <wp:posOffset>10131425</wp:posOffset>
              </wp:positionV>
              <wp:extent cx="97790" cy="79375"/>
              <wp:wrapNone/>
              <wp:docPr id="854" name="Shape 854"/>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880" type="#_x0000_t202" style="position:absolute;margin-left:530.89999999999998pt;margin-top:797.75pt;width:7.7000000000000002pt;height:6.25pt;z-index:-188743521;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1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34" behindDoc="1" locked="0" layoutInCell="1" allowOverlap="1">
              <wp:simplePos x="0" y="0"/>
              <wp:positionH relativeFrom="page">
                <wp:posOffset>6742430</wp:posOffset>
              </wp:positionH>
              <wp:positionV relativeFrom="page">
                <wp:posOffset>10131425</wp:posOffset>
              </wp:positionV>
              <wp:extent cx="97790" cy="79375"/>
              <wp:wrapNone/>
              <wp:docPr id="856" name="Shape 856"/>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882" type="#_x0000_t202" style="position:absolute;margin-left:530.89999999999998pt;margin-top:797.75pt;width:7.7000000000000002pt;height:6.25pt;z-index:-188743519;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1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38" behindDoc="1" locked="0" layoutInCell="1" allowOverlap="1">
              <wp:simplePos x="0" y="0"/>
              <wp:positionH relativeFrom="page">
                <wp:posOffset>6643370</wp:posOffset>
              </wp:positionH>
              <wp:positionV relativeFrom="page">
                <wp:posOffset>10152380</wp:posOffset>
              </wp:positionV>
              <wp:extent cx="152400" cy="79375"/>
              <wp:wrapNone/>
              <wp:docPr id="861" name="Shape 861"/>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887" type="#_x0000_t202" style="position:absolute;margin-left:523.10000000000002pt;margin-top:799.39999999999998pt;width:12.pt;height:6.25pt;z-index:-188743515;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1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2" behindDoc="1" locked="0" layoutInCell="1" allowOverlap="1">
              <wp:simplePos x="0" y="0"/>
              <wp:positionH relativeFrom="page">
                <wp:posOffset>6643370</wp:posOffset>
              </wp:positionH>
              <wp:positionV relativeFrom="page">
                <wp:posOffset>10152380</wp:posOffset>
              </wp:positionV>
              <wp:extent cx="152400" cy="79375"/>
              <wp:wrapNone/>
              <wp:docPr id="866" name="Shape 866"/>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892" type="#_x0000_t202" style="position:absolute;margin-left:523.10000000000002pt;margin-top:799.39999999999998pt;width:12.pt;height:6.25pt;z-index:-188743511;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1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4" behindDoc="1" locked="0" layoutInCell="1" allowOverlap="1">
              <wp:simplePos x="0" y="0"/>
              <wp:positionH relativeFrom="page">
                <wp:posOffset>6742430</wp:posOffset>
              </wp:positionH>
              <wp:positionV relativeFrom="page">
                <wp:posOffset>10131425</wp:posOffset>
              </wp:positionV>
              <wp:extent cx="97790" cy="79375"/>
              <wp:wrapNone/>
              <wp:docPr id="868" name="Shape 868"/>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894" type="#_x0000_t202" style="position:absolute;margin-left:530.89999999999998pt;margin-top:797.75pt;width:7.7000000000000002pt;height:6.25pt;z-index:-188743509;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1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6" behindDoc="1" locked="0" layoutInCell="1" allowOverlap="1">
              <wp:simplePos x="0" y="0"/>
              <wp:positionH relativeFrom="page">
                <wp:posOffset>6742430</wp:posOffset>
              </wp:positionH>
              <wp:positionV relativeFrom="page">
                <wp:posOffset>10131425</wp:posOffset>
              </wp:positionV>
              <wp:extent cx="97790" cy="79375"/>
              <wp:wrapNone/>
              <wp:docPr id="870" name="Shape 870"/>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896" type="#_x0000_t202" style="position:absolute;margin-left:530.89999999999998pt;margin-top:797.75pt;width:7.7000000000000002pt;height:6.25pt;z-index:-188743507;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1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0" behindDoc="1" locked="0" layoutInCell="1" allowOverlap="1">
              <wp:simplePos x="0" y="0"/>
              <wp:positionH relativeFrom="page">
                <wp:posOffset>6673850</wp:posOffset>
              </wp:positionH>
              <wp:positionV relativeFrom="page">
                <wp:posOffset>10125710</wp:posOffset>
              </wp:positionV>
              <wp:extent cx="152400" cy="79375"/>
              <wp:wrapNone/>
              <wp:docPr id="875" name="Shape 875"/>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901" type="#_x0000_t202" style="position:absolute;margin-left:525.5pt;margin-top:797.30000000000007pt;width:12.pt;height:6.25pt;z-index:-188743503;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1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4" behindDoc="1" locked="0" layoutInCell="1" allowOverlap="1">
              <wp:simplePos x="0" y="0"/>
              <wp:positionH relativeFrom="page">
                <wp:posOffset>6643370</wp:posOffset>
              </wp:positionH>
              <wp:positionV relativeFrom="page">
                <wp:posOffset>10152380</wp:posOffset>
              </wp:positionV>
              <wp:extent cx="152400" cy="79375"/>
              <wp:wrapNone/>
              <wp:docPr id="880" name="Shape 880"/>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906" type="#_x0000_t202" style="position:absolute;margin-left:523.10000000000002pt;margin-top:799.39999999999998pt;width:12.pt;height:6.25pt;z-index:-188743499;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14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60" behindDoc="1" locked="0" layoutInCell="1" allowOverlap="1">
              <wp:simplePos x="0" y="0"/>
              <wp:positionH relativeFrom="page">
                <wp:posOffset>6697980</wp:posOffset>
              </wp:positionH>
              <wp:positionV relativeFrom="page">
                <wp:posOffset>10153015</wp:posOffset>
              </wp:positionV>
              <wp:extent cx="152400" cy="79375"/>
              <wp:wrapNone/>
              <wp:docPr id="887" name="Shape 887"/>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913" type="#_x0000_t202" style="position:absolute;margin-left:527.39999999999998pt;margin-top:799.45000000000005pt;width:12.pt;height:6.25pt;z-index:-188743493;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8" behindDoc="1" locked="0" layoutInCell="1" allowOverlap="1">
              <wp:simplePos x="0" y="0"/>
              <wp:positionH relativeFrom="page">
                <wp:posOffset>6739890</wp:posOffset>
              </wp:positionH>
              <wp:positionV relativeFrom="page">
                <wp:posOffset>10238740</wp:posOffset>
              </wp:positionV>
              <wp:extent cx="100330" cy="79375"/>
              <wp:wrapNone/>
              <wp:docPr id="173" name="Shape 173"/>
              <a:graphic xmlns:a="http://schemas.openxmlformats.org/drawingml/2006/main">
                <a:graphicData uri="http://schemas.microsoft.com/office/word/2010/wordprocessingShape">
                  <wps:wsp>
                    <wps:cNvSpPr txBox="1"/>
                    <wps:spPr>
                      <a:xfrm>
                        <a:ext cx="100330" cy="7937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199" type="#_x0000_t202" style="position:absolute;margin-left:530.70000000000005pt;margin-top:806.20000000000005pt;width:7.9000000000000004pt;height:6.25pt;z-index:-188744005;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15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66" behindDoc="1" locked="0" layoutInCell="1" allowOverlap="1">
              <wp:simplePos x="0" y="0"/>
              <wp:positionH relativeFrom="page">
                <wp:posOffset>6697980</wp:posOffset>
              </wp:positionH>
              <wp:positionV relativeFrom="page">
                <wp:posOffset>10153015</wp:posOffset>
              </wp:positionV>
              <wp:extent cx="152400" cy="79375"/>
              <wp:wrapNone/>
              <wp:docPr id="894" name="Shape 894"/>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920" type="#_x0000_t202" style="position:absolute;margin-left:527.39999999999998pt;margin-top:799.45000000000005pt;width:12.pt;height:6.25pt;z-index:-188743487;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15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72" behindDoc="1" locked="0" layoutInCell="1" allowOverlap="1">
              <wp:simplePos x="0" y="0"/>
              <wp:positionH relativeFrom="page">
                <wp:posOffset>6697980</wp:posOffset>
              </wp:positionH>
              <wp:positionV relativeFrom="page">
                <wp:posOffset>10153015</wp:posOffset>
              </wp:positionV>
              <wp:extent cx="152400" cy="79375"/>
              <wp:wrapNone/>
              <wp:docPr id="901" name="Shape 901"/>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927" type="#_x0000_t202" style="position:absolute;margin-left:527.39999999999998pt;margin-top:799.45000000000005pt;width:12.pt;height:6.25pt;z-index:-188743481;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15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78" behindDoc="1" locked="0" layoutInCell="1" allowOverlap="1">
              <wp:simplePos x="0" y="0"/>
              <wp:positionH relativeFrom="page">
                <wp:posOffset>6697980</wp:posOffset>
              </wp:positionH>
              <wp:positionV relativeFrom="page">
                <wp:posOffset>10153015</wp:posOffset>
              </wp:positionV>
              <wp:extent cx="152400" cy="79375"/>
              <wp:wrapNone/>
              <wp:docPr id="908" name="Shape 908"/>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934" type="#_x0000_t202" style="position:absolute;margin-left:527.39999999999998pt;margin-top:799.45000000000005pt;width:12.pt;height:6.25pt;z-index:-188743475;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15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82" behindDoc="1" locked="0" layoutInCell="1" allowOverlap="1">
              <wp:simplePos x="0" y="0"/>
              <wp:positionH relativeFrom="page">
                <wp:posOffset>6673850</wp:posOffset>
              </wp:positionH>
              <wp:positionV relativeFrom="page">
                <wp:posOffset>10125710</wp:posOffset>
              </wp:positionV>
              <wp:extent cx="152400" cy="79375"/>
              <wp:wrapNone/>
              <wp:docPr id="913" name="Shape 913"/>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939" type="#_x0000_t202" style="position:absolute;margin-left:525.5pt;margin-top:797.30000000000007pt;width:12.pt;height:6.25pt;z-index:-188743471;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15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86" behindDoc="1" locked="0" layoutInCell="1" allowOverlap="1">
              <wp:simplePos x="0" y="0"/>
              <wp:positionH relativeFrom="page">
                <wp:posOffset>6673850</wp:posOffset>
              </wp:positionH>
              <wp:positionV relativeFrom="page">
                <wp:posOffset>10125710</wp:posOffset>
              </wp:positionV>
              <wp:extent cx="152400" cy="79375"/>
              <wp:wrapNone/>
              <wp:docPr id="918" name="Shape 918"/>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944" type="#_x0000_t202" style="position:absolute;margin-left:525.5pt;margin-top:797.30000000000007pt;width:12.pt;height:6.25pt;z-index:-188743467;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15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90" behindDoc="1" locked="0" layoutInCell="1" allowOverlap="1">
              <wp:simplePos x="0" y="0"/>
              <wp:positionH relativeFrom="page">
                <wp:posOffset>6673850</wp:posOffset>
              </wp:positionH>
              <wp:positionV relativeFrom="page">
                <wp:posOffset>10125710</wp:posOffset>
              </wp:positionV>
              <wp:extent cx="152400" cy="79375"/>
              <wp:wrapNone/>
              <wp:docPr id="923" name="Shape 923"/>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949" type="#_x0000_t202" style="position:absolute;margin-left:525.5pt;margin-top:797.30000000000007pt;width:12.pt;height:6.25pt;z-index:-188743463;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15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96" behindDoc="1" locked="0" layoutInCell="1" allowOverlap="1">
              <wp:simplePos x="0" y="0"/>
              <wp:positionH relativeFrom="page">
                <wp:posOffset>6697980</wp:posOffset>
              </wp:positionH>
              <wp:positionV relativeFrom="page">
                <wp:posOffset>10153015</wp:posOffset>
              </wp:positionV>
              <wp:extent cx="152400" cy="79375"/>
              <wp:wrapNone/>
              <wp:docPr id="930" name="Shape 930"/>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956" type="#_x0000_t202" style="position:absolute;margin-left:527.39999999999998pt;margin-top:799.45000000000005pt;width:12.pt;height:6.25pt;z-index:-188743457;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15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98" behindDoc="1" locked="0" layoutInCell="1" allowOverlap="1">
              <wp:simplePos x="0" y="0"/>
              <wp:positionH relativeFrom="page">
                <wp:posOffset>6742430</wp:posOffset>
              </wp:positionH>
              <wp:positionV relativeFrom="page">
                <wp:posOffset>10131425</wp:posOffset>
              </wp:positionV>
              <wp:extent cx="97790" cy="79375"/>
              <wp:wrapNone/>
              <wp:docPr id="932" name="Shape 932"/>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958" type="#_x0000_t202" style="position:absolute;margin-left:530.89999999999998pt;margin-top:797.75pt;width:7.7000000000000002pt;height:6.25pt;z-index:-188743455;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15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02" behindDoc="1" locked="0" layoutInCell="1" allowOverlap="1">
              <wp:simplePos x="0" y="0"/>
              <wp:positionH relativeFrom="page">
                <wp:posOffset>6689090</wp:posOffset>
              </wp:positionH>
              <wp:positionV relativeFrom="page">
                <wp:posOffset>10153650</wp:posOffset>
              </wp:positionV>
              <wp:extent cx="155575" cy="79375"/>
              <wp:wrapNone/>
              <wp:docPr id="937" name="Shape 937"/>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963" type="#_x0000_t202" style="position:absolute;margin-left:526.70000000000005pt;margin-top:799.5pt;width:12.25pt;height:6.25pt;z-index:-188743451;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15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06" behindDoc="1" locked="0" layoutInCell="1" allowOverlap="1">
              <wp:simplePos x="0" y="0"/>
              <wp:positionH relativeFrom="page">
                <wp:posOffset>6689090</wp:posOffset>
              </wp:positionH>
              <wp:positionV relativeFrom="page">
                <wp:posOffset>10153650</wp:posOffset>
              </wp:positionV>
              <wp:extent cx="155575" cy="79375"/>
              <wp:wrapNone/>
              <wp:docPr id="942" name="Shape 942"/>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968" type="#_x0000_t202" style="position:absolute;margin-left:526.70000000000005pt;margin-top:799.5pt;width:12.25pt;height:6.25pt;z-index:-188743447;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2" behindDoc="1" locked="0" layoutInCell="1" allowOverlap="1">
              <wp:simplePos x="0" y="0"/>
              <wp:positionH relativeFrom="page">
                <wp:posOffset>6739890</wp:posOffset>
              </wp:positionH>
              <wp:positionV relativeFrom="page">
                <wp:posOffset>10238740</wp:posOffset>
              </wp:positionV>
              <wp:extent cx="100330" cy="79375"/>
              <wp:wrapNone/>
              <wp:docPr id="177" name="Shape 177"/>
              <a:graphic xmlns:a="http://schemas.openxmlformats.org/drawingml/2006/main">
                <a:graphicData uri="http://schemas.microsoft.com/office/word/2010/wordprocessingShape">
                  <wps:wsp>
                    <wps:cNvSpPr txBox="1"/>
                    <wps:spPr>
                      <a:xfrm>
                        <a:ext cx="100330" cy="7937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203" type="#_x0000_t202" style="position:absolute;margin-left:530.70000000000005pt;margin-top:806.20000000000005pt;width:7.9000000000000004pt;height:6.25pt;z-index:-188744001;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16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12" behindDoc="1" locked="0" layoutInCell="1" allowOverlap="1">
              <wp:simplePos x="0" y="0"/>
              <wp:positionH relativeFrom="page">
                <wp:posOffset>6697980</wp:posOffset>
              </wp:positionH>
              <wp:positionV relativeFrom="page">
                <wp:posOffset>10153015</wp:posOffset>
              </wp:positionV>
              <wp:extent cx="152400" cy="79375"/>
              <wp:wrapNone/>
              <wp:docPr id="949" name="Shape 949"/>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975" type="#_x0000_t202" style="position:absolute;margin-left:527.39999999999998pt;margin-top:799.45000000000005pt;width:12.pt;height:6.25pt;z-index:-188743441;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16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18" behindDoc="1" locked="0" layoutInCell="1" allowOverlap="1">
              <wp:simplePos x="0" y="0"/>
              <wp:positionH relativeFrom="page">
                <wp:posOffset>6697980</wp:posOffset>
              </wp:positionH>
              <wp:positionV relativeFrom="page">
                <wp:posOffset>10153015</wp:posOffset>
              </wp:positionV>
              <wp:extent cx="152400" cy="79375"/>
              <wp:wrapNone/>
              <wp:docPr id="956" name="Shape 956"/>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982" type="#_x0000_t202" style="position:absolute;margin-left:527.39999999999998pt;margin-top:799.45000000000005pt;width:12.pt;height:6.25pt;z-index:-188743435;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16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24" behindDoc="1" locked="0" layoutInCell="1" allowOverlap="1">
              <wp:simplePos x="0" y="0"/>
              <wp:positionH relativeFrom="page">
                <wp:posOffset>6697980</wp:posOffset>
              </wp:positionH>
              <wp:positionV relativeFrom="page">
                <wp:posOffset>10153015</wp:posOffset>
              </wp:positionV>
              <wp:extent cx="152400" cy="79375"/>
              <wp:wrapNone/>
              <wp:docPr id="963" name="Shape 963"/>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989" type="#_x0000_t202" style="position:absolute;margin-left:527.39999999999998pt;margin-top:799.45000000000005pt;width:12.pt;height:6.25pt;z-index:-188743429;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16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28" behindDoc="1" locked="0" layoutInCell="1" allowOverlap="1">
              <wp:simplePos x="0" y="0"/>
              <wp:positionH relativeFrom="page">
                <wp:posOffset>6689090</wp:posOffset>
              </wp:positionH>
              <wp:positionV relativeFrom="page">
                <wp:posOffset>10153650</wp:posOffset>
              </wp:positionV>
              <wp:extent cx="155575" cy="79375"/>
              <wp:wrapNone/>
              <wp:docPr id="968" name="Shape 968"/>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994" type="#_x0000_t202" style="position:absolute;margin-left:526.70000000000005pt;margin-top:799.5pt;width:12.25pt;height:6.25pt;z-index:-188743425;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16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34" behindDoc="1" locked="0" layoutInCell="1" allowOverlap="1">
              <wp:simplePos x="0" y="0"/>
              <wp:positionH relativeFrom="page">
                <wp:posOffset>6697980</wp:posOffset>
              </wp:positionH>
              <wp:positionV relativeFrom="page">
                <wp:posOffset>10153015</wp:posOffset>
              </wp:positionV>
              <wp:extent cx="152400" cy="79375"/>
              <wp:wrapNone/>
              <wp:docPr id="981" name="Shape 981"/>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007" type="#_x0000_t202" style="position:absolute;margin-left:527.39999999999998pt;margin-top:799.45000000000005pt;width:12.pt;height:6.25pt;z-index:-188743419;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16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40" behindDoc="1" locked="0" layoutInCell="1" allowOverlap="1">
              <wp:simplePos x="0" y="0"/>
              <wp:positionH relativeFrom="page">
                <wp:posOffset>6697980</wp:posOffset>
              </wp:positionH>
              <wp:positionV relativeFrom="page">
                <wp:posOffset>10153015</wp:posOffset>
              </wp:positionV>
              <wp:extent cx="152400" cy="79375"/>
              <wp:wrapNone/>
              <wp:docPr id="988" name="Shape 988"/>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014" type="#_x0000_t202" style="position:absolute;margin-left:527.39999999999998pt;margin-top:799.45000000000005pt;width:12.pt;height:6.25pt;z-index:-188743413;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16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44" behindDoc="1" locked="0" layoutInCell="1" allowOverlap="1">
              <wp:simplePos x="0" y="0"/>
              <wp:positionH relativeFrom="page">
                <wp:posOffset>6699250</wp:posOffset>
              </wp:positionH>
              <wp:positionV relativeFrom="page">
                <wp:posOffset>10126980</wp:posOffset>
              </wp:positionV>
              <wp:extent cx="152400" cy="79375"/>
              <wp:wrapNone/>
              <wp:docPr id="993" name="Shape 993"/>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019" type="#_x0000_t202" style="position:absolute;margin-left:527.5pt;margin-top:797.39999999999998pt;width:12.pt;height:6.25pt;z-index:-188743409;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16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50" behindDoc="1" locked="0" layoutInCell="1" allowOverlap="1">
              <wp:simplePos x="0" y="0"/>
              <wp:positionH relativeFrom="page">
                <wp:posOffset>6697980</wp:posOffset>
              </wp:positionH>
              <wp:positionV relativeFrom="page">
                <wp:posOffset>10153015</wp:posOffset>
              </wp:positionV>
              <wp:extent cx="152400" cy="79375"/>
              <wp:wrapNone/>
              <wp:docPr id="1008" name="Shape 1008"/>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034" type="#_x0000_t202" style="position:absolute;margin-left:527.39999999999998pt;margin-top:799.45000000000005pt;width:12.pt;height:6.25pt;z-index:-188743403;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16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56" behindDoc="1" locked="0" layoutInCell="1" allowOverlap="1">
              <wp:simplePos x="0" y="0"/>
              <wp:positionH relativeFrom="page">
                <wp:posOffset>6697980</wp:posOffset>
              </wp:positionH>
              <wp:positionV relativeFrom="page">
                <wp:posOffset>10153015</wp:posOffset>
              </wp:positionV>
              <wp:extent cx="152400" cy="79375"/>
              <wp:wrapNone/>
              <wp:docPr id="1015" name="Shape 1015"/>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041" type="#_x0000_t202" style="position:absolute;margin-left:527.39999999999998pt;margin-top:799.45000000000005pt;width:12.pt;height:6.25pt;z-index:-188743397;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16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60" behindDoc="1" locked="0" layoutInCell="1" allowOverlap="1">
              <wp:simplePos x="0" y="0"/>
              <wp:positionH relativeFrom="page">
                <wp:posOffset>6650990</wp:posOffset>
              </wp:positionH>
              <wp:positionV relativeFrom="page">
                <wp:posOffset>10126980</wp:posOffset>
              </wp:positionV>
              <wp:extent cx="152400" cy="79375"/>
              <wp:wrapNone/>
              <wp:docPr id="1019" name="Shape 1019"/>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045" type="#_x0000_t202" style="position:absolute;margin-left:523.70000000000005pt;margin-top:797.39999999999998pt;width:12.pt;height:6.25pt;z-index:-188743393;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8" behindDoc="1" locked="0" layoutInCell="1" allowOverlap="1">
              <wp:simplePos x="0" y="0"/>
              <wp:positionH relativeFrom="page">
                <wp:posOffset>6741160</wp:posOffset>
              </wp:positionH>
              <wp:positionV relativeFrom="page">
                <wp:posOffset>10128250</wp:posOffset>
              </wp:positionV>
              <wp:extent cx="94615" cy="79375"/>
              <wp:wrapNone/>
              <wp:docPr id="184" name="Shape 184"/>
              <a:graphic xmlns:a="http://schemas.openxmlformats.org/drawingml/2006/main">
                <a:graphicData uri="http://schemas.microsoft.com/office/word/2010/wordprocessingShape">
                  <wps:wsp>
                    <wps:cNvSpPr txBox="1"/>
                    <wps:spPr>
                      <a:xfrm>
                        <a:ext cx="94615" cy="7937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210" type="#_x0000_t202" style="position:absolute;margin-left:530.79999999999995pt;margin-top:797.5pt;width:7.4500000000000002pt;height:6.25pt;z-index:-188743995;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17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64" behindDoc="1" locked="0" layoutInCell="1" allowOverlap="1">
              <wp:simplePos x="0" y="0"/>
              <wp:positionH relativeFrom="page">
                <wp:posOffset>6650990</wp:posOffset>
              </wp:positionH>
              <wp:positionV relativeFrom="page">
                <wp:posOffset>10126980</wp:posOffset>
              </wp:positionV>
              <wp:extent cx="152400" cy="79375"/>
              <wp:wrapNone/>
              <wp:docPr id="1023" name="Shape 1023"/>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049" type="#_x0000_t202" style="position:absolute;margin-left:523.70000000000005pt;margin-top:797.39999999999998pt;width:12.pt;height:6.25pt;z-index:-188743389;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17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68" behindDoc="1" locked="0" layoutInCell="1" allowOverlap="1">
              <wp:simplePos x="0" y="0"/>
              <wp:positionH relativeFrom="page">
                <wp:posOffset>6650990</wp:posOffset>
              </wp:positionH>
              <wp:positionV relativeFrom="page">
                <wp:posOffset>10126980</wp:posOffset>
              </wp:positionV>
              <wp:extent cx="152400" cy="79375"/>
              <wp:wrapNone/>
              <wp:docPr id="1027" name="Shape 1027"/>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053" type="#_x0000_t202" style="position:absolute;margin-left:523.70000000000005pt;margin-top:797.39999999999998pt;width:12.pt;height:6.25pt;z-index:-188743385;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17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70" behindDoc="1" locked="0" layoutInCell="1" allowOverlap="1">
              <wp:simplePos x="0" y="0"/>
              <wp:positionH relativeFrom="page">
                <wp:posOffset>6742430</wp:posOffset>
              </wp:positionH>
              <wp:positionV relativeFrom="page">
                <wp:posOffset>10131425</wp:posOffset>
              </wp:positionV>
              <wp:extent cx="97790" cy="79375"/>
              <wp:wrapNone/>
              <wp:docPr id="1029" name="Shape 1029"/>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055" type="#_x0000_t202" style="position:absolute;margin-left:530.89999999999998pt;margin-top:797.75pt;width:7.7000000000000002pt;height:6.25pt;z-index:-188743383;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17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72" behindDoc="1" locked="0" layoutInCell="1" allowOverlap="1">
              <wp:simplePos x="0" y="0"/>
              <wp:positionH relativeFrom="page">
                <wp:posOffset>6742430</wp:posOffset>
              </wp:positionH>
              <wp:positionV relativeFrom="page">
                <wp:posOffset>10131425</wp:posOffset>
              </wp:positionV>
              <wp:extent cx="97790" cy="79375"/>
              <wp:wrapNone/>
              <wp:docPr id="1031" name="Shape 1031"/>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057" type="#_x0000_t202" style="position:absolute;margin-left:530.89999999999998pt;margin-top:797.75pt;width:7.7000000000000002pt;height:6.25pt;z-index:-188743381;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17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78" behindDoc="1" locked="0" layoutInCell="1" allowOverlap="1">
              <wp:simplePos x="0" y="0"/>
              <wp:positionH relativeFrom="page">
                <wp:posOffset>6697980</wp:posOffset>
              </wp:positionH>
              <wp:positionV relativeFrom="page">
                <wp:posOffset>10153015</wp:posOffset>
              </wp:positionV>
              <wp:extent cx="152400" cy="79375"/>
              <wp:wrapNone/>
              <wp:docPr id="1038" name="Shape 1038"/>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064" type="#_x0000_t202" style="position:absolute;margin-left:527.39999999999998pt;margin-top:799.45000000000005pt;width:12.pt;height:6.25pt;z-index:-188743375;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17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84" behindDoc="1" locked="0" layoutInCell="1" allowOverlap="1">
              <wp:simplePos x="0" y="0"/>
              <wp:positionH relativeFrom="page">
                <wp:posOffset>6697980</wp:posOffset>
              </wp:positionH>
              <wp:positionV relativeFrom="page">
                <wp:posOffset>10153015</wp:posOffset>
              </wp:positionV>
              <wp:extent cx="152400" cy="79375"/>
              <wp:wrapNone/>
              <wp:docPr id="1045" name="Shape 1045"/>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071" type="#_x0000_t202" style="position:absolute;margin-left:527.39999999999998pt;margin-top:799.45000000000005pt;width:12.pt;height:6.25pt;z-index:-188743369;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17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88" behindDoc="1" locked="0" layoutInCell="1" allowOverlap="1">
              <wp:simplePos x="0" y="0"/>
              <wp:positionH relativeFrom="page">
                <wp:posOffset>6678295</wp:posOffset>
              </wp:positionH>
              <wp:positionV relativeFrom="page">
                <wp:posOffset>10126345</wp:posOffset>
              </wp:positionV>
              <wp:extent cx="155575" cy="79375"/>
              <wp:wrapNone/>
              <wp:docPr id="1050" name="Shape 1050"/>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076" type="#_x0000_t202" style="position:absolute;margin-left:525.85000000000002pt;margin-top:797.35000000000002pt;width:12.25pt;height:6.25pt;z-index:-188743365;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17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94" behindDoc="1" locked="0" layoutInCell="1" allowOverlap="1">
              <wp:simplePos x="0" y="0"/>
              <wp:positionH relativeFrom="page">
                <wp:posOffset>6697980</wp:posOffset>
              </wp:positionH>
              <wp:positionV relativeFrom="page">
                <wp:posOffset>10153015</wp:posOffset>
              </wp:positionV>
              <wp:extent cx="152400" cy="79375"/>
              <wp:wrapNone/>
              <wp:docPr id="1057" name="Shape 1057"/>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083" type="#_x0000_t202" style="position:absolute;margin-left:527.39999999999998pt;margin-top:799.45000000000005pt;width:12.pt;height:6.25pt;z-index:-188743359;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17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00" behindDoc="1" locked="0" layoutInCell="1" allowOverlap="1">
              <wp:simplePos x="0" y="0"/>
              <wp:positionH relativeFrom="page">
                <wp:posOffset>6697980</wp:posOffset>
              </wp:positionH>
              <wp:positionV relativeFrom="page">
                <wp:posOffset>10153015</wp:posOffset>
              </wp:positionV>
              <wp:extent cx="152400" cy="79375"/>
              <wp:wrapNone/>
              <wp:docPr id="1064" name="Shape 1064"/>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090" type="#_x0000_t202" style="position:absolute;margin-left:527.39999999999998pt;margin-top:799.45000000000005pt;width:12.pt;height:6.25pt;z-index:-188743353;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17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06" behindDoc="1" locked="0" layoutInCell="1" allowOverlap="1">
              <wp:simplePos x="0" y="0"/>
              <wp:positionH relativeFrom="page">
                <wp:posOffset>6705600</wp:posOffset>
              </wp:positionH>
              <wp:positionV relativeFrom="page">
                <wp:posOffset>10126345</wp:posOffset>
              </wp:positionV>
              <wp:extent cx="155575" cy="79375"/>
              <wp:wrapNone/>
              <wp:docPr id="1071" name="Shape 1071"/>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097" type="#_x0000_t202" style="position:absolute;margin-left:528.pt;margin-top:797.35000000000002pt;width:12.25pt;height:6.25pt;z-index:-188743347;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4" behindDoc="1" locked="0" layoutInCell="1" allowOverlap="1">
              <wp:simplePos x="0" y="0"/>
              <wp:positionH relativeFrom="page">
                <wp:posOffset>6741160</wp:posOffset>
              </wp:positionH>
              <wp:positionV relativeFrom="page">
                <wp:posOffset>10128250</wp:posOffset>
              </wp:positionV>
              <wp:extent cx="94615" cy="79375"/>
              <wp:wrapNone/>
              <wp:docPr id="216" name="Shape 216"/>
              <a:graphic xmlns:a="http://schemas.openxmlformats.org/drawingml/2006/main">
                <a:graphicData uri="http://schemas.microsoft.com/office/word/2010/wordprocessingShape">
                  <wps:wsp>
                    <wps:cNvSpPr txBox="1"/>
                    <wps:spPr>
                      <a:xfrm>
                        <a:ext cx="94615" cy="7937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242" type="#_x0000_t202" style="position:absolute;margin-left:530.79999999999995pt;margin-top:797.5pt;width:7.4500000000000002pt;height:6.25pt;z-index:-188743989;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18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12" behindDoc="1" locked="0" layoutInCell="1" allowOverlap="1">
              <wp:simplePos x="0" y="0"/>
              <wp:positionH relativeFrom="page">
                <wp:posOffset>6697980</wp:posOffset>
              </wp:positionH>
              <wp:positionV relativeFrom="page">
                <wp:posOffset>10153015</wp:posOffset>
              </wp:positionV>
              <wp:extent cx="152400" cy="79375"/>
              <wp:wrapNone/>
              <wp:docPr id="1078" name="Shape 1078"/>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104" type="#_x0000_t202" style="position:absolute;margin-left:527.39999999999998pt;margin-top:799.45000000000005pt;width:12.pt;height:6.25pt;z-index:-188743341;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18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18" behindDoc="1" locked="0" layoutInCell="1" allowOverlap="1">
              <wp:simplePos x="0" y="0"/>
              <wp:positionH relativeFrom="page">
                <wp:posOffset>6697980</wp:posOffset>
              </wp:positionH>
              <wp:positionV relativeFrom="page">
                <wp:posOffset>10153015</wp:posOffset>
              </wp:positionV>
              <wp:extent cx="152400" cy="79375"/>
              <wp:wrapNone/>
              <wp:docPr id="1085" name="Shape 1085"/>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111" type="#_x0000_t202" style="position:absolute;margin-left:527.39999999999998pt;margin-top:799.45000000000005pt;width:12.pt;height:6.25pt;z-index:-188743335;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18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22" behindDoc="1" locked="0" layoutInCell="1" allowOverlap="1">
              <wp:simplePos x="0" y="0"/>
              <wp:positionH relativeFrom="page">
                <wp:posOffset>6677025</wp:posOffset>
              </wp:positionH>
              <wp:positionV relativeFrom="page">
                <wp:posOffset>10126345</wp:posOffset>
              </wp:positionV>
              <wp:extent cx="155575" cy="79375"/>
              <wp:wrapNone/>
              <wp:docPr id="1090" name="Shape 1090"/>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116" type="#_x0000_t202" style="position:absolute;margin-left:525.75pt;margin-top:797.35000000000002pt;width:12.25pt;height:6.25pt;z-index:-188743331;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18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28" behindDoc="1" locked="0" layoutInCell="1" allowOverlap="1">
              <wp:simplePos x="0" y="0"/>
              <wp:positionH relativeFrom="page">
                <wp:posOffset>6697980</wp:posOffset>
              </wp:positionH>
              <wp:positionV relativeFrom="page">
                <wp:posOffset>10153015</wp:posOffset>
              </wp:positionV>
              <wp:extent cx="152400" cy="79375"/>
              <wp:wrapNone/>
              <wp:docPr id="1097" name="Shape 1097"/>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123" type="#_x0000_t202" style="position:absolute;margin-left:527.39999999999998pt;margin-top:799.45000000000005pt;width:12.pt;height:6.25pt;z-index:-188743325;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18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34" behindDoc="1" locked="0" layoutInCell="1" allowOverlap="1">
              <wp:simplePos x="0" y="0"/>
              <wp:positionH relativeFrom="page">
                <wp:posOffset>6697980</wp:posOffset>
              </wp:positionH>
              <wp:positionV relativeFrom="page">
                <wp:posOffset>10153015</wp:posOffset>
              </wp:positionV>
              <wp:extent cx="152400" cy="79375"/>
              <wp:wrapNone/>
              <wp:docPr id="1104" name="Shape 1104"/>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130" type="#_x0000_t202" style="position:absolute;margin-left:527.39999999999998pt;margin-top:799.45000000000005pt;width:12.pt;height:6.25pt;z-index:-188743319;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18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38" behindDoc="1" locked="0" layoutInCell="1" allowOverlap="1">
              <wp:simplePos x="0" y="0"/>
              <wp:positionH relativeFrom="page">
                <wp:posOffset>6677025</wp:posOffset>
              </wp:positionH>
              <wp:positionV relativeFrom="page">
                <wp:posOffset>10126345</wp:posOffset>
              </wp:positionV>
              <wp:extent cx="155575" cy="79375"/>
              <wp:wrapNone/>
              <wp:docPr id="1109" name="Shape 1109"/>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135" type="#_x0000_t202" style="position:absolute;margin-left:525.75pt;margin-top:797.35000000000002pt;width:12.25pt;height:6.25pt;z-index:-188743315;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18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44" behindDoc="1" locked="0" layoutInCell="1" allowOverlap="1">
              <wp:simplePos x="0" y="0"/>
              <wp:positionH relativeFrom="page">
                <wp:posOffset>6697980</wp:posOffset>
              </wp:positionH>
              <wp:positionV relativeFrom="page">
                <wp:posOffset>10153015</wp:posOffset>
              </wp:positionV>
              <wp:extent cx="152400" cy="79375"/>
              <wp:wrapNone/>
              <wp:docPr id="1122" name="Shape 1122"/>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148" type="#_x0000_t202" style="position:absolute;margin-left:527.39999999999998pt;margin-top:799.45000000000005pt;width:12.pt;height:6.25pt;z-index:-188743309;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18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50" behindDoc="1" locked="0" layoutInCell="1" allowOverlap="1">
              <wp:simplePos x="0" y="0"/>
              <wp:positionH relativeFrom="page">
                <wp:posOffset>6697980</wp:posOffset>
              </wp:positionH>
              <wp:positionV relativeFrom="page">
                <wp:posOffset>10153015</wp:posOffset>
              </wp:positionV>
              <wp:extent cx="152400" cy="79375"/>
              <wp:wrapNone/>
              <wp:docPr id="1129" name="Shape 1129"/>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155" type="#_x0000_t202" style="position:absolute;margin-left:527.39999999999998pt;margin-top:799.45000000000005pt;width:12.pt;height:6.25pt;z-index:-188743303;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18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54" behindDoc="1" locked="0" layoutInCell="1" allowOverlap="1">
              <wp:simplePos x="0" y="0"/>
              <wp:positionH relativeFrom="page">
                <wp:posOffset>6677025</wp:posOffset>
              </wp:positionH>
              <wp:positionV relativeFrom="page">
                <wp:posOffset>10126345</wp:posOffset>
              </wp:positionV>
              <wp:extent cx="155575" cy="79375"/>
              <wp:wrapNone/>
              <wp:docPr id="1134" name="Shape 1134"/>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160" type="#_x0000_t202" style="position:absolute;margin-left:525.75pt;margin-top:797.35000000000002pt;width:12.25pt;height:6.25pt;z-index:-188743299;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18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58" behindDoc="1" locked="0" layoutInCell="1" allowOverlap="1">
              <wp:simplePos x="0" y="0"/>
              <wp:positionH relativeFrom="page">
                <wp:posOffset>6677025</wp:posOffset>
              </wp:positionH>
              <wp:positionV relativeFrom="page">
                <wp:posOffset>10126345</wp:posOffset>
              </wp:positionV>
              <wp:extent cx="155575" cy="79375"/>
              <wp:wrapNone/>
              <wp:docPr id="1139" name="Shape 1139"/>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165" type="#_x0000_t202" style="position:absolute;margin-left:525.75pt;margin-top:797.35000000000002pt;width:12.25pt;height:6.25pt;z-index:-188743295;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0" behindDoc="1" locked="0" layoutInCell="1" allowOverlap="1">
              <wp:simplePos x="0" y="0"/>
              <wp:positionH relativeFrom="page">
                <wp:posOffset>6741160</wp:posOffset>
              </wp:positionH>
              <wp:positionV relativeFrom="page">
                <wp:posOffset>10128250</wp:posOffset>
              </wp:positionV>
              <wp:extent cx="94615" cy="79375"/>
              <wp:wrapNone/>
              <wp:docPr id="223" name="Shape 223"/>
              <a:graphic xmlns:a="http://schemas.openxmlformats.org/drawingml/2006/main">
                <a:graphicData uri="http://schemas.microsoft.com/office/word/2010/wordprocessingShape">
                  <wps:wsp>
                    <wps:cNvSpPr txBox="1"/>
                    <wps:spPr>
                      <a:xfrm>
                        <a:ext cx="94615" cy="7937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249" type="#_x0000_t202" style="position:absolute;margin-left:530.79999999999995pt;margin-top:797.5pt;width:7.4500000000000002pt;height:6.25pt;z-index:-188743983;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19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64" behindDoc="1" locked="0" layoutInCell="1" allowOverlap="1">
              <wp:simplePos x="0" y="0"/>
              <wp:positionH relativeFrom="page">
                <wp:posOffset>6697980</wp:posOffset>
              </wp:positionH>
              <wp:positionV relativeFrom="page">
                <wp:posOffset>10153015</wp:posOffset>
              </wp:positionV>
              <wp:extent cx="152400" cy="79375"/>
              <wp:wrapNone/>
              <wp:docPr id="1146" name="Shape 1146"/>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172" type="#_x0000_t202" style="position:absolute;margin-left:527.39999999999998pt;margin-top:799.45000000000005pt;width:12.pt;height:6.25pt;z-index:-188743289;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19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68" behindDoc="1" locked="0" layoutInCell="1" allowOverlap="1">
              <wp:simplePos x="0" y="0"/>
              <wp:positionH relativeFrom="page">
                <wp:posOffset>6677025</wp:posOffset>
              </wp:positionH>
              <wp:positionV relativeFrom="page">
                <wp:posOffset>10126345</wp:posOffset>
              </wp:positionV>
              <wp:extent cx="155575" cy="79375"/>
              <wp:wrapNone/>
              <wp:docPr id="1151" name="Shape 1151"/>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177" type="#_x0000_t202" style="position:absolute;margin-left:525.75pt;margin-top:797.35000000000002pt;width:12.25pt;height:6.25pt;z-index:-188743285;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19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72" behindDoc="1" locked="0" layoutInCell="1" allowOverlap="1">
              <wp:simplePos x="0" y="0"/>
              <wp:positionH relativeFrom="page">
                <wp:posOffset>6677025</wp:posOffset>
              </wp:positionH>
              <wp:positionV relativeFrom="page">
                <wp:posOffset>10126345</wp:posOffset>
              </wp:positionV>
              <wp:extent cx="155575" cy="79375"/>
              <wp:wrapNone/>
              <wp:docPr id="1156" name="Shape 1156"/>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182" type="#_x0000_t202" style="position:absolute;margin-left:525.75pt;margin-top:797.35000000000002pt;width:12.25pt;height:6.25pt;z-index:-188743281;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19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76" behindDoc="1" locked="0" layoutInCell="1" allowOverlap="1">
              <wp:simplePos x="0" y="0"/>
              <wp:positionH relativeFrom="page">
                <wp:posOffset>6642100</wp:posOffset>
              </wp:positionH>
              <wp:positionV relativeFrom="page">
                <wp:posOffset>10130155</wp:posOffset>
              </wp:positionV>
              <wp:extent cx="167640" cy="79375"/>
              <wp:wrapNone/>
              <wp:docPr id="1161" name="Shape 1161"/>
              <a:graphic xmlns:a="http://schemas.openxmlformats.org/drawingml/2006/main">
                <a:graphicData uri="http://schemas.microsoft.com/office/word/2010/wordprocessingShape">
                  <wps:wsp>
                    <wps:cNvSpPr txBox="1"/>
                    <wps:spPr>
                      <a:xfrm>
                        <a:ext cx="167640"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187" type="#_x0000_t202" style="position:absolute;margin-left:523.pt;margin-top:797.64999999999998pt;width:13.200000000000001pt;height:6.25pt;z-index:-188743277;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19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78" behindDoc="1" locked="0" layoutInCell="1" allowOverlap="1">
              <wp:simplePos x="0" y="0"/>
              <wp:positionH relativeFrom="page">
                <wp:posOffset>6742430</wp:posOffset>
              </wp:positionH>
              <wp:positionV relativeFrom="page">
                <wp:posOffset>10131425</wp:posOffset>
              </wp:positionV>
              <wp:extent cx="97790" cy="79375"/>
              <wp:wrapNone/>
              <wp:docPr id="1163" name="Shape 1163"/>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189" type="#_x0000_t202" style="position:absolute;margin-left:530.89999999999998pt;margin-top:797.75pt;width:7.7000000000000002pt;height:6.25pt;z-index:-188743275;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19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80" behindDoc="1" locked="0" layoutInCell="1" allowOverlap="1">
              <wp:simplePos x="0" y="0"/>
              <wp:positionH relativeFrom="page">
                <wp:posOffset>6742430</wp:posOffset>
              </wp:positionH>
              <wp:positionV relativeFrom="page">
                <wp:posOffset>10131425</wp:posOffset>
              </wp:positionV>
              <wp:extent cx="97790" cy="79375"/>
              <wp:wrapNone/>
              <wp:docPr id="1165" name="Shape 1165"/>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191" type="#_x0000_t202" style="position:absolute;margin-left:530.89999999999998pt;margin-top:797.75pt;width:7.7000000000000002pt;height:6.25pt;z-index:-188743273;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19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84" behindDoc="1" locked="0" layoutInCell="1" allowOverlap="1">
              <wp:simplePos x="0" y="0"/>
              <wp:positionH relativeFrom="page">
                <wp:posOffset>6642100</wp:posOffset>
              </wp:positionH>
              <wp:positionV relativeFrom="page">
                <wp:posOffset>10130155</wp:posOffset>
              </wp:positionV>
              <wp:extent cx="167640" cy="79375"/>
              <wp:wrapNone/>
              <wp:docPr id="1170" name="Shape 1170"/>
              <a:graphic xmlns:a="http://schemas.openxmlformats.org/drawingml/2006/main">
                <a:graphicData uri="http://schemas.microsoft.com/office/word/2010/wordprocessingShape">
                  <wps:wsp>
                    <wps:cNvSpPr txBox="1"/>
                    <wps:spPr>
                      <a:xfrm>
                        <a:ext cx="167640"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196" type="#_x0000_t202" style="position:absolute;margin-left:523.pt;margin-top:797.64999999999998pt;width:13.200000000000001pt;height:6.25pt;z-index:-188743269;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19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88" behindDoc="1" locked="0" layoutInCell="1" allowOverlap="1">
              <wp:simplePos x="0" y="0"/>
              <wp:positionH relativeFrom="page">
                <wp:posOffset>6642100</wp:posOffset>
              </wp:positionH>
              <wp:positionV relativeFrom="page">
                <wp:posOffset>10130155</wp:posOffset>
              </wp:positionV>
              <wp:extent cx="167640" cy="79375"/>
              <wp:wrapNone/>
              <wp:docPr id="1175" name="Shape 1175"/>
              <a:graphic xmlns:a="http://schemas.openxmlformats.org/drawingml/2006/main">
                <a:graphicData uri="http://schemas.microsoft.com/office/word/2010/wordprocessingShape">
                  <wps:wsp>
                    <wps:cNvSpPr txBox="1"/>
                    <wps:spPr>
                      <a:xfrm>
                        <a:ext cx="167640"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201" type="#_x0000_t202" style="position:absolute;margin-left:523.pt;margin-top:797.64999999999998pt;width:13.200000000000001pt;height:6.25pt;z-index:-188743265;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19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94" behindDoc="1" locked="0" layoutInCell="1" allowOverlap="1">
              <wp:simplePos x="0" y="0"/>
              <wp:positionH relativeFrom="page">
                <wp:posOffset>6697980</wp:posOffset>
              </wp:positionH>
              <wp:positionV relativeFrom="page">
                <wp:posOffset>10153015</wp:posOffset>
              </wp:positionV>
              <wp:extent cx="152400" cy="79375"/>
              <wp:wrapNone/>
              <wp:docPr id="1182" name="Shape 1182"/>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208" type="#_x0000_t202" style="position:absolute;margin-left:527.39999999999998pt;margin-top:799.45000000000005pt;width:12.pt;height:6.25pt;z-index:-188743259;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19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00" behindDoc="1" locked="0" layoutInCell="1" allowOverlap="1">
              <wp:simplePos x="0" y="0"/>
              <wp:positionH relativeFrom="page">
                <wp:posOffset>6697980</wp:posOffset>
              </wp:positionH>
              <wp:positionV relativeFrom="page">
                <wp:posOffset>10153015</wp:posOffset>
              </wp:positionV>
              <wp:extent cx="152400" cy="79375"/>
              <wp:wrapNone/>
              <wp:docPr id="1189" name="Shape 1189"/>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215" type="#_x0000_t202" style="position:absolute;margin-left:527.39999999999998pt;margin-top:799.45000000000005pt;width:12.pt;height:6.25pt;z-index:-188743253;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6" behindDoc="1" locked="0" layoutInCell="1" allowOverlap="1">
              <wp:simplePos x="0" y="0"/>
              <wp:positionH relativeFrom="page">
                <wp:posOffset>6784975</wp:posOffset>
              </wp:positionH>
              <wp:positionV relativeFrom="page">
                <wp:posOffset>10128250</wp:posOffset>
              </wp:positionV>
              <wp:extent cx="52070" cy="79375"/>
              <wp:wrapNone/>
              <wp:docPr id="11" name="Shape 11"/>
              <a:graphic xmlns:a="http://schemas.openxmlformats.org/drawingml/2006/main">
                <a:graphicData uri="http://schemas.microsoft.com/office/word/2010/wordprocessingShape">
                  <wps:wsp>
                    <wps:cNvSpPr txBox="1"/>
                    <wps:spPr>
                      <a:xfrm>
                        <a:ext cx="52070" cy="7937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037" type="#_x0000_t202" style="position:absolute;margin-left:534.25pt;margin-top:797.5pt;width:4.0999999999999996pt;height:6.25pt;z-index:-188744057;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4" behindDoc="1" locked="0" layoutInCell="1" allowOverlap="1">
              <wp:simplePos x="0" y="0"/>
              <wp:positionH relativeFrom="page">
                <wp:posOffset>6742430</wp:posOffset>
              </wp:positionH>
              <wp:positionV relativeFrom="page">
                <wp:posOffset>10146030</wp:posOffset>
              </wp:positionV>
              <wp:extent cx="97790" cy="79375"/>
              <wp:wrapNone/>
              <wp:docPr id="228" name="Shape 228"/>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254" type="#_x0000_t202" style="position:absolute;margin-left:530.89999999999998pt;margin-top:798.89999999999998pt;width:7.7000000000000002pt;height:6.25pt;z-index:-188743979;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20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06" behindDoc="1" locked="0" layoutInCell="1" allowOverlap="1">
              <wp:simplePos x="0" y="0"/>
              <wp:positionH relativeFrom="page">
                <wp:posOffset>6697980</wp:posOffset>
              </wp:positionH>
              <wp:positionV relativeFrom="page">
                <wp:posOffset>10153015</wp:posOffset>
              </wp:positionV>
              <wp:extent cx="152400" cy="79375"/>
              <wp:wrapNone/>
              <wp:docPr id="1196" name="Shape 1196"/>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222" type="#_x0000_t202" style="position:absolute;margin-left:527.39999999999998pt;margin-top:799.45000000000005pt;width:12.pt;height:6.25pt;z-index:-188743247;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20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10" behindDoc="1" locked="0" layoutInCell="1" allowOverlap="1">
              <wp:simplePos x="0" y="0"/>
              <wp:positionH relativeFrom="page">
                <wp:posOffset>6642100</wp:posOffset>
              </wp:positionH>
              <wp:positionV relativeFrom="page">
                <wp:posOffset>10130155</wp:posOffset>
              </wp:positionV>
              <wp:extent cx="167640" cy="79375"/>
              <wp:wrapNone/>
              <wp:docPr id="1201" name="Shape 1201"/>
              <a:graphic xmlns:a="http://schemas.openxmlformats.org/drawingml/2006/main">
                <a:graphicData uri="http://schemas.microsoft.com/office/word/2010/wordprocessingShape">
                  <wps:wsp>
                    <wps:cNvSpPr txBox="1"/>
                    <wps:spPr>
                      <a:xfrm>
                        <a:ext cx="167640"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227" type="#_x0000_t202" style="position:absolute;margin-left:523.pt;margin-top:797.64999999999998pt;width:13.200000000000001pt;height:6.25pt;z-index:-188743243;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20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14" behindDoc="1" locked="0" layoutInCell="1" allowOverlap="1">
              <wp:simplePos x="0" y="0"/>
              <wp:positionH relativeFrom="page">
                <wp:posOffset>6642100</wp:posOffset>
              </wp:positionH>
              <wp:positionV relativeFrom="page">
                <wp:posOffset>10130155</wp:posOffset>
              </wp:positionV>
              <wp:extent cx="167640" cy="79375"/>
              <wp:wrapNone/>
              <wp:docPr id="1206" name="Shape 1206"/>
              <a:graphic xmlns:a="http://schemas.openxmlformats.org/drawingml/2006/main">
                <a:graphicData uri="http://schemas.microsoft.com/office/word/2010/wordprocessingShape">
                  <wps:wsp>
                    <wps:cNvSpPr txBox="1"/>
                    <wps:spPr>
                      <a:xfrm>
                        <a:ext cx="167640"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232" type="#_x0000_t202" style="position:absolute;margin-left:523.pt;margin-top:797.64999999999998pt;width:13.200000000000001pt;height:6.25pt;z-index:-188743239;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20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20" behindDoc="1" locked="0" layoutInCell="1" allowOverlap="1">
              <wp:simplePos x="0" y="0"/>
              <wp:positionH relativeFrom="page">
                <wp:posOffset>6697980</wp:posOffset>
              </wp:positionH>
              <wp:positionV relativeFrom="page">
                <wp:posOffset>10153015</wp:posOffset>
              </wp:positionV>
              <wp:extent cx="152400" cy="79375"/>
              <wp:wrapNone/>
              <wp:docPr id="1213" name="Shape 1213"/>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239" type="#_x0000_t202" style="position:absolute;margin-left:527.39999999999998pt;margin-top:799.45000000000005pt;width:12.pt;height:6.25pt;z-index:-188743233;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20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24" behindDoc="1" locked="0" layoutInCell="1" allowOverlap="1">
              <wp:simplePos x="0" y="0"/>
              <wp:positionH relativeFrom="page">
                <wp:posOffset>6657975</wp:posOffset>
              </wp:positionH>
              <wp:positionV relativeFrom="page">
                <wp:posOffset>10153650</wp:posOffset>
              </wp:positionV>
              <wp:extent cx="167640" cy="79375"/>
              <wp:wrapNone/>
              <wp:docPr id="1218" name="Shape 1218"/>
              <a:graphic xmlns:a="http://schemas.openxmlformats.org/drawingml/2006/main">
                <a:graphicData uri="http://schemas.microsoft.com/office/word/2010/wordprocessingShape">
                  <wps:wsp>
                    <wps:cNvSpPr txBox="1"/>
                    <wps:spPr>
                      <a:xfrm>
                        <a:ext cx="167640"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244" type="#_x0000_t202" style="position:absolute;margin-left:524.25pt;margin-top:799.5pt;width:13.200000000000001pt;height:6.25pt;z-index:-188743229;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20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30" behindDoc="1" locked="0" layoutInCell="1" allowOverlap="1">
              <wp:simplePos x="0" y="0"/>
              <wp:positionH relativeFrom="page">
                <wp:posOffset>6697980</wp:posOffset>
              </wp:positionH>
              <wp:positionV relativeFrom="page">
                <wp:posOffset>10153015</wp:posOffset>
              </wp:positionV>
              <wp:extent cx="152400" cy="79375"/>
              <wp:wrapNone/>
              <wp:docPr id="1225" name="Shape 1225"/>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251" type="#_x0000_t202" style="position:absolute;margin-left:527.39999999999998pt;margin-top:799.45000000000005pt;width:12.pt;height:6.25pt;z-index:-188743223;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20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36" behindDoc="1" locked="0" layoutInCell="1" allowOverlap="1">
              <wp:simplePos x="0" y="0"/>
              <wp:positionH relativeFrom="page">
                <wp:posOffset>6697980</wp:posOffset>
              </wp:positionH>
              <wp:positionV relativeFrom="page">
                <wp:posOffset>10153015</wp:posOffset>
              </wp:positionV>
              <wp:extent cx="152400" cy="79375"/>
              <wp:wrapNone/>
              <wp:docPr id="1232" name="Shape 1232"/>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258" type="#_x0000_t202" style="position:absolute;margin-left:527.39999999999998pt;margin-top:799.45000000000005pt;width:12.pt;height:6.25pt;z-index:-188743217;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20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42" behindDoc="1" locked="0" layoutInCell="1" allowOverlap="1">
              <wp:simplePos x="0" y="0"/>
              <wp:positionH relativeFrom="page">
                <wp:posOffset>6697980</wp:posOffset>
              </wp:positionH>
              <wp:positionV relativeFrom="page">
                <wp:posOffset>10153015</wp:posOffset>
              </wp:positionV>
              <wp:extent cx="152400" cy="79375"/>
              <wp:wrapNone/>
              <wp:docPr id="1239" name="Shape 1239"/>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265" type="#_x0000_t202" style="position:absolute;margin-left:527.39999999999998pt;margin-top:799.45000000000005pt;width:12.pt;height:6.25pt;z-index:-188743211;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20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48" behindDoc="1" locked="0" layoutInCell="1" allowOverlap="1">
              <wp:simplePos x="0" y="0"/>
              <wp:positionH relativeFrom="page">
                <wp:posOffset>6697980</wp:posOffset>
              </wp:positionH>
              <wp:positionV relativeFrom="page">
                <wp:posOffset>10153015</wp:posOffset>
              </wp:positionV>
              <wp:extent cx="152400" cy="79375"/>
              <wp:wrapNone/>
              <wp:docPr id="1246" name="Shape 1246"/>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272" type="#_x0000_t202" style="position:absolute;margin-left:527.39999999999998pt;margin-top:799.45000000000005pt;width:12.pt;height:6.25pt;z-index:-188743205;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20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52" behindDoc="1" locked="0" layoutInCell="1" allowOverlap="1">
              <wp:simplePos x="0" y="0"/>
              <wp:positionH relativeFrom="page">
                <wp:posOffset>6657975</wp:posOffset>
              </wp:positionH>
              <wp:positionV relativeFrom="page">
                <wp:posOffset>10153650</wp:posOffset>
              </wp:positionV>
              <wp:extent cx="167640" cy="79375"/>
              <wp:wrapNone/>
              <wp:docPr id="1251" name="Shape 1251"/>
              <a:graphic xmlns:a="http://schemas.openxmlformats.org/drawingml/2006/main">
                <a:graphicData uri="http://schemas.microsoft.com/office/word/2010/wordprocessingShape">
                  <wps:wsp>
                    <wps:cNvSpPr txBox="1"/>
                    <wps:spPr>
                      <a:xfrm>
                        <a:ext cx="167640"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277" type="#_x0000_t202" style="position:absolute;margin-left:524.25pt;margin-top:799.5pt;width:13.200000000000001pt;height:6.25pt;z-index:-188743201;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6" behindDoc="1" locked="0" layoutInCell="1" allowOverlap="1">
              <wp:simplePos x="0" y="0"/>
              <wp:positionH relativeFrom="page">
                <wp:posOffset>6742430</wp:posOffset>
              </wp:positionH>
              <wp:positionV relativeFrom="page">
                <wp:posOffset>10131425</wp:posOffset>
              </wp:positionV>
              <wp:extent cx="97790" cy="79375"/>
              <wp:wrapNone/>
              <wp:docPr id="230" name="Shape 230"/>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256" type="#_x0000_t202" style="position:absolute;margin-left:530.89999999999998pt;margin-top:797.75pt;width:7.7000000000000002pt;height:6.25pt;z-index:-188743977;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2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56" behindDoc="1" locked="0" layoutInCell="1" allowOverlap="1">
              <wp:simplePos x="0" y="0"/>
              <wp:positionH relativeFrom="page">
                <wp:posOffset>6657975</wp:posOffset>
              </wp:positionH>
              <wp:positionV relativeFrom="page">
                <wp:posOffset>10153650</wp:posOffset>
              </wp:positionV>
              <wp:extent cx="167640" cy="79375"/>
              <wp:wrapNone/>
              <wp:docPr id="1256" name="Shape 1256"/>
              <a:graphic xmlns:a="http://schemas.openxmlformats.org/drawingml/2006/main">
                <a:graphicData uri="http://schemas.microsoft.com/office/word/2010/wordprocessingShape">
                  <wps:wsp>
                    <wps:cNvSpPr txBox="1"/>
                    <wps:spPr>
                      <a:xfrm>
                        <a:ext cx="167640"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282" type="#_x0000_t202" style="position:absolute;margin-left:524.25pt;margin-top:799.5pt;width:13.200000000000001pt;height:6.25pt;z-index:-188743197;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2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60" behindDoc="1" locked="0" layoutInCell="1" allowOverlap="1">
              <wp:simplePos x="0" y="0"/>
              <wp:positionH relativeFrom="page">
                <wp:posOffset>6657975</wp:posOffset>
              </wp:positionH>
              <wp:positionV relativeFrom="page">
                <wp:posOffset>10153650</wp:posOffset>
              </wp:positionV>
              <wp:extent cx="167640" cy="79375"/>
              <wp:wrapNone/>
              <wp:docPr id="1261" name="Shape 1261"/>
              <a:graphic xmlns:a="http://schemas.openxmlformats.org/drawingml/2006/main">
                <a:graphicData uri="http://schemas.microsoft.com/office/word/2010/wordprocessingShape">
                  <wps:wsp>
                    <wps:cNvSpPr txBox="1"/>
                    <wps:spPr>
                      <a:xfrm>
                        <a:ext cx="167640"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287" type="#_x0000_t202" style="position:absolute;margin-left:524.25pt;margin-top:799.5pt;width:13.200000000000001pt;height:6.25pt;z-index:-188743193;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2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66" behindDoc="1" locked="0" layoutInCell="1" allowOverlap="1">
              <wp:simplePos x="0" y="0"/>
              <wp:positionH relativeFrom="page">
                <wp:posOffset>6697980</wp:posOffset>
              </wp:positionH>
              <wp:positionV relativeFrom="page">
                <wp:posOffset>10153015</wp:posOffset>
              </wp:positionV>
              <wp:extent cx="152400" cy="79375"/>
              <wp:wrapNone/>
              <wp:docPr id="1268" name="Shape 1268"/>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294" type="#_x0000_t202" style="position:absolute;margin-left:527.39999999999998pt;margin-top:799.45000000000005pt;width:12.pt;height:6.25pt;z-index:-188743187;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2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72" behindDoc="1" locked="0" layoutInCell="1" allowOverlap="1">
              <wp:simplePos x="0" y="0"/>
              <wp:positionH relativeFrom="page">
                <wp:posOffset>6697980</wp:posOffset>
              </wp:positionH>
              <wp:positionV relativeFrom="page">
                <wp:posOffset>10153015</wp:posOffset>
              </wp:positionV>
              <wp:extent cx="152400" cy="79375"/>
              <wp:wrapNone/>
              <wp:docPr id="1275" name="Shape 1275"/>
              <a:graphic xmlns:a="http://schemas.openxmlformats.org/drawingml/2006/main">
                <a:graphicData uri="http://schemas.microsoft.com/office/word/2010/wordprocessingShape">
                  <wps:wsp>
                    <wps:cNvSpPr txBox="1"/>
                    <wps:spPr>
                      <a:xfrm>
                        <a:ext cx="152400"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2301" type="#_x0000_t202" style="position:absolute;margin-left:527.39999999999998pt;margin-top:799.45000000000005pt;width:12.pt;height:6.25pt;z-index:-188743181;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8" behindDoc="1" locked="0" layoutInCell="1" allowOverlap="1">
              <wp:simplePos x="0" y="0"/>
              <wp:positionH relativeFrom="page">
                <wp:posOffset>6742430</wp:posOffset>
              </wp:positionH>
              <wp:positionV relativeFrom="page">
                <wp:posOffset>10131425</wp:posOffset>
              </wp:positionV>
              <wp:extent cx="97790" cy="79375"/>
              <wp:wrapNone/>
              <wp:docPr id="232" name="Shape 232"/>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258" type="#_x0000_t202" style="position:absolute;margin-left:530.89999999999998pt;margin-top:797.75pt;width:7.7000000000000002pt;height:6.25pt;z-index:-188743975;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4" behindDoc="1" locked="0" layoutInCell="1" allowOverlap="1">
              <wp:simplePos x="0" y="0"/>
              <wp:positionH relativeFrom="page">
                <wp:posOffset>6741160</wp:posOffset>
              </wp:positionH>
              <wp:positionV relativeFrom="page">
                <wp:posOffset>10128250</wp:posOffset>
              </wp:positionV>
              <wp:extent cx="94615" cy="79375"/>
              <wp:wrapNone/>
              <wp:docPr id="239" name="Shape 239"/>
              <a:graphic xmlns:a="http://schemas.openxmlformats.org/drawingml/2006/main">
                <a:graphicData uri="http://schemas.microsoft.com/office/word/2010/wordprocessingShape">
                  <wps:wsp>
                    <wps:cNvSpPr txBox="1"/>
                    <wps:spPr>
                      <a:xfrm>
                        <a:ext cx="94615" cy="7937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265" type="#_x0000_t202" style="position:absolute;margin-left:530.79999999999995pt;margin-top:797.5pt;width:7.4500000000000002pt;height:6.25pt;z-index:-188743969;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0" behindDoc="1" locked="0" layoutInCell="1" allowOverlap="1">
              <wp:simplePos x="0" y="0"/>
              <wp:positionH relativeFrom="page">
                <wp:posOffset>6741160</wp:posOffset>
              </wp:positionH>
              <wp:positionV relativeFrom="page">
                <wp:posOffset>10128250</wp:posOffset>
              </wp:positionV>
              <wp:extent cx="94615" cy="79375"/>
              <wp:wrapNone/>
              <wp:docPr id="246" name="Shape 246"/>
              <a:graphic xmlns:a="http://schemas.openxmlformats.org/drawingml/2006/main">
                <a:graphicData uri="http://schemas.microsoft.com/office/word/2010/wordprocessingShape">
                  <wps:wsp>
                    <wps:cNvSpPr txBox="1"/>
                    <wps:spPr>
                      <a:xfrm>
                        <a:ext cx="94615" cy="7937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272" type="#_x0000_t202" style="position:absolute;margin-left:530.79999999999995pt;margin-top:797.5pt;width:7.4500000000000002pt;height:6.25pt;z-index:-188743963;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4" behindDoc="1" locked="0" layoutInCell="1" allowOverlap="1">
              <wp:simplePos x="0" y="0"/>
              <wp:positionH relativeFrom="page">
                <wp:posOffset>6742430</wp:posOffset>
              </wp:positionH>
              <wp:positionV relativeFrom="page">
                <wp:posOffset>10146030</wp:posOffset>
              </wp:positionV>
              <wp:extent cx="97790" cy="79375"/>
              <wp:wrapNone/>
              <wp:docPr id="303" name="Shape 303"/>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329" type="#_x0000_t202" style="position:absolute;margin-left:530.89999999999998pt;margin-top:798.89999999999998pt;width:7.7000000000000002pt;height:6.25pt;z-index:-188743959;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8" behindDoc="1" locked="0" layoutInCell="1" allowOverlap="1">
              <wp:simplePos x="0" y="0"/>
              <wp:positionH relativeFrom="page">
                <wp:posOffset>6742430</wp:posOffset>
              </wp:positionH>
              <wp:positionV relativeFrom="page">
                <wp:posOffset>10146030</wp:posOffset>
              </wp:positionV>
              <wp:extent cx="97790" cy="79375"/>
              <wp:wrapNone/>
              <wp:docPr id="308" name="Shape 308"/>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334" type="#_x0000_t202" style="position:absolute;margin-left:530.89999999999998pt;margin-top:798.89999999999998pt;width:7.7000000000000002pt;height:6.25pt;z-index:-188743955;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0" behindDoc="1" locked="0" layoutInCell="1" allowOverlap="1">
              <wp:simplePos x="0" y="0"/>
              <wp:positionH relativeFrom="page">
                <wp:posOffset>6742430</wp:posOffset>
              </wp:positionH>
              <wp:positionV relativeFrom="page">
                <wp:posOffset>10131425</wp:posOffset>
              </wp:positionV>
              <wp:extent cx="97790" cy="79375"/>
              <wp:wrapNone/>
              <wp:docPr id="310" name="Shape 310"/>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336" type="#_x0000_t202" style="position:absolute;margin-left:530.89999999999998pt;margin-top:797.75pt;width:7.7000000000000002pt;height:6.25pt;z-index:-188743953;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2" behindDoc="1" locked="0" layoutInCell="1" allowOverlap="1">
              <wp:simplePos x="0" y="0"/>
              <wp:positionH relativeFrom="page">
                <wp:posOffset>6742430</wp:posOffset>
              </wp:positionH>
              <wp:positionV relativeFrom="page">
                <wp:posOffset>10131425</wp:posOffset>
              </wp:positionV>
              <wp:extent cx="97790" cy="79375"/>
              <wp:wrapNone/>
              <wp:docPr id="312" name="Shape 312"/>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338" type="#_x0000_t202" style="position:absolute;margin-left:530.89999999999998pt;margin-top:797.75pt;width:7.7000000000000002pt;height:6.25pt;z-index:-188743951;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8" behindDoc="1" locked="0" layoutInCell="1" allowOverlap="1">
              <wp:simplePos x="0" y="0"/>
              <wp:positionH relativeFrom="page">
                <wp:posOffset>6741160</wp:posOffset>
              </wp:positionH>
              <wp:positionV relativeFrom="page">
                <wp:posOffset>10128250</wp:posOffset>
              </wp:positionV>
              <wp:extent cx="94615" cy="79375"/>
              <wp:wrapNone/>
              <wp:docPr id="320" name="Shape 320"/>
              <a:graphic xmlns:a="http://schemas.openxmlformats.org/drawingml/2006/main">
                <a:graphicData uri="http://schemas.microsoft.com/office/word/2010/wordprocessingShape">
                  <wps:wsp>
                    <wps:cNvSpPr txBox="1"/>
                    <wps:spPr>
                      <a:xfrm>
                        <a:ext cx="94615" cy="7937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346" type="#_x0000_t202" style="position:absolute;margin-left:530.79999999999995pt;margin-top:797.5pt;width:7.4500000000000002pt;height:6.25pt;z-index:-188743945;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8" behindDoc="1" locked="0" layoutInCell="1" allowOverlap="1">
              <wp:simplePos x="0" y="0"/>
              <wp:positionH relativeFrom="page">
                <wp:posOffset>6742430</wp:posOffset>
              </wp:positionH>
              <wp:positionV relativeFrom="page">
                <wp:posOffset>10131425</wp:posOffset>
              </wp:positionV>
              <wp:extent cx="97790" cy="79375"/>
              <wp:wrapNone/>
              <wp:docPr id="13" name="Shape 13"/>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039" type="#_x0000_t202" style="position:absolute;margin-left:530.89999999999998pt;margin-top:797.75pt;width:7.7000000000000002pt;height:6.25pt;z-index:-188744055;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4" behindDoc="1" locked="0" layoutInCell="1" allowOverlap="1">
              <wp:simplePos x="0" y="0"/>
              <wp:positionH relativeFrom="page">
                <wp:posOffset>6741160</wp:posOffset>
              </wp:positionH>
              <wp:positionV relativeFrom="page">
                <wp:posOffset>10128250</wp:posOffset>
              </wp:positionV>
              <wp:extent cx="94615" cy="79375"/>
              <wp:wrapNone/>
              <wp:docPr id="327" name="Shape 327"/>
              <a:graphic xmlns:a="http://schemas.openxmlformats.org/drawingml/2006/main">
                <a:graphicData uri="http://schemas.microsoft.com/office/word/2010/wordprocessingShape">
                  <wps:wsp>
                    <wps:cNvSpPr txBox="1"/>
                    <wps:spPr>
                      <a:xfrm>
                        <a:ext cx="94615" cy="7937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353" type="#_x0000_t202" style="position:absolute;margin-left:530.79999999999995pt;margin-top:797.5pt;width:7.4500000000000002pt;height:6.25pt;z-index:-188743939;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6" behindDoc="1" locked="0" layoutInCell="1" allowOverlap="1">
              <wp:simplePos x="0" y="0"/>
              <wp:positionH relativeFrom="page">
                <wp:posOffset>6742430</wp:posOffset>
              </wp:positionH>
              <wp:positionV relativeFrom="page">
                <wp:posOffset>10131425</wp:posOffset>
              </wp:positionV>
              <wp:extent cx="97790" cy="79375"/>
              <wp:wrapNone/>
              <wp:docPr id="333" name="Shape 333"/>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359" type="#_x0000_t202" style="position:absolute;margin-left:530.89999999999998pt;margin-top:797.75pt;width:7.7000000000000002pt;height:6.25pt;z-index:-188743937;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8" behindDoc="1" locked="0" layoutInCell="1" allowOverlap="1">
              <wp:simplePos x="0" y="0"/>
              <wp:positionH relativeFrom="page">
                <wp:posOffset>6742430</wp:posOffset>
              </wp:positionH>
              <wp:positionV relativeFrom="page">
                <wp:posOffset>10131425</wp:posOffset>
              </wp:positionV>
              <wp:extent cx="97790" cy="79375"/>
              <wp:wrapNone/>
              <wp:docPr id="335" name="Shape 335"/>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361" type="#_x0000_t202" style="position:absolute;margin-left:530.89999999999998pt;margin-top:797.75pt;width:7.7000000000000002pt;height:6.25pt;z-index:-188743935;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2" behindDoc="1" locked="0" layoutInCell="1" allowOverlap="1">
              <wp:simplePos x="0" y="0"/>
              <wp:positionH relativeFrom="page">
                <wp:posOffset>6742430</wp:posOffset>
              </wp:positionH>
              <wp:positionV relativeFrom="page">
                <wp:posOffset>10146030</wp:posOffset>
              </wp:positionV>
              <wp:extent cx="97790" cy="79375"/>
              <wp:wrapNone/>
              <wp:docPr id="348" name="Shape 348"/>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374" type="#_x0000_t202" style="position:absolute;margin-left:530.89999999999998pt;margin-top:798.89999999999998pt;width:7.7000000000000002pt;height:6.25pt;z-index:-188743931;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6" behindDoc="1" locked="0" layoutInCell="1" allowOverlap="1">
              <wp:simplePos x="0" y="0"/>
              <wp:positionH relativeFrom="page">
                <wp:posOffset>6742430</wp:posOffset>
              </wp:positionH>
              <wp:positionV relativeFrom="page">
                <wp:posOffset>10146030</wp:posOffset>
              </wp:positionV>
              <wp:extent cx="97790" cy="79375"/>
              <wp:wrapNone/>
              <wp:docPr id="353" name="Shape 353"/>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379" type="#_x0000_t202" style="position:absolute;margin-left:530.89999999999998pt;margin-top:798.89999999999998pt;width:7.7000000000000002pt;height:6.25pt;z-index:-188743927;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8" behindDoc="1" locked="0" layoutInCell="1" allowOverlap="1">
              <wp:simplePos x="0" y="0"/>
              <wp:positionH relativeFrom="page">
                <wp:posOffset>6742430</wp:posOffset>
              </wp:positionH>
              <wp:positionV relativeFrom="page">
                <wp:posOffset>10131425</wp:posOffset>
              </wp:positionV>
              <wp:extent cx="97790" cy="79375"/>
              <wp:wrapNone/>
              <wp:docPr id="374" name="Shape 374"/>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400" type="#_x0000_t202" style="position:absolute;margin-left:530.89999999999998pt;margin-top:797.75pt;width:7.7000000000000002pt;height:6.25pt;z-index:-188743925;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0" behindDoc="1" locked="0" layoutInCell="1" allowOverlap="1">
              <wp:simplePos x="0" y="0"/>
              <wp:positionH relativeFrom="page">
                <wp:posOffset>6742430</wp:posOffset>
              </wp:positionH>
              <wp:positionV relativeFrom="page">
                <wp:posOffset>10131425</wp:posOffset>
              </wp:positionV>
              <wp:extent cx="97790" cy="79375"/>
              <wp:wrapNone/>
              <wp:docPr id="376" name="Shape 376"/>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402" type="#_x0000_t202" style="position:absolute;margin-left:530.89999999999998pt;margin-top:797.75pt;width:7.7000000000000002pt;height:6.25pt;z-index:-188743923;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6" behindDoc="1" locked="0" layoutInCell="1" allowOverlap="1">
              <wp:simplePos x="0" y="0"/>
              <wp:positionH relativeFrom="page">
                <wp:posOffset>6741160</wp:posOffset>
              </wp:positionH>
              <wp:positionV relativeFrom="page">
                <wp:posOffset>10128250</wp:posOffset>
              </wp:positionV>
              <wp:extent cx="94615" cy="79375"/>
              <wp:wrapNone/>
              <wp:docPr id="383" name="Shape 383"/>
              <a:graphic xmlns:a="http://schemas.openxmlformats.org/drawingml/2006/main">
                <a:graphicData uri="http://schemas.microsoft.com/office/word/2010/wordprocessingShape">
                  <wps:wsp>
                    <wps:cNvSpPr txBox="1"/>
                    <wps:spPr>
                      <a:xfrm>
                        <a:ext cx="94615" cy="7937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409" type="#_x0000_t202" style="position:absolute;margin-left:530.79999999999995pt;margin-top:797.5pt;width:7.4500000000000002pt;height:6.25pt;z-index:-188743917;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2" behindDoc="1" locked="0" layoutInCell="1" allowOverlap="1">
              <wp:simplePos x="0" y="0"/>
              <wp:positionH relativeFrom="page">
                <wp:posOffset>6741160</wp:posOffset>
              </wp:positionH>
              <wp:positionV relativeFrom="page">
                <wp:posOffset>10128250</wp:posOffset>
              </wp:positionV>
              <wp:extent cx="94615" cy="79375"/>
              <wp:wrapNone/>
              <wp:docPr id="390" name="Shape 390"/>
              <a:graphic xmlns:a="http://schemas.openxmlformats.org/drawingml/2006/main">
                <a:graphicData uri="http://schemas.microsoft.com/office/word/2010/wordprocessingShape">
                  <wps:wsp>
                    <wps:cNvSpPr txBox="1"/>
                    <wps:spPr>
                      <a:xfrm>
                        <a:ext cx="94615" cy="7937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416" type="#_x0000_t202" style="position:absolute;margin-left:530.79999999999995pt;margin-top:797.5pt;width:7.4500000000000002pt;height:6.25pt;z-index:-188743911;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6" behindDoc="1" locked="0" layoutInCell="1" allowOverlap="1">
              <wp:simplePos x="0" y="0"/>
              <wp:positionH relativeFrom="page">
                <wp:posOffset>6714490</wp:posOffset>
              </wp:positionH>
              <wp:positionV relativeFrom="page">
                <wp:posOffset>10119360</wp:posOffset>
              </wp:positionV>
              <wp:extent cx="100330" cy="79375"/>
              <wp:wrapNone/>
              <wp:docPr id="394" name="Shape 394"/>
              <a:graphic xmlns:a="http://schemas.openxmlformats.org/drawingml/2006/main">
                <a:graphicData uri="http://schemas.microsoft.com/office/word/2010/wordprocessingShape">
                  <wps:wsp>
                    <wps:cNvSpPr txBox="1"/>
                    <wps:spPr>
                      <a:xfrm>
                        <a:ext cx="100330"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420" type="#_x0000_t202" style="position:absolute;margin-left:528.70000000000005pt;margin-top:796.80000000000007pt;width:7.9000000000000004pt;height:6.25pt;z-index:-188743907;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0" behindDoc="1" locked="0" layoutInCell="1" allowOverlap="1">
              <wp:simplePos x="0" y="0"/>
              <wp:positionH relativeFrom="page">
                <wp:posOffset>6742430</wp:posOffset>
              </wp:positionH>
              <wp:positionV relativeFrom="page">
                <wp:posOffset>10131425</wp:posOffset>
              </wp:positionV>
              <wp:extent cx="97790" cy="79375"/>
              <wp:wrapNone/>
              <wp:docPr id="15" name="Shape 15"/>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041" type="#_x0000_t202" style="position:absolute;margin-left:530.89999999999998pt;margin-top:797.75pt;width:7.7000000000000002pt;height:6.25pt;z-index:-188744053;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0" behindDoc="1" locked="0" layoutInCell="1" allowOverlap="1">
              <wp:simplePos x="0" y="0"/>
              <wp:positionH relativeFrom="page">
                <wp:posOffset>6742430</wp:posOffset>
              </wp:positionH>
              <wp:positionV relativeFrom="page">
                <wp:posOffset>10146030</wp:posOffset>
              </wp:positionV>
              <wp:extent cx="97790" cy="79375"/>
              <wp:wrapNone/>
              <wp:docPr id="399" name="Shape 399"/>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425" type="#_x0000_t202" style="position:absolute;margin-left:530.89999999999998pt;margin-top:798.89999999999998pt;width:7.7000000000000002pt;height:6.25pt;z-index:-188743903;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4" behindDoc="1" locked="0" layoutInCell="1" allowOverlap="1">
              <wp:simplePos x="0" y="0"/>
              <wp:positionH relativeFrom="page">
                <wp:posOffset>6742430</wp:posOffset>
              </wp:positionH>
              <wp:positionV relativeFrom="page">
                <wp:posOffset>10146030</wp:posOffset>
              </wp:positionV>
              <wp:extent cx="97790" cy="79375"/>
              <wp:wrapNone/>
              <wp:docPr id="404" name="Shape 404"/>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430" type="#_x0000_t202" style="position:absolute;margin-left:530.89999999999998pt;margin-top:798.89999999999998pt;width:7.7000000000000002pt;height:6.25pt;z-index:-188743899;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6" behindDoc="1" locked="0" layoutInCell="1" allowOverlap="1">
              <wp:simplePos x="0" y="0"/>
              <wp:positionH relativeFrom="page">
                <wp:posOffset>6742430</wp:posOffset>
              </wp:positionH>
              <wp:positionV relativeFrom="page">
                <wp:posOffset>10131425</wp:posOffset>
              </wp:positionV>
              <wp:extent cx="97790" cy="79375"/>
              <wp:wrapNone/>
              <wp:docPr id="406" name="Shape 406"/>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432" type="#_x0000_t202" style="position:absolute;margin-left:530.89999999999998pt;margin-top:797.75pt;width:7.7000000000000002pt;height:6.25pt;z-index:-188743897;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8" behindDoc="1" locked="0" layoutInCell="1" allowOverlap="1">
              <wp:simplePos x="0" y="0"/>
              <wp:positionH relativeFrom="page">
                <wp:posOffset>6742430</wp:posOffset>
              </wp:positionH>
              <wp:positionV relativeFrom="page">
                <wp:posOffset>10131425</wp:posOffset>
              </wp:positionV>
              <wp:extent cx="97790" cy="79375"/>
              <wp:wrapNone/>
              <wp:docPr id="408" name="Shape 408"/>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434" type="#_x0000_t202" style="position:absolute;margin-left:530.89999999999998pt;margin-top:797.75pt;width:7.7000000000000002pt;height:6.25pt;z-index:-188743895;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2" behindDoc="1" locked="0" layoutInCell="1" allowOverlap="1">
              <wp:simplePos x="0" y="0"/>
              <wp:positionH relativeFrom="page">
                <wp:posOffset>6742430</wp:posOffset>
              </wp:positionH>
              <wp:positionV relativeFrom="page">
                <wp:posOffset>10146030</wp:posOffset>
              </wp:positionV>
              <wp:extent cx="97790" cy="79375"/>
              <wp:wrapNone/>
              <wp:docPr id="413" name="Shape 413"/>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439" type="#_x0000_t202" style="position:absolute;margin-left:530.89999999999998pt;margin-top:798.89999999999998pt;width:7.7000000000000002pt;height:6.25pt;z-index:-188743891;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6" behindDoc="1" locked="0" layoutInCell="1" allowOverlap="1">
              <wp:simplePos x="0" y="0"/>
              <wp:positionH relativeFrom="page">
                <wp:posOffset>6742430</wp:posOffset>
              </wp:positionH>
              <wp:positionV relativeFrom="page">
                <wp:posOffset>10146030</wp:posOffset>
              </wp:positionV>
              <wp:extent cx="97790" cy="79375"/>
              <wp:wrapNone/>
              <wp:docPr id="418" name="Shape 418"/>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444" type="#_x0000_t202" style="position:absolute;margin-left:530.89999999999998pt;margin-top:798.89999999999998pt;width:7.7000000000000002pt;height:6.25pt;z-index:-188743887;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0" behindDoc="1" locked="0" layoutInCell="1" allowOverlap="1">
              <wp:simplePos x="0" y="0"/>
              <wp:positionH relativeFrom="page">
                <wp:posOffset>6726555</wp:posOffset>
              </wp:positionH>
              <wp:positionV relativeFrom="page">
                <wp:posOffset>10153015</wp:posOffset>
              </wp:positionV>
              <wp:extent cx="109855" cy="79375"/>
              <wp:wrapNone/>
              <wp:docPr id="422" name="Shape 422"/>
              <a:graphic xmlns:a="http://schemas.openxmlformats.org/drawingml/2006/main">
                <a:graphicData uri="http://schemas.microsoft.com/office/word/2010/wordprocessingShape">
                  <wps:wsp>
                    <wps:cNvSpPr txBox="1"/>
                    <wps:spPr>
                      <a:xfrm>
                        <a:ext cx="109855"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448" type="#_x0000_t202" style="position:absolute;margin-left:529.64999999999998pt;margin-top:799.45000000000005pt;width:8.6500000000000004pt;height:6.25pt;z-index:-188743883;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4" behindDoc="1" locked="0" layoutInCell="1" allowOverlap="1">
              <wp:simplePos x="0" y="0"/>
              <wp:positionH relativeFrom="page">
                <wp:posOffset>6726555</wp:posOffset>
              </wp:positionH>
              <wp:positionV relativeFrom="page">
                <wp:posOffset>10153015</wp:posOffset>
              </wp:positionV>
              <wp:extent cx="109855" cy="79375"/>
              <wp:wrapNone/>
              <wp:docPr id="426" name="Shape 426"/>
              <a:graphic xmlns:a="http://schemas.openxmlformats.org/drawingml/2006/main">
                <a:graphicData uri="http://schemas.microsoft.com/office/word/2010/wordprocessingShape">
                  <wps:wsp>
                    <wps:cNvSpPr txBox="1"/>
                    <wps:spPr>
                      <a:xfrm>
                        <a:ext cx="109855"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452" type="#_x0000_t202" style="position:absolute;margin-left:529.64999999999998pt;margin-top:799.45000000000005pt;width:8.6500000000000004pt;height:6.25pt;z-index:-188743879;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0" behindDoc="1" locked="0" layoutInCell="1" allowOverlap="1">
              <wp:simplePos x="0" y="0"/>
              <wp:positionH relativeFrom="page">
                <wp:posOffset>6741160</wp:posOffset>
              </wp:positionH>
              <wp:positionV relativeFrom="page">
                <wp:posOffset>10128250</wp:posOffset>
              </wp:positionV>
              <wp:extent cx="94615" cy="79375"/>
              <wp:wrapNone/>
              <wp:docPr id="433" name="Shape 433"/>
              <a:graphic xmlns:a="http://schemas.openxmlformats.org/drawingml/2006/main">
                <a:graphicData uri="http://schemas.microsoft.com/office/word/2010/wordprocessingShape">
                  <wps:wsp>
                    <wps:cNvSpPr txBox="1"/>
                    <wps:spPr>
                      <a:xfrm>
                        <a:ext cx="94615" cy="7937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459" type="#_x0000_t202" style="position:absolute;margin-left:530.79999999999995pt;margin-top:797.5pt;width:7.4500000000000002pt;height:6.25pt;z-index:-188743873;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4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6" behindDoc="1" locked="0" layoutInCell="1" allowOverlap="1">
              <wp:simplePos x="0" y="0"/>
              <wp:positionH relativeFrom="page">
                <wp:posOffset>6741160</wp:posOffset>
              </wp:positionH>
              <wp:positionV relativeFrom="page">
                <wp:posOffset>10128250</wp:posOffset>
              </wp:positionV>
              <wp:extent cx="94615" cy="79375"/>
              <wp:wrapNone/>
              <wp:docPr id="440" name="Shape 440"/>
              <a:graphic xmlns:a="http://schemas.openxmlformats.org/drawingml/2006/main">
                <a:graphicData uri="http://schemas.microsoft.com/office/word/2010/wordprocessingShape">
                  <wps:wsp>
                    <wps:cNvSpPr txBox="1"/>
                    <wps:spPr>
                      <a:xfrm>
                        <a:ext cx="94615" cy="7937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466" type="#_x0000_t202" style="position:absolute;margin-left:530.79999999999995pt;margin-top:797.5pt;width:7.4500000000000002pt;height:6.25pt;z-index:-188743867;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6" behindDoc="1" locked="0" layoutInCell="1" allowOverlap="1">
              <wp:simplePos x="0" y="0"/>
              <wp:positionH relativeFrom="page">
                <wp:posOffset>6790055</wp:posOffset>
              </wp:positionH>
              <wp:positionV relativeFrom="page">
                <wp:posOffset>10128250</wp:posOffset>
              </wp:positionV>
              <wp:extent cx="45720" cy="79375"/>
              <wp:wrapNone/>
              <wp:docPr id="22" name="Shape 22"/>
              <a:graphic xmlns:a="http://schemas.openxmlformats.org/drawingml/2006/main">
                <a:graphicData uri="http://schemas.microsoft.com/office/word/2010/wordprocessingShape">
                  <wps:wsp>
                    <wps:cNvSpPr txBox="1"/>
                    <wps:spPr>
                      <a:xfrm>
                        <a:ext cx="45720" cy="7937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048" type="#_x0000_t202" style="position:absolute;margin-left:534.64999999999998pt;margin-top:797.5pt;width:3.6000000000000001pt;height:6.25pt;z-index:-188744047;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5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2" behindDoc="1" locked="0" layoutInCell="1" allowOverlap="1">
              <wp:simplePos x="0" y="0"/>
              <wp:positionH relativeFrom="page">
                <wp:posOffset>6741160</wp:posOffset>
              </wp:positionH>
              <wp:positionV relativeFrom="page">
                <wp:posOffset>10128250</wp:posOffset>
              </wp:positionV>
              <wp:extent cx="94615" cy="79375"/>
              <wp:wrapNone/>
              <wp:docPr id="447" name="Shape 447"/>
              <a:graphic xmlns:a="http://schemas.openxmlformats.org/drawingml/2006/main">
                <a:graphicData uri="http://schemas.microsoft.com/office/word/2010/wordprocessingShape">
                  <wps:wsp>
                    <wps:cNvSpPr txBox="1"/>
                    <wps:spPr>
                      <a:xfrm>
                        <a:ext cx="94615" cy="7937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473" type="#_x0000_t202" style="position:absolute;margin-left:530.79999999999995pt;margin-top:797.5pt;width:7.4500000000000002pt;height:6.25pt;z-index:-188743861;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5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6" behindDoc="1" locked="0" layoutInCell="1" allowOverlap="1">
              <wp:simplePos x="0" y="0"/>
              <wp:positionH relativeFrom="page">
                <wp:posOffset>6742430</wp:posOffset>
              </wp:positionH>
              <wp:positionV relativeFrom="page">
                <wp:posOffset>10146030</wp:posOffset>
              </wp:positionV>
              <wp:extent cx="97790" cy="79375"/>
              <wp:wrapNone/>
              <wp:docPr id="452" name="Shape 452"/>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478" type="#_x0000_t202" style="position:absolute;margin-left:530.89999999999998pt;margin-top:798.89999999999998pt;width:7.7000000000000002pt;height:6.25pt;z-index:-188743857;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5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0" behindDoc="1" locked="0" layoutInCell="1" allowOverlap="1">
              <wp:simplePos x="0" y="0"/>
              <wp:positionH relativeFrom="page">
                <wp:posOffset>6726555</wp:posOffset>
              </wp:positionH>
              <wp:positionV relativeFrom="page">
                <wp:posOffset>10153015</wp:posOffset>
              </wp:positionV>
              <wp:extent cx="109855" cy="79375"/>
              <wp:wrapNone/>
              <wp:docPr id="456" name="Shape 456"/>
              <a:graphic xmlns:a="http://schemas.openxmlformats.org/drawingml/2006/main">
                <a:graphicData uri="http://schemas.microsoft.com/office/word/2010/wordprocessingShape">
                  <wps:wsp>
                    <wps:cNvSpPr txBox="1"/>
                    <wps:spPr>
                      <a:xfrm>
                        <a:ext cx="109855"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482" type="#_x0000_t202" style="position:absolute;margin-left:529.64999999999998pt;margin-top:799.45000000000005pt;width:8.6500000000000004pt;height:6.25pt;z-index:-188743853;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5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4" behindDoc="1" locked="0" layoutInCell="1" allowOverlap="1">
              <wp:simplePos x="0" y="0"/>
              <wp:positionH relativeFrom="page">
                <wp:posOffset>6726555</wp:posOffset>
              </wp:positionH>
              <wp:positionV relativeFrom="page">
                <wp:posOffset>10153015</wp:posOffset>
              </wp:positionV>
              <wp:extent cx="109855" cy="79375"/>
              <wp:wrapNone/>
              <wp:docPr id="460" name="Shape 460"/>
              <a:graphic xmlns:a="http://schemas.openxmlformats.org/drawingml/2006/main">
                <a:graphicData uri="http://schemas.microsoft.com/office/word/2010/wordprocessingShape">
                  <wps:wsp>
                    <wps:cNvSpPr txBox="1"/>
                    <wps:spPr>
                      <a:xfrm>
                        <a:ext cx="109855"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486" type="#_x0000_t202" style="position:absolute;margin-left:529.64999999999998pt;margin-top:799.45000000000005pt;width:8.6500000000000004pt;height:6.25pt;z-index:-188743849;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5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0" behindDoc="1" locked="0" layoutInCell="1" allowOverlap="1">
              <wp:simplePos x="0" y="0"/>
              <wp:positionH relativeFrom="page">
                <wp:posOffset>6741160</wp:posOffset>
              </wp:positionH>
              <wp:positionV relativeFrom="page">
                <wp:posOffset>10128250</wp:posOffset>
              </wp:positionV>
              <wp:extent cx="94615" cy="79375"/>
              <wp:wrapNone/>
              <wp:docPr id="467" name="Shape 467"/>
              <a:graphic xmlns:a="http://schemas.openxmlformats.org/drawingml/2006/main">
                <a:graphicData uri="http://schemas.microsoft.com/office/word/2010/wordprocessingShape">
                  <wps:wsp>
                    <wps:cNvSpPr txBox="1"/>
                    <wps:spPr>
                      <a:xfrm>
                        <a:ext cx="94615" cy="7937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493" type="#_x0000_t202" style="position:absolute;margin-left:530.79999999999995pt;margin-top:797.5pt;width:7.4500000000000002pt;height:6.25pt;z-index:-188743843;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5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6" behindDoc="1" locked="0" layoutInCell="1" allowOverlap="1">
              <wp:simplePos x="0" y="0"/>
              <wp:positionH relativeFrom="page">
                <wp:posOffset>6741160</wp:posOffset>
              </wp:positionH>
              <wp:positionV relativeFrom="page">
                <wp:posOffset>10128250</wp:posOffset>
              </wp:positionV>
              <wp:extent cx="94615" cy="79375"/>
              <wp:wrapNone/>
              <wp:docPr id="474" name="Shape 474"/>
              <a:graphic xmlns:a="http://schemas.openxmlformats.org/drawingml/2006/main">
                <a:graphicData uri="http://schemas.microsoft.com/office/word/2010/wordprocessingShape">
                  <wps:wsp>
                    <wps:cNvSpPr txBox="1"/>
                    <wps:spPr>
                      <a:xfrm>
                        <a:ext cx="94615" cy="7937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500" type="#_x0000_t202" style="position:absolute;margin-left:530.79999999999995pt;margin-top:797.5pt;width:7.4500000000000002pt;height:6.25pt;z-index:-188743837;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5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0" behindDoc="1" locked="0" layoutInCell="1" allowOverlap="1">
              <wp:simplePos x="0" y="0"/>
              <wp:positionH relativeFrom="page">
                <wp:posOffset>6742430</wp:posOffset>
              </wp:positionH>
              <wp:positionV relativeFrom="page">
                <wp:posOffset>10146030</wp:posOffset>
              </wp:positionV>
              <wp:extent cx="97790" cy="79375"/>
              <wp:wrapNone/>
              <wp:docPr id="479" name="Shape 479"/>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505" type="#_x0000_t202" style="position:absolute;margin-left:530.89999999999998pt;margin-top:798.89999999999998pt;width:7.7000000000000002pt;height:6.25pt;z-index:-188743833;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5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2" behindDoc="1" locked="0" layoutInCell="1" allowOverlap="1">
              <wp:simplePos x="0" y="0"/>
              <wp:positionH relativeFrom="page">
                <wp:posOffset>6742430</wp:posOffset>
              </wp:positionH>
              <wp:positionV relativeFrom="page">
                <wp:posOffset>10131425</wp:posOffset>
              </wp:positionV>
              <wp:extent cx="97790" cy="79375"/>
              <wp:wrapNone/>
              <wp:docPr id="481" name="Shape 481"/>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507" type="#_x0000_t202" style="position:absolute;margin-left:530.89999999999998pt;margin-top:797.75pt;width:7.7000000000000002pt;height:6.25pt;z-index:-188743831;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5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4" behindDoc="1" locked="0" layoutInCell="1" allowOverlap="1">
              <wp:simplePos x="0" y="0"/>
              <wp:positionH relativeFrom="page">
                <wp:posOffset>6742430</wp:posOffset>
              </wp:positionH>
              <wp:positionV relativeFrom="page">
                <wp:posOffset>10131425</wp:posOffset>
              </wp:positionV>
              <wp:extent cx="97790" cy="79375"/>
              <wp:wrapNone/>
              <wp:docPr id="483" name="Shape 483"/>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509" type="#_x0000_t202" style="position:absolute;margin-left:530.89999999999998pt;margin-top:797.75pt;width:7.7000000000000002pt;height:6.25pt;z-index:-188743829;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5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8" behindDoc="1" locked="0" layoutInCell="1" allowOverlap="1">
              <wp:simplePos x="0" y="0"/>
              <wp:positionH relativeFrom="page">
                <wp:posOffset>6742430</wp:posOffset>
              </wp:positionH>
              <wp:positionV relativeFrom="page">
                <wp:posOffset>10146030</wp:posOffset>
              </wp:positionV>
              <wp:extent cx="97790" cy="79375"/>
              <wp:wrapNone/>
              <wp:docPr id="488" name="Shape 488"/>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514" type="#_x0000_t202" style="position:absolute;margin-left:530.89999999999998pt;margin-top:798.89999999999998pt;width:7.7000000000000002pt;height:6.25pt;z-index:-188743825;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2" behindDoc="1" locked="0" layoutInCell="1" allowOverlap="1">
              <wp:simplePos x="0" y="0"/>
              <wp:positionH relativeFrom="page">
                <wp:posOffset>6790055</wp:posOffset>
              </wp:positionH>
              <wp:positionV relativeFrom="page">
                <wp:posOffset>10128250</wp:posOffset>
              </wp:positionV>
              <wp:extent cx="45720" cy="79375"/>
              <wp:wrapNone/>
              <wp:docPr id="29" name="Shape 29"/>
              <a:graphic xmlns:a="http://schemas.openxmlformats.org/drawingml/2006/main">
                <a:graphicData uri="http://schemas.microsoft.com/office/word/2010/wordprocessingShape">
                  <wps:wsp>
                    <wps:cNvSpPr txBox="1"/>
                    <wps:spPr>
                      <a:xfrm>
                        <a:ext cx="45720" cy="7937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055" type="#_x0000_t202" style="position:absolute;margin-left:534.64999999999998pt;margin-top:797.5pt;width:3.6000000000000001pt;height:6.25pt;z-index:-188744041;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6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2" behindDoc="1" locked="0" layoutInCell="1" allowOverlap="1">
              <wp:simplePos x="0" y="0"/>
              <wp:positionH relativeFrom="page">
                <wp:posOffset>6742430</wp:posOffset>
              </wp:positionH>
              <wp:positionV relativeFrom="page">
                <wp:posOffset>10146030</wp:posOffset>
              </wp:positionV>
              <wp:extent cx="97790" cy="79375"/>
              <wp:wrapNone/>
              <wp:docPr id="493" name="Shape 493"/>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519" type="#_x0000_t202" style="position:absolute;margin-left:530.89999999999998pt;margin-top:798.89999999999998pt;width:7.7000000000000002pt;height:6.25pt;z-index:-188743821;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6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4" behindDoc="1" locked="0" layoutInCell="1" allowOverlap="1">
              <wp:simplePos x="0" y="0"/>
              <wp:positionH relativeFrom="page">
                <wp:posOffset>6742430</wp:posOffset>
              </wp:positionH>
              <wp:positionV relativeFrom="page">
                <wp:posOffset>10131425</wp:posOffset>
              </wp:positionV>
              <wp:extent cx="97790" cy="79375"/>
              <wp:wrapNone/>
              <wp:docPr id="495" name="Shape 495"/>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521" type="#_x0000_t202" style="position:absolute;margin-left:530.89999999999998pt;margin-top:797.75pt;width:7.7000000000000002pt;height:6.25pt;z-index:-188743819;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6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6" behindDoc="1" locked="0" layoutInCell="1" allowOverlap="1">
              <wp:simplePos x="0" y="0"/>
              <wp:positionH relativeFrom="page">
                <wp:posOffset>6742430</wp:posOffset>
              </wp:positionH>
              <wp:positionV relativeFrom="page">
                <wp:posOffset>10131425</wp:posOffset>
              </wp:positionV>
              <wp:extent cx="97790" cy="79375"/>
              <wp:wrapNone/>
              <wp:docPr id="497" name="Shape 497"/>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523" type="#_x0000_t202" style="position:absolute;margin-left:530.89999999999998pt;margin-top:797.75pt;width:7.7000000000000002pt;height:6.25pt;z-index:-188743817;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6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0" behindDoc="1" locked="0" layoutInCell="1" allowOverlap="1">
              <wp:simplePos x="0" y="0"/>
              <wp:positionH relativeFrom="page">
                <wp:posOffset>6736080</wp:posOffset>
              </wp:positionH>
              <wp:positionV relativeFrom="page">
                <wp:posOffset>10128250</wp:posOffset>
              </wp:positionV>
              <wp:extent cx="103505" cy="79375"/>
              <wp:wrapNone/>
              <wp:docPr id="502" name="Shape 502"/>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528" type="#_x0000_t202" style="position:absolute;margin-left:530.39999999999998pt;margin-top:797.5pt;width:8.1500000000000004pt;height:6.25pt;z-index:-188743813;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6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4" behindDoc="1" locked="0" layoutInCell="1" allowOverlap="1">
              <wp:simplePos x="0" y="0"/>
              <wp:positionH relativeFrom="page">
                <wp:posOffset>6736080</wp:posOffset>
              </wp:positionH>
              <wp:positionV relativeFrom="page">
                <wp:posOffset>10128250</wp:posOffset>
              </wp:positionV>
              <wp:extent cx="103505" cy="79375"/>
              <wp:wrapNone/>
              <wp:docPr id="507" name="Shape 507"/>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533" type="#_x0000_t202" style="position:absolute;margin-left:530.39999999999998pt;margin-top:797.5pt;width:8.1500000000000004pt;height:6.25pt;z-index:-188743809;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6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6" behindDoc="1" locked="0" layoutInCell="1" allowOverlap="1">
              <wp:simplePos x="0" y="0"/>
              <wp:positionH relativeFrom="page">
                <wp:posOffset>6742430</wp:posOffset>
              </wp:positionH>
              <wp:positionV relativeFrom="page">
                <wp:posOffset>10131425</wp:posOffset>
              </wp:positionV>
              <wp:extent cx="97790" cy="79375"/>
              <wp:wrapNone/>
              <wp:docPr id="509" name="Shape 509"/>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535" type="#_x0000_t202" style="position:absolute;margin-left:530.89999999999998pt;margin-top:797.75pt;width:7.7000000000000002pt;height:6.25pt;z-index:-188743807;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6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8" behindDoc="1" locked="0" layoutInCell="1" allowOverlap="1">
              <wp:simplePos x="0" y="0"/>
              <wp:positionH relativeFrom="page">
                <wp:posOffset>6742430</wp:posOffset>
              </wp:positionH>
              <wp:positionV relativeFrom="page">
                <wp:posOffset>10131425</wp:posOffset>
              </wp:positionV>
              <wp:extent cx="97790" cy="79375"/>
              <wp:wrapNone/>
              <wp:docPr id="511" name="Shape 511"/>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537" type="#_x0000_t202" style="position:absolute;margin-left:530.89999999999998pt;margin-top:797.75pt;width:7.7000000000000002pt;height:6.25pt;z-index:-188743805;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6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2" behindDoc="1" locked="0" layoutInCell="1" allowOverlap="1">
              <wp:simplePos x="0" y="0"/>
              <wp:positionH relativeFrom="page">
                <wp:posOffset>6741795</wp:posOffset>
              </wp:positionH>
              <wp:positionV relativeFrom="page">
                <wp:posOffset>10121265</wp:posOffset>
              </wp:positionV>
              <wp:extent cx="103505" cy="79375"/>
              <wp:wrapNone/>
              <wp:docPr id="516" name="Shape 516"/>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542" type="#_x0000_t202" style="position:absolute;margin-left:530.85000000000002pt;margin-top:796.95000000000005pt;width:8.1500000000000004pt;height:6.25pt;z-index:-188743801;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6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6" behindDoc="1" locked="0" layoutInCell="1" allowOverlap="1">
              <wp:simplePos x="0" y="0"/>
              <wp:positionH relativeFrom="page">
                <wp:posOffset>6741795</wp:posOffset>
              </wp:positionH>
              <wp:positionV relativeFrom="page">
                <wp:posOffset>10121265</wp:posOffset>
              </wp:positionV>
              <wp:extent cx="103505" cy="79375"/>
              <wp:wrapNone/>
              <wp:docPr id="521" name="Shape 521"/>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547" type="#_x0000_t202" style="position:absolute;margin-left:530.85000000000002pt;margin-top:796.95000000000005pt;width:8.1500000000000004pt;height:6.25pt;z-index:-188743797;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6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0" behindDoc="1" locked="0" layoutInCell="1" allowOverlap="1">
              <wp:simplePos x="0" y="0"/>
              <wp:positionH relativeFrom="page">
                <wp:posOffset>6740525</wp:posOffset>
              </wp:positionH>
              <wp:positionV relativeFrom="page">
                <wp:posOffset>10149205</wp:posOffset>
              </wp:positionV>
              <wp:extent cx="106680" cy="79375"/>
              <wp:wrapNone/>
              <wp:docPr id="526" name="Shape 526"/>
              <a:graphic xmlns:a="http://schemas.openxmlformats.org/drawingml/2006/main">
                <a:graphicData uri="http://schemas.microsoft.com/office/word/2010/wordprocessingShape">
                  <wps:wsp>
                    <wps:cNvSpPr txBox="1"/>
                    <wps:spPr>
                      <a:xfrm>
                        <a:ext cx="106680"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552" type="#_x0000_t202" style="position:absolute;margin-left:530.75pt;margin-top:799.14999999999998pt;width:8.4000000000000004pt;height:6.25pt;z-index:-188743793;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6" behindDoc="1" locked="0" layoutInCell="1" allowOverlap="1">
              <wp:simplePos x="0" y="0"/>
              <wp:positionH relativeFrom="page">
                <wp:posOffset>6742430</wp:posOffset>
              </wp:positionH>
              <wp:positionV relativeFrom="page">
                <wp:posOffset>10148570</wp:posOffset>
              </wp:positionV>
              <wp:extent cx="97790" cy="79375"/>
              <wp:wrapNone/>
              <wp:docPr id="33" name="Shape 33"/>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059" type="#_x0000_t202" style="position:absolute;margin-left:530.89999999999998pt;margin-top:799.10000000000002pt;width:7.7000000000000002pt;height:6.25pt;z-index:-188744037;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7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4" behindDoc="1" locked="0" layoutInCell="1" allowOverlap="1">
              <wp:simplePos x="0" y="0"/>
              <wp:positionH relativeFrom="page">
                <wp:posOffset>6740525</wp:posOffset>
              </wp:positionH>
              <wp:positionV relativeFrom="page">
                <wp:posOffset>10149205</wp:posOffset>
              </wp:positionV>
              <wp:extent cx="106680" cy="79375"/>
              <wp:wrapNone/>
              <wp:docPr id="531" name="Shape 531"/>
              <a:graphic xmlns:a="http://schemas.openxmlformats.org/drawingml/2006/main">
                <a:graphicData uri="http://schemas.microsoft.com/office/word/2010/wordprocessingShape">
                  <wps:wsp>
                    <wps:cNvSpPr txBox="1"/>
                    <wps:spPr>
                      <a:xfrm>
                        <a:ext cx="106680"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557" type="#_x0000_t202" style="position:absolute;margin-left:530.75pt;margin-top:799.14999999999998pt;width:8.4000000000000004pt;height:6.25pt;z-index:-188743789;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7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8" behindDoc="1" locked="0" layoutInCell="1" allowOverlap="1">
              <wp:simplePos x="0" y="0"/>
              <wp:positionH relativeFrom="page">
                <wp:posOffset>6740525</wp:posOffset>
              </wp:positionH>
              <wp:positionV relativeFrom="page">
                <wp:posOffset>10149205</wp:posOffset>
              </wp:positionV>
              <wp:extent cx="106680" cy="79375"/>
              <wp:wrapNone/>
              <wp:docPr id="536" name="Shape 536"/>
              <a:graphic xmlns:a="http://schemas.openxmlformats.org/drawingml/2006/main">
                <a:graphicData uri="http://schemas.microsoft.com/office/word/2010/wordprocessingShape">
                  <wps:wsp>
                    <wps:cNvSpPr txBox="1"/>
                    <wps:spPr>
                      <a:xfrm>
                        <a:ext cx="106680"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562" type="#_x0000_t202" style="position:absolute;margin-left:530.75pt;margin-top:799.14999999999998pt;width:8.4000000000000004pt;height:6.25pt;z-index:-188743785;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7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0" behindDoc="1" locked="0" layoutInCell="1" allowOverlap="1">
              <wp:simplePos x="0" y="0"/>
              <wp:positionH relativeFrom="page">
                <wp:posOffset>6742430</wp:posOffset>
              </wp:positionH>
              <wp:positionV relativeFrom="page">
                <wp:posOffset>10131425</wp:posOffset>
              </wp:positionV>
              <wp:extent cx="97790" cy="79375"/>
              <wp:wrapNone/>
              <wp:docPr id="538" name="Shape 538"/>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564" type="#_x0000_t202" style="position:absolute;margin-left:530.89999999999998pt;margin-top:797.75pt;width:7.7000000000000002pt;height:6.25pt;z-index:-188743783;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7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4" behindDoc="1" locked="0" layoutInCell="1" allowOverlap="1">
              <wp:simplePos x="0" y="0"/>
              <wp:positionH relativeFrom="page">
                <wp:posOffset>6740525</wp:posOffset>
              </wp:positionH>
              <wp:positionV relativeFrom="page">
                <wp:posOffset>10149205</wp:posOffset>
              </wp:positionV>
              <wp:extent cx="106680" cy="79375"/>
              <wp:wrapNone/>
              <wp:docPr id="543" name="Shape 543"/>
              <a:graphic xmlns:a="http://schemas.openxmlformats.org/drawingml/2006/main">
                <a:graphicData uri="http://schemas.microsoft.com/office/word/2010/wordprocessingShape">
                  <wps:wsp>
                    <wps:cNvSpPr txBox="1"/>
                    <wps:spPr>
                      <a:xfrm>
                        <a:ext cx="106680"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569" type="#_x0000_t202" style="position:absolute;margin-left:530.75pt;margin-top:799.14999999999998pt;width:8.4000000000000004pt;height:6.25pt;z-index:-188743779;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7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8" behindDoc="1" locked="0" layoutInCell="1" allowOverlap="1">
              <wp:simplePos x="0" y="0"/>
              <wp:positionH relativeFrom="page">
                <wp:posOffset>6740525</wp:posOffset>
              </wp:positionH>
              <wp:positionV relativeFrom="page">
                <wp:posOffset>10149205</wp:posOffset>
              </wp:positionV>
              <wp:extent cx="106680" cy="79375"/>
              <wp:wrapNone/>
              <wp:docPr id="548" name="Shape 548"/>
              <a:graphic xmlns:a="http://schemas.openxmlformats.org/drawingml/2006/main">
                <a:graphicData uri="http://schemas.microsoft.com/office/word/2010/wordprocessingShape">
                  <wps:wsp>
                    <wps:cNvSpPr txBox="1"/>
                    <wps:spPr>
                      <a:xfrm>
                        <a:ext cx="106680"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574" type="#_x0000_t202" style="position:absolute;margin-left:530.75pt;margin-top:799.14999999999998pt;width:8.4000000000000004pt;height:6.25pt;z-index:-188743775;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7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2" behindDoc="1" locked="0" layoutInCell="1" allowOverlap="1">
              <wp:simplePos x="0" y="0"/>
              <wp:positionH relativeFrom="page">
                <wp:posOffset>6741795</wp:posOffset>
              </wp:positionH>
              <wp:positionV relativeFrom="page">
                <wp:posOffset>10121265</wp:posOffset>
              </wp:positionV>
              <wp:extent cx="103505" cy="79375"/>
              <wp:wrapNone/>
              <wp:docPr id="553" name="Shape 553"/>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579" type="#_x0000_t202" style="position:absolute;margin-left:530.85000000000002pt;margin-top:796.95000000000005pt;width:8.1500000000000004pt;height:6.25pt;z-index:-188743771;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7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4" behindDoc="1" locked="0" layoutInCell="1" allowOverlap="1">
              <wp:simplePos x="0" y="0"/>
              <wp:positionH relativeFrom="page">
                <wp:posOffset>6742430</wp:posOffset>
              </wp:positionH>
              <wp:positionV relativeFrom="page">
                <wp:posOffset>10131425</wp:posOffset>
              </wp:positionV>
              <wp:extent cx="97790" cy="79375"/>
              <wp:wrapNone/>
              <wp:docPr id="555" name="Shape 555"/>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581" type="#_x0000_t202" style="position:absolute;margin-left:530.89999999999998pt;margin-top:797.75pt;width:7.7000000000000002pt;height:6.25pt;z-index:-188743769;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7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6" behindDoc="1" locked="0" layoutInCell="1" allowOverlap="1">
              <wp:simplePos x="0" y="0"/>
              <wp:positionH relativeFrom="page">
                <wp:posOffset>6742430</wp:posOffset>
              </wp:positionH>
              <wp:positionV relativeFrom="page">
                <wp:posOffset>10131425</wp:posOffset>
              </wp:positionV>
              <wp:extent cx="97790" cy="79375"/>
              <wp:wrapNone/>
              <wp:docPr id="557" name="Shape 557"/>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583" type="#_x0000_t202" style="position:absolute;margin-left:530.89999999999998pt;margin-top:797.75pt;width:7.7000000000000002pt;height:6.25pt;z-index:-188743767;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7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2" behindDoc="1" locked="0" layoutInCell="1" allowOverlap="1">
              <wp:simplePos x="0" y="0"/>
              <wp:positionH relativeFrom="page">
                <wp:posOffset>6732905</wp:posOffset>
              </wp:positionH>
              <wp:positionV relativeFrom="page">
                <wp:posOffset>10128250</wp:posOffset>
              </wp:positionV>
              <wp:extent cx="97790" cy="79375"/>
              <wp:wrapNone/>
              <wp:docPr id="564" name="Shape 564"/>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590" type="#_x0000_t202" style="position:absolute;margin-left:530.14999999999998pt;margin-top:797.5pt;width:7.7000000000000002pt;height:6.25pt;z-index:-188743761;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7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8" behindDoc="1" locked="0" layoutInCell="1" allowOverlap="1">
              <wp:simplePos x="0" y="0"/>
              <wp:positionH relativeFrom="page">
                <wp:posOffset>6732905</wp:posOffset>
              </wp:positionH>
              <wp:positionV relativeFrom="page">
                <wp:posOffset>10128250</wp:posOffset>
              </wp:positionV>
              <wp:extent cx="97790" cy="79375"/>
              <wp:wrapNone/>
              <wp:docPr id="571" name="Shape 571"/>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597" type="#_x0000_t202" style="position:absolute;margin-left:530.14999999999998pt;margin-top:797.5pt;width:7.7000000000000002pt;height:6.25pt;z-index:-188743755;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0" behindDoc="1" locked="0" layoutInCell="1" allowOverlap="1">
              <wp:simplePos x="0" y="0"/>
              <wp:positionH relativeFrom="page">
                <wp:posOffset>6742430</wp:posOffset>
              </wp:positionH>
              <wp:positionV relativeFrom="page">
                <wp:posOffset>10148570</wp:posOffset>
              </wp:positionV>
              <wp:extent cx="97790" cy="79375"/>
              <wp:wrapNone/>
              <wp:docPr id="37" name="Shape 37"/>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063" type="#_x0000_t202" style="position:absolute;margin-left:530.89999999999998pt;margin-top:799.10000000000002pt;width:7.7000000000000002pt;height:6.25pt;z-index:-188744033;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8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0" behindDoc="1" locked="0" layoutInCell="1" allowOverlap="1">
              <wp:simplePos x="0" y="0"/>
              <wp:positionH relativeFrom="page">
                <wp:posOffset>6742430</wp:posOffset>
              </wp:positionH>
              <wp:positionV relativeFrom="page">
                <wp:posOffset>10131425</wp:posOffset>
              </wp:positionV>
              <wp:extent cx="97790" cy="79375"/>
              <wp:wrapNone/>
              <wp:docPr id="573" name="Shape 573"/>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599" type="#_x0000_t202" style="position:absolute;margin-left:530.89999999999998pt;margin-top:797.75pt;width:7.7000000000000002pt;height:6.25pt;z-index:-188743753;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8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2" behindDoc="1" locked="0" layoutInCell="1" allowOverlap="1">
              <wp:simplePos x="0" y="0"/>
              <wp:positionH relativeFrom="page">
                <wp:posOffset>6742430</wp:posOffset>
              </wp:positionH>
              <wp:positionV relativeFrom="page">
                <wp:posOffset>10131425</wp:posOffset>
              </wp:positionV>
              <wp:extent cx="97790" cy="79375"/>
              <wp:wrapNone/>
              <wp:docPr id="575" name="Shape 575"/>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601" type="#_x0000_t202" style="position:absolute;margin-left:530.89999999999998pt;margin-top:797.75pt;width:7.7000000000000002pt;height:6.25pt;z-index:-188743751;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8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6" behindDoc="1" locked="0" layoutInCell="1" allowOverlap="1">
              <wp:simplePos x="0" y="0"/>
              <wp:positionH relativeFrom="page">
                <wp:posOffset>6732905</wp:posOffset>
              </wp:positionH>
              <wp:positionV relativeFrom="page">
                <wp:posOffset>10149840</wp:posOffset>
              </wp:positionV>
              <wp:extent cx="103505" cy="79375"/>
              <wp:wrapNone/>
              <wp:docPr id="580" name="Shape 580"/>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606" type="#_x0000_t202" style="position:absolute;margin-left:530.14999999999998pt;margin-top:799.20000000000005pt;width:8.1500000000000004pt;height:6.25pt;z-index:-188743747;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8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2" behindDoc="1" locked="0" layoutInCell="1" allowOverlap="1">
              <wp:simplePos x="0" y="0"/>
              <wp:positionH relativeFrom="page">
                <wp:posOffset>6732905</wp:posOffset>
              </wp:positionH>
              <wp:positionV relativeFrom="page">
                <wp:posOffset>10128250</wp:posOffset>
              </wp:positionV>
              <wp:extent cx="97790" cy="79375"/>
              <wp:wrapNone/>
              <wp:docPr id="587" name="Shape 587"/>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613" type="#_x0000_t202" style="position:absolute;margin-left:530.14999999999998pt;margin-top:797.5pt;width:7.7000000000000002pt;height:6.25pt;z-index:-188743741;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8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8" behindDoc="1" locked="0" layoutInCell="1" allowOverlap="1">
              <wp:simplePos x="0" y="0"/>
              <wp:positionH relativeFrom="page">
                <wp:posOffset>6732905</wp:posOffset>
              </wp:positionH>
              <wp:positionV relativeFrom="page">
                <wp:posOffset>10128250</wp:posOffset>
              </wp:positionV>
              <wp:extent cx="97790" cy="79375"/>
              <wp:wrapNone/>
              <wp:docPr id="596" name="Shape 596"/>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622" type="#_x0000_t202" style="position:absolute;margin-left:530.14999999999998pt;margin-top:797.5pt;width:7.7000000000000002pt;height:6.25pt;z-index:-188743735;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8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4" behindDoc="1" locked="0" layoutInCell="1" allowOverlap="1">
              <wp:simplePos x="0" y="0"/>
              <wp:positionH relativeFrom="page">
                <wp:posOffset>6732905</wp:posOffset>
              </wp:positionH>
              <wp:positionV relativeFrom="page">
                <wp:posOffset>10128250</wp:posOffset>
              </wp:positionV>
              <wp:extent cx="97790" cy="79375"/>
              <wp:wrapNone/>
              <wp:docPr id="603" name="Shape 603"/>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629" type="#_x0000_t202" style="position:absolute;margin-left:530.14999999999998pt;margin-top:797.5pt;width:7.7000000000000002pt;height:6.25pt;z-index:-188743729;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8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8" behindDoc="1" locked="0" layoutInCell="1" allowOverlap="1">
              <wp:simplePos x="0" y="0"/>
              <wp:positionH relativeFrom="page">
                <wp:posOffset>6732905</wp:posOffset>
              </wp:positionH>
              <wp:positionV relativeFrom="page">
                <wp:posOffset>10149840</wp:posOffset>
              </wp:positionV>
              <wp:extent cx="103505" cy="79375"/>
              <wp:wrapNone/>
              <wp:docPr id="607" name="Shape 607"/>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633" type="#_x0000_t202" style="position:absolute;margin-left:530.14999999999998pt;margin-top:799.20000000000005pt;width:8.1500000000000004pt;height:6.25pt;z-index:-188743725;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8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2" behindDoc="1" locked="0" layoutInCell="1" allowOverlap="1">
              <wp:simplePos x="0" y="0"/>
              <wp:positionH relativeFrom="page">
                <wp:posOffset>6732905</wp:posOffset>
              </wp:positionH>
              <wp:positionV relativeFrom="page">
                <wp:posOffset>10149840</wp:posOffset>
              </wp:positionV>
              <wp:extent cx="103505" cy="79375"/>
              <wp:wrapNone/>
              <wp:docPr id="611" name="Shape 611"/>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637" type="#_x0000_t202" style="position:absolute;margin-left:530.14999999999998pt;margin-top:799.20000000000005pt;width:8.1500000000000004pt;height:6.25pt;z-index:-188743721;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8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4" behindDoc="1" locked="0" layoutInCell="1" allowOverlap="1">
              <wp:simplePos x="0" y="0"/>
              <wp:positionH relativeFrom="page">
                <wp:posOffset>6742430</wp:posOffset>
              </wp:positionH>
              <wp:positionV relativeFrom="page">
                <wp:posOffset>10131425</wp:posOffset>
              </wp:positionV>
              <wp:extent cx="97790" cy="79375"/>
              <wp:wrapNone/>
              <wp:docPr id="613" name="Shape 613"/>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639" type="#_x0000_t202" style="position:absolute;margin-left:530.89999999999998pt;margin-top:797.75pt;width:7.7000000000000002pt;height:6.25pt;z-index:-188743719;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8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6" behindDoc="1" locked="0" layoutInCell="1" allowOverlap="1">
              <wp:simplePos x="0" y="0"/>
              <wp:positionH relativeFrom="page">
                <wp:posOffset>6742430</wp:posOffset>
              </wp:positionH>
              <wp:positionV relativeFrom="page">
                <wp:posOffset>10131425</wp:posOffset>
              </wp:positionV>
              <wp:extent cx="97790" cy="79375"/>
              <wp:wrapNone/>
              <wp:docPr id="615" name="Shape 615"/>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641" type="#_x0000_t202" style="position:absolute;margin-left:530.89999999999998pt;margin-top:797.75pt;width:7.7000000000000002pt;height:6.25pt;z-index:-188743717;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4" behindDoc="1" locked="0" layoutInCell="1" allowOverlap="1">
              <wp:simplePos x="0" y="0"/>
              <wp:positionH relativeFrom="page">
                <wp:posOffset>6742430</wp:posOffset>
              </wp:positionH>
              <wp:positionV relativeFrom="page">
                <wp:posOffset>10146030</wp:posOffset>
              </wp:positionV>
              <wp:extent cx="97790" cy="79375"/>
              <wp:wrapNone/>
              <wp:docPr id="42" name="Shape 42"/>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068" type="#_x0000_t202" style="position:absolute;margin-left:530.89999999999998pt;margin-top:798.89999999999998pt;width:7.7000000000000002pt;height:6.25pt;z-index:-188744029;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9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0" behindDoc="1" locked="0" layoutInCell="1" allowOverlap="1">
              <wp:simplePos x="0" y="0"/>
              <wp:positionH relativeFrom="page">
                <wp:posOffset>6732905</wp:posOffset>
              </wp:positionH>
              <wp:positionV relativeFrom="page">
                <wp:posOffset>10149840</wp:posOffset>
              </wp:positionV>
              <wp:extent cx="103505" cy="79375"/>
              <wp:wrapNone/>
              <wp:docPr id="619" name="Shape 619"/>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645" type="#_x0000_t202" style="position:absolute;margin-left:530.14999999999998pt;margin-top:799.20000000000005pt;width:8.1500000000000004pt;height:6.25pt;z-index:-188743713;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9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4" behindDoc="1" locked="0" layoutInCell="1" allowOverlap="1">
              <wp:simplePos x="0" y="0"/>
              <wp:positionH relativeFrom="page">
                <wp:posOffset>6732905</wp:posOffset>
              </wp:positionH>
              <wp:positionV relativeFrom="page">
                <wp:posOffset>10149840</wp:posOffset>
              </wp:positionV>
              <wp:extent cx="103505" cy="79375"/>
              <wp:wrapNone/>
              <wp:docPr id="623" name="Shape 623"/>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649" type="#_x0000_t202" style="position:absolute;margin-left:530.14999999999998pt;margin-top:799.20000000000005pt;width:8.1500000000000004pt;height:6.25pt;z-index:-188743709;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9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0" behindDoc="1" locked="0" layoutInCell="1" allowOverlap="1">
              <wp:simplePos x="0" y="0"/>
              <wp:positionH relativeFrom="page">
                <wp:posOffset>6732905</wp:posOffset>
              </wp:positionH>
              <wp:positionV relativeFrom="page">
                <wp:posOffset>10128250</wp:posOffset>
              </wp:positionV>
              <wp:extent cx="97790" cy="79375"/>
              <wp:wrapNone/>
              <wp:docPr id="630" name="Shape 630"/>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656" type="#_x0000_t202" style="position:absolute;margin-left:530.14999999999998pt;margin-top:797.5pt;width:7.7000000000000002pt;height:6.25pt;z-index:-188743703;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9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4" behindDoc="1" locked="0" layoutInCell="1" allowOverlap="1">
              <wp:simplePos x="0" y="0"/>
              <wp:positionH relativeFrom="page">
                <wp:posOffset>6744335</wp:posOffset>
              </wp:positionH>
              <wp:positionV relativeFrom="page">
                <wp:posOffset>10141585</wp:posOffset>
              </wp:positionV>
              <wp:extent cx="103505" cy="79375"/>
              <wp:wrapNone/>
              <wp:docPr id="635" name="Shape 635"/>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661" type="#_x0000_t202" style="position:absolute;margin-left:531.04999999999995pt;margin-top:798.55000000000007pt;width:8.1500000000000004pt;height:6.25pt;z-index:-188743699;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9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8" behindDoc="1" locked="0" layoutInCell="1" allowOverlap="1">
              <wp:simplePos x="0" y="0"/>
              <wp:positionH relativeFrom="page">
                <wp:posOffset>6744335</wp:posOffset>
              </wp:positionH>
              <wp:positionV relativeFrom="page">
                <wp:posOffset>10141585</wp:posOffset>
              </wp:positionV>
              <wp:extent cx="103505" cy="79375"/>
              <wp:wrapNone/>
              <wp:docPr id="640" name="Shape 640"/>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666" type="#_x0000_t202" style="position:absolute;margin-left:531.04999999999995pt;margin-top:798.55000000000007pt;width:8.1500000000000004pt;height:6.25pt;z-index:-188743695;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9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2" behindDoc="1" locked="0" layoutInCell="1" allowOverlap="1">
              <wp:simplePos x="0" y="0"/>
              <wp:positionH relativeFrom="page">
                <wp:posOffset>6732905</wp:posOffset>
              </wp:positionH>
              <wp:positionV relativeFrom="page">
                <wp:posOffset>10149840</wp:posOffset>
              </wp:positionV>
              <wp:extent cx="103505" cy="79375"/>
              <wp:wrapNone/>
              <wp:docPr id="644" name="Shape 644"/>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670" type="#_x0000_t202" style="position:absolute;margin-left:530.14999999999998pt;margin-top:799.20000000000005pt;width:8.1500000000000004pt;height:6.25pt;z-index:-188743691;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9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6" behindDoc="1" locked="0" layoutInCell="1" allowOverlap="1">
              <wp:simplePos x="0" y="0"/>
              <wp:positionH relativeFrom="page">
                <wp:posOffset>6732905</wp:posOffset>
              </wp:positionH>
              <wp:positionV relativeFrom="page">
                <wp:posOffset>10149840</wp:posOffset>
              </wp:positionV>
              <wp:extent cx="103505" cy="79375"/>
              <wp:wrapNone/>
              <wp:docPr id="648" name="Shape 648"/>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674" type="#_x0000_t202" style="position:absolute;margin-left:530.14999999999998pt;margin-top:799.20000000000005pt;width:8.1500000000000004pt;height:6.25pt;z-index:-188743687;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er9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8" behindDoc="1" locked="0" layoutInCell="1" allowOverlap="1">
              <wp:simplePos x="0" y="0"/>
              <wp:positionH relativeFrom="page">
                <wp:posOffset>6742430</wp:posOffset>
              </wp:positionH>
              <wp:positionV relativeFrom="page">
                <wp:posOffset>10131425</wp:posOffset>
              </wp:positionV>
              <wp:extent cx="97790" cy="79375"/>
              <wp:wrapNone/>
              <wp:docPr id="650" name="Shape 650"/>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676" type="#_x0000_t202" style="position:absolute;margin-left:530.89999999999998pt;margin-top:797.75pt;width:7.7000000000000002pt;height:6.25pt;z-index:-188743685;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9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0" behindDoc="1" locked="0" layoutInCell="1" allowOverlap="1">
              <wp:simplePos x="0" y="0"/>
              <wp:positionH relativeFrom="page">
                <wp:posOffset>6742430</wp:posOffset>
              </wp:positionH>
              <wp:positionV relativeFrom="page">
                <wp:posOffset>10131425</wp:posOffset>
              </wp:positionV>
              <wp:extent cx="97790" cy="79375"/>
              <wp:wrapNone/>
              <wp:docPr id="652" name="Shape 652"/>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678" type="#_x0000_t202" style="position:absolute;margin-left:530.89999999999998pt;margin-top:797.75pt;width:7.7000000000000002pt;height:6.25pt;z-index:-188743683;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000000"/>
                          <w:spacing w:val="0"/>
                          <w:w w:val="100"/>
                          <w:position w:val="0"/>
                          <w:sz w:val="18"/>
                          <w:szCs w:val="18"/>
                        </w:rPr>
                        <w:t>#</w:t>
                      </w:r>
                    </w:fldSimple>
                  </w:p>
                </w:txbxContent>
              </v:textbox>
              <w10:wrap anchorx="page" anchory="page"/>
            </v:shape>
          </w:pict>
        </mc:Fallback>
      </mc:AlternateContent>
    </w:r>
  </w:p>
</w:ftr>
</file>

<file path=word/footer9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4" behindDoc="1" locked="0" layoutInCell="1" allowOverlap="1">
              <wp:simplePos x="0" y="0"/>
              <wp:positionH relativeFrom="page">
                <wp:posOffset>6744335</wp:posOffset>
              </wp:positionH>
              <wp:positionV relativeFrom="page">
                <wp:posOffset>10141585</wp:posOffset>
              </wp:positionV>
              <wp:extent cx="103505" cy="79375"/>
              <wp:wrapNone/>
              <wp:docPr id="657" name="Shape 657"/>
              <a:graphic xmlns:a="http://schemas.openxmlformats.org/drawingml/2006/main">
                <a:graphicData uri="http://schemas.microsoft.com/office/word/2010/wordprocessingShape">
                  <wps:wsp>
                    <wps:cNvSpPr txBox="1"/>
                    <wps:spPr>
                      <a:xfrm>
                        <a:ext cx="103505" cy="79375"/>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683" type="#_x0000_t202" style="position:absolute;margin-left:531.04999999999995pt;margin-top:798.55000000000007pt;width:8.1500000000000004pt;height:6.25pt;z-index:-188743679;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000000"/>
                          <w:spacing w:val="0"/>
                          <w:w w:val="100"/>
                          <w:position w:val="0"/>
                          <w:sz w:val="18"/>
                          <w:szCs w:val="18"/>
                        </w:rPr>
                        <w:t>#</w:t>
                      </w:r>
                    </w:fldSimple>
                  </w:p>
                </w:txbxContent>
              </v:textbox>
              <w10:wrap anchorx="page" anchory="page"/>
            </v:shape>
          </w:pict>
        </mc:Fallback>
      </mc:AlternateContent>
    </w:r>
  </w:p>
</w:ftr>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p>
  </w:footnote>
  <w:footnote w:id="1" w:type="continuationSeparator">
    <w:p>
      <w:r/>
    </w:p>
  </w:footnote>
</w:footnotes>
</file>

<file path=word/header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0" behindDoc="1" locked="0" layoutInCell="1" allowOverlap="1">
              <wp:simplePos x="0" y="0"/>
              <wp:positionH relativeFrom="page">
                <wp:posOffset>719455</wp:posOffset>
              </wp:positionH>
              <wp:positionV relativeFrom="page">
                <wp:posOffset>706755</wp:posOffset>
              </wp:positionV>
              <wp:extent cx="6096000" cy="295910"/>
              <wp:wrapNone/>
              <wp:docPr id="3" name="Shape 3"/>
              <a:graphic xmlns:a="http://schemas.openxmlformats.org/drawingml/2006/main">
                <a:graphicData uri="http://schemas.microsoft.com/office/word/2010/wordprocessingShape">
                  <wps:wsp>
                    <wps:cNvSpPr txBox="1"/>
                    <wps:spPr>
                      <a:xfrm>
                        <a:ext cx="6096000" cy="295910"/>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9"/>
                            <w:keepNext w:val="0"/>
                            <w:keepLines w:val="0"/>
                            <w:widowControl w:val="0"/>
                            <w:shd w:val="clear" w:color="auto" w:fill="auto"/>
                            <w:tabs>
                              <w:tab w:pos="8707" w:val="right"/>
                            </w:tabs>
                            <w:bidi w:val="0"/>
                            <w:spacing w:before="0" w:after="0" w:line="240" w:lineRule="auto"/>
                            <w:ind w:left="0" w:right="0" w:firstLine="0"/>
                            <w:jc w:val="left"/>
                            <w:rPr>
                              <w:sz w:val="17"/>
                              <w:szCs w:val="17"/>
                            </w:rPr>
                          </w:pPr>
                          <w:r>
                            <w:rPr>
                              <w:rFonts w:ascii="SimSun" w:eastAsia="SimSun" w:hAnsi="SimSun" w:cs="SimSun"/>
                              <w:color w:val="1F84C4"/>
                              <w:spacing w:val="0"/>
                              <w:w w:val="100"/>
                              <w:position w:val="0"/>
                              <w:sz w:val="17"/>
                              <w:szCs w:val="17"/>
                            </w:rPr>
                            <w:t>斗卜</w:t>
                          </w:r>
                          <w:r>
                            <w:rPr>
                              <w:color w:val="1F84C4"/>
                              <w:spacing w:val="0"/>
                              <w:w w:val="100"/>
                              <w:position w:val="0"/>
                              <w:sz w:val="18"/>
                              <w:szCs w:val="18"/>
                            </w:rPr>
                            <w:t>I</w:t>
                          </w:r>
                          <w:r>
                            <w:rPr>
                              <w:rFonts w:ascii="SimSun" w:eastAsia="SimSun" w:hAnsi="SimSun" w:cs="SimSun"/>
                              <w:color w:val="1F84C4"/>
                              <w:spacing w:val="0"/>
                              <w:w w:val="100"/>
                              <w:position w:val="0"/>
                              <w:sz w:val="17"/>
                              <w:szCs w:val="17"/>
                            </w:rPr>
                            <w:t>•.泰</w:t>
                          </w:r>
                          <w:r>
                            <w:rPr>
                              <w:rFonts w:ascii="SimSun" w:eastAsia="SimSun" w:hAnsi="SimSun" w:cs="SimSun"/>
                              <w:color w:val="1F84C4"/>
                              <w:spacing w:val="0"/>
                              <w:w w:val="100"/>
                              <w:position w:val="0"/>
                              <w:sz w:val="17"/>
                              <w:szCs w:val="17"/>
                            </w:rPr>
                            <w:t>•，</w:t>
                            <w:tab/>
                          </w:r>
                          <w:r>
                            <w:rPr>
                              <w:rFonts w:ascii="SimSun" w:eastAsia="SimSun" w:hAnsi="SimSun" w:cs="SimSun"/>
                              <w:color w:val="000000"/>
                              <w:spacing w:val="0"/>
                              <w:w w:val="100"/>
                              <w:position w:val="0"/>
                              <w:sz w:val="17"/>
                              <w:szCs w:val="17"/>
                            </w:rPr>
                            <w:t>北京神州泰岳软件股份有限公司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_x0000_s1029" type="#_x0000_t202" style="position:absolute;margin-left:56.649999999999999pt;margin-top:55.649999999999999pt;width:480.pt;height:23.300000000000001pt;z-index:-188744063;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9"/>
                      <w:keepNext w:val="0"/>
                      <w:keepLines w:val="0"/>
                      <w:widowControl w:val="0"/>
                      <w:shd w:val="clear" w:color="auto" w:fill="auto"/>
                      <w:tabs>
                        <w:tab w:pos="8707" w:val="right"/>
                      </w:tabs>
                      <w:bidi w:val="0"/>
                      <w:spacing w:before="0" w:after="0" w:line="240" w:lineRule="auto"/>
                      <w:ind w:left="0" w:right="0" w:firstLine="0"/>
                      <w:jc w:val="left"/>
                      <w:rPr>
                        <w:sz w:val="17"/>
                        <w:szCs w:val="17"/>
                      </w:rPr>
                    </w:pPr>
                    <w:r>
                      <w:rPr>
                        <w:rFonts w:ascii="SimSun" w:eastAsia="SimSun" w:hAnsi="SimSun" w:cs="SimSun"/>
                        <w:color w:val="1F84C4"/>
                        <w:spacing w:val="0"/>
                        <w:w w:val="100"/>
                        <w:position w:val="0"/>
                        <w:sz w:val="17"/>
                        <w:szCs w:val="17"/>
                      </w:rPr>
                      <w:t>斗卜</w:t>
                    </w:r>
                    <w:r>
                      <w:rPr>
                        <w:color w:val="1F84C4"/>
                        <w:spacing w:val="0"/>
                        <w:w w:val="100"/>
                        <w:position w:val="0"/>
                        <w:sz w:val="18"/>
                        <w:szCs w:val="18"/>
                      </w:rPr>
                      <w:t>I</w:t>
                    </w:r>
                    <w:r>
                      <w:rPr>
                        <w:rFonts w:ascii="SimSun" w:eastAsia="SimSun" w:hAnsi="SimSun" w:cs="SimSun"/>
                        <w:color w:val="1F84C4"/>
                        <w:spacing w:val="0"/>
                        <w:w w:val="100"/>
                        <w:position w:val="0"/>
                        <w:sz w:val="17"/>
                        <w:szCs w:val="17"/>
                      </w:rPr>
                      <w:t>•.泰</w:t>
                    </w:r>
                    <w:r>
                      <w:rPr>
                        <w:rFonts w:ascii="SimSun" w:eastAsia="SimSun" w:hAnsi="SimSun" w:cs="SimSun"/>
                        <w:color w:val="1F84C4"/>
                        <w:spacing w:val="0"/>
                        <w:w w:val="100"/>
                        <w:position w:val="0"/>
                        <w:sz w:val="17"/>
                        <w:szCs w:val="17"/>
                      </w:rPr>
                      <w:t>•，</w:t>
                      <w:tab/>
                    </w:r>
                    <w:r>
                      <w:rPr>
                        <w:rFonts w:ascii="SimSun" w:eastAsia="SimSun" w:hAnsi="SimSun" w:cs="SimSun"/>
                        <w:color w:val="000000"/>
                        <w:spacing w:val="0"/>
                        <w:w w:val="100"/>
                        <w:position w:val="0"/>
                        <w:sz w:val="17"/>
                        <w:szCs w:val="17"/>
                      </w:rPr>
                      <w:t>北京神州泰岳软件股份有限公司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701040</wp:posOffset>
              </wp:positionH>
              <wp:positionV relativeFrom="page">
                <wp:posOffset>1044575</wp:posOffset>
              </wp:positionV>
              <wp:extent cx="6160135" cy="0"/>
              <wp:wrapNone/>
              <wp:docPr id="5" name="Shape 5"/>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5.200000000000003pt;margin-top:82.25pt;width:485.05000000000001pt;height:0;z-index:-251658240;mso-position-horizontal-relative:page;mso-position-vertical-relative:page">
              <v:stroke weight="1.pt"/>
            </v:shape>
          </w:pict>
        </mc:Fallback>
      </mc:AlternateContent>
    </w:r>
  </w:p>
</w:hdr>
</file>

<file path=word/header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6" behindDoc="1" locked="0" layoutInCell="1" allowOverlap="1">
              <wp:simplePos x="0" y="0"/>
              <wp:positionH relativeFrom="page">
                <wp:posOffset>719455</wp:posOffset>
              </wp:positionH>
              <wp:positionV relativeFrom="page">
                <wp:posOffset>641985</wp:posOffset>
              </wp:positionV>
              <wp:extent cx="6096000" cy="295910"/>
              <wp:wrapNone/>
              <wp:docPr id="44" name="Shape 44"/>
              <a:graphic xmlns:a="http://schemas.openxmlformats.org/drawingml/2006/main">
                <a:graphicData uri="http://schemas.microsoft.com/office/word/2010/wordprocessingShape">
                  <wps:wsp>
                    <wps:cNvSpPr txBox="1"/>
                    <wps:spPr>
                      <a:xfrm>
                        <a:ext cx="6096000" cy="295910"/>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1F84C4"/>
                              <w:spacing w:val="0"/>
                              <w:w w:val="100"/>
                              <w:position w:val="0"/>
                              <w:sz w:val="17"/>
                              <w:szCs w:val="17"/>
                            </w:rPr>
                            <w:t>斗卜</w:t>
                          </w:r>
                          <w:r>
                            <w:rPr>
                              <w:color w:val="1F84C4"/>
                              <w:spacing w:val="0"/>
                              <w:w w:val="100"/>
                              <w:position w:val="0"/>
                              <w:sz w:val="18"/>
                              <w:szCs w:val="18"/>
                            </w:rPr>
                            <w:t>I</w:t>
                          </w:r>
                          <w:r>
                            <w:rPr>
                              <w:rFonts w:ascii="SimSun" w:eastAsia="SimSun" w:hAnsi="SimSun" w:cs="SimSun"/>
                              <w:color w:val="1F84C4"/>
                              <w:spacing w:val="0"/>
                              <w:w w:val="100"/>
                              <w:position w:val="0"/>
                              <w:sz w:val="17"/>
                              <w:szCs w:val="17"/>
                            </w:rPr>
                            <w:t>..泰</w:t>
                          </w:r>
                          <w:r>
                            <w:rPr>
                              <w:rFonts w:ascii="SimSun" w:eastAsia="SimSun" w:hAnsi="SimSun" w:cs="SimSun"/>
                              <w:color w:val="000000"/>
                              <w:spacing w:val="0"/>
                              <w:w w:val="100"/>
                              <w:position w:val="0"/>
                              <w:sz w:val="17"/>
                              <w:szCs w:val="17"/>
                            </w:rPr>
                            <w:t>北京神州泰岳软件股份有限公司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070" type="#_x0000_t202" style="position:absolute;margin-left:56.649999999999999pt;margin-top:50.550000000000004pt;width:480.pt;height:23.300000000000001pt;z-index:-188744027;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1F84C4"/>
                        <w:spacing w:val="0"/>
                        <w:w w:val="100"/>
                        <w:position w:val="0"/>
                        <w:sz w:val="17"/>
                        <w:szCs w:val="17"/>
                      </w:rPr>
                      <w:t>斗卜</w:t>
                    </w:r>
                    <w:r>
                      <w:rPr>
                        <w:color w:val="1F84C4"/>
                        <w:spacing w:val="0"/>
                        <w:w w:val="100"/>
                        <w:position w:val="0"/>
                        <w:sz w:val="18"/>
                        <w:szCs w:val="18"/>
                      </w:rPr>
                      <w:t>I</w:t>
                    </w:r>
                    <w:r>
                      <w:rPr>
                        <w:rFonts w:ascii="SimSun" w:eastAsia="SimSun" w:hAnsi="SimSun" w:cs="SimSun"/>
                        <w:color w:val="1F84C4"/>
                        <w:spacing w:val="0"/>
                        <w:w w:val="100"/>
                        <w:position w:val="0"/>
                        <w:sz w:val="17"/>
                        <w:szCs w:val="17"/>
                      </w:rPr>
                      <w:t>..泰</w:t>
                    </w:r>
                    <w:r>
                      <w:rPr>
                        <w:rFonts w:ascii="SimSun" w:eastAsia="SimSun" w:hAnsi="SimSun" w:cs="SimSun"/>
                        <w:color w:val="000000"/>
                        <w:spacing w:val="0"/>
                        <w:w w:val="100"/>
                        <w:position w:val="0"/>
                        <w:sz w:val="17"/>
                        <w:szCs w:val="17"/>
                      </w:rPr>
                      <w:t>北京神州泰岳软件股份有限公司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701040</wp:posOffset>
              </wp:positionH>
              <wp:positionV relativeFrom="page">
                <wp:posOffset>1044575</wp:posOffset>
              </wp:positionV>
              <wp:extent cx="6160135" cy="0"/>
              <wp:wrapNone/>
              <wp:docPr id="46" name="Shape 46"/>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5.200000000000003pt;margin-top:82.25pt;width:485.05000000000001pt;height:0;z-index:-251658240;mso-position-horizontal-relative:page;mso-position-vertical-relative:page">
              <v:stroke weight="1.pt"/>
            </v:shape>
          </w:pict>
        </mc:Fallback>
      </mc:AlternateContent>
    </w:r>
  </w:p>
</w:hdr>
</file>

<file path=word/header1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6" behindDoc="1" locked="0" layoutInCell="1" allowOverlap="1">
              <wp:simplePos x="0" y="0"/>
              <wp:positionH relativeFrom="page">
                <wp:posOffset>727075</wp:posOffset>
              </wp:positionH>
              <wp:positionV relativeFrom="page">
                <wp:posOffset>701675</wp:posOffset>
              </wp:positionV>
              <wp:extent cx="6096000" cy="295910"/>
              <wp:wrapNone/>
              <wp:docPr id="659" name="Shape 659"/>
              <a:graphic xmlns:a="http://schemas.openxmlformats.org/drawingml/2006/main">
                <a:graphicData uri="http://schemas.microsoft.com/office/word/2010/wordprocessingShape">
                  <wps:wsp>
                    <wps:cNvSpPr txBox="1"/>
                    <wps:spPr>
                      <a:xfrm>
                        <a:ext cx="6096000" cy="2959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685" type="#_x0000_t202" style="position:absolute;margin-left:57.25pt;margin-top:55.25pt;width:480.pt;height:23.300000000000001pt;z-index:-188743677;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709295</wp:posOffset>
              </wp:positionH>
              <wp:positionV relativeFrom="page">
                <wp:posOffset>1039495</wp:posOffset>
              </wp:positionV>
              <wp:extent cx="6160135" cy="0"/>
              <wp:wrapNone/>
              <wp:docPr id="661" name="Shape 661"/>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5.850000000000001pt;margin-top:81.850000000000009pt;width:485.05000000000001pt;height:0;z-index:-251658240;mso-position-horizontal-relative:page;mso-position-vertical-relative:page">
              <v:stroke weight="1.pt"/>
            </v:shape>
          </w:pict>
        </mc:Fallback>
      </mc:AlternateContent>
    </w:r>
  </w:p>
</w:hdr>
</file>

<file path=word/header1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0" behindDoc="1" locked="0" layoutInCell="1" allowOverlap="1">
              <wp:simplePos x="0" y="0"/>
              <wp:positionH relativeFrom="page">
                <wp:posOffset>719455</wp:posOffset>
              </wp:positionH>
              <wp:positionV relativeFrom="page">
                <wp:posOffset>693420</wp:posOffset>
              </wp:positionV>
              <wp:extent cx="6096000" cy="295910"/>
              <wp:wrapNone/>
              <wp:docPr id="664" name="Shape 664"/>
              <a:graphic xmlns:a="http://schemas.openxmlformats.org/drawingml/2006/main">
                <a:graphicData uri="http://schemas.microsoft.com/office/word/2010/wordprocessingShape">
                  <wps:wsp>
                    <wps:cNvSpPr txBox="1"/>
                    <wps:spPr>
                      <a:xfrm>
                        <a:ext cx="6096000" cy="2959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tabs>
                              <w:tab w:pos="8707" w:val="right"/>
                            </w:tabs>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1F84C4"/>
                              <w:spacing w:val="0"/>
                              <w:w w:val="100"/>
                              <w:position w:val="0"/>
                            </w:rPr>
                            <w:t>•，</w:t>
                            <w:tab/>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lIns="0" tIns="0" rIns="0" bIns="0">
                      <a:spAutoFit/>
                    </wps:bodyPr>
                  </wps:wsp>
                </a:graphicData>
              </a:graphic>
            </wp:anchor>
          </w:drawing>
        </mc:Choice>
        <mc:Fallback>
          <w:pict>
            <v:shape id="_x0000_s1690" type="#_x0000_t202" style="position:absolute;margin-left:56.649999999999999pt;margin-top:54.600000000000001pt;width:480.pt;height:23.300000000000001pt;z-index:-188743673;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tabs>
                        <w:tab w:pos="8707" w:val="right"/>
                      </w:tabs>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1F84C4"/>
                        <w:spacing w:val="0"/>
                        <w:w w:val="100"/>
                        <w:position w:val="0"/>
                      </w:rPr>
                      <w:t>•，</w:t>
                      <w:tab/>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p>
</w:hdr>
</file>

<file path=word/header1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8" behindDoc="1" locked="0" layoutInCell="1" allowOverlap="1">
              <wp:simplePos x="0" y="0"/>
              <wp:positionH relativeFrom="page">
                <wp:posOffset>719455</wp:posOffset>
              </wp:positionH>
              <wp:positionV relativeFrom="page">
                <wp:posOffset>693420</wp:posOffset>
              </wp:positionV>
              <wp:extent cx="6096000" cy="295910"/>
              <wp:wrapNone/>
              <wp:docPr id="672" name="Shape 672"/>
              <a:graphic xmlns:a="http://schemas.openxmlformats.org/drawingml/2006/main">
                <a:graphicData uri="http://schemas.microsoft.com/office/word/2010/wordprocessingShape">
                  <wps:wsp>
                    <wps:cNvSpPr txBox="1"/>
                    <wps:spPr>
                      <a:xfrm>
                        <a:ext cx="6096000" cy="2959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tabs>
                              <w:tab w:pos="8707" w:val="right"/>
                            </w:tabs>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1F84C4"/>
                              <w:spacing w:val="0"/>
                              <w:w w:val="100"/>
                              <w:position w:val="0"/>
                            </w:rPr>
                            <w:t>•，</w:t>
                            <w:tab/>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lIns="0" tIns="0" rIns="0" bIns="0">
                      <a:spAutoFit/>
                    </wps:bodyPr>
                  </wps:wsp>
                </a:graphicData>
              </a:graphic>
            </wp:anchor>
          </w:drawing>
        </mc:Choice>
        <mc:Fallback>
          <w:pict>
            <v:shape id="_x0000_s1698" type="#_x0000_t202" style="position:absolute;margin-left:56.649999999999999pt;margin-top:54.600000000000001pt;width:480.pt;height:23.300000000000001pt;z-index:-188743665;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tabs>
                        <w:tab w:pos="8707" w:val="right"/>
                      </w:tabs>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1F84C4"/>
                        <w:spacing w:val="0"/>
                        <w:w w:val="100"/>
                        <w:position w:val="0"/>
                      </w:rPr>
                      <w:t>•，</w:t>
                      <w:tab/>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p>
</w:hdr>
</file>

<file path=word/header1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2" behindDoc="1" locked="0" layoutInCell="1" allowOverlap="1">
              <wp:simplePos x="0" y="0"/>
              <wp:positionH relativeFrom="page">
                <wp:posOffset>719455</wp:posOffset>
              </wp:positionH>
              <wp:positionV relativeFrom="page">
                <wp:posOffset>693420</wp:posOffset>
              </wp:positionV>
              <wp:extent cx="6096000" cy="295910"/>
              <wp:wrapNone/>
              <wp:docPr id="676" name="Shape 676"/>
              <a:graphic xmlns:a="http://schemas.openxmlformats.org/drawingml/2006/main">
                <a:graphicData uri="http://schemas.microsoft.com/office/word/2010/wordprocessingShape">
                  <wps:wsp>
                    <wps:cNvSpPr txBox="1"/>
                    <wps:spPr>
                      <a:xfrm>
                        <a:ext cx="6096000" cy="2959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tabs>
                              <w:tab w:pos="8707" w:val="right"/>
                            </w:tabs>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1F84C4"/>
                              <w:spacing w:val="0"/>
                              <w:w w:val="100"/>
                              <w:position w:val="0"/>
                            </w:rPr>
                            <w:t>•，</w:t>
                            <w:tab/>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lIns="0" tIns="0" rIns="0" bIns="0">
                      <a:spAutoFit/>
                    </wps:bodyPr>
                  </wps:wsp>
                </a:graphicData>
              </a:graphic>
            </wp:anchor>
          </w:drawing>
        </mc:Choice>
        <mc:Fallback>
          <w:pict>
            <v:shape id="_x0000_s1702" type="#_x0000_t202" style="position:absolute;margin-left:56.649999999999999pt;margin-top:54.600000000000001pt;width:480.pt;height:23.300000000000001pt;z-index:-188743661;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tabs>
                        <w:tab w:pos="8707" w:val="right"/>
                      </w:tabs>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1F84C4"/>
                        <w:spacing w:val="0"/>
                        <w:w w:val="100"/>
                        <w:position w:val="0"/>
                      </w:rPr>
                      <w:t>•，</w:t>
                      <w:tab/>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p>
</w:hdr>
</file>

<file path=word/header1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6" behindDoc="1" locked="0" layoutInCell="1" allowOverlap="1">
              <wp:simplePos x="0" y="0"/>
              <wp:positionH relativeFrom="page">
                <wp:posOffset>719455</wp:posOffset>
              </wp:positionH>
              <wp:positionV relativeFrom="page">
                <wp:posOffset>704850</wp:posOffset>
              </wp:positionV>
              <wp:extent cx="1012190" cy="283210"/>
              <wp:wrapNone/>
              <wp:docPr id="680" name="Shape 680"/>
              <a:graphic xmlns:a="http://schemas.openxmlformats.org/drawingml/2006/main">
                <a:graphicData uri="http://schemas.microsoft.com/office/word/2010/wordprocessingShape">
                  <wps:wsp>
                    <wps:cNvSpPr txBox="1"/>
                    <wps:spPr>
                      <a:xfrm>
                        <a:ext cx="1012190" cy="2832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204"/>
                            <w:keepNext w:val="0"/>
                            <w:keepLines w:val="0"/>
                            <w:widowControl w:val="0"/>
                            <w:shd w:val="clear" w:color="auto" w:fill="auto"/>
                            <w:bidi w:val="0"/>
                            <w:spacing w:before="0" w:after="0" w:line="240" w:lineRule="auto"/>
                            <w:ind w:left="0" w:right="0" w:firstLine="0"/>
                            <w:jc w:val="left"/>
                          </w:pPr>
                          <w:r>
                            <w:rPr>
                              <w:b/>
                              <w:bCs/>
                              <w:i/>
                              <w:iCs/>
                              <w:color w:val="6DB14A"/>
                              <w:spacing w:val="0"/>
                              <w:w w:val="100"/>
                              <w:position w:val="0"/>
                              <w:sz w:val="18"/>
                              <w:szCs w:val="18"/>
                            </w:rPr>
                            <w:t>、、</w:t>
                          </w:r>
                          <w:r>
                            <w:rPr>
                              <w:b/>
                              <w:bCs/>
                              <w:color w:val="6DB14A"/>
                              <w:spacing w:val="0"/>
                              <w:w w:val="100"/>
                              <w:position w:val="0"/>
                            </w:rPr>
                            <w:t>一^</w:t>
                          </w:r>
                          <w:r>
                            <w:rPr>
                              <w:b/>
                              <w:bCs/>
                              <w:color w:val="5199CB"/>
                              <w:spacing w:val="0"/>
                              <w:w w:val="100"/>
                              <w:position w:val="0"/>
                            </w:rPr>
                            <w:t>神州泰岳</w:t>
                          </w:r>
                        </w:p>
                      </w:txbxContent>
                    </wps:txbx>
                    <wps:bodyPr wrap="none" lIns="0" tIns="0" rIns="0" bIns="0">
                      <a:spAutoFit/>
                    </wps:bodyPr>
                  </wps:wsp>
                </a:graphicData>
              </a:graphic>
            </wp:anchor>
          </w:drawing>
        </mc:Choice>
        <mc:Fallback>
          <w:pict>
            <v:shape id="_x0000_s1706" type="#_x0000_t202" style="position:absolute;margin-left:56.649999999999999pt;margin-top:55.5pt;width:79.700000000000003pt;height:22.300000000000001pt;z-index:-188743657;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204"/>
                      <w:keepNext w:val="0"/>
                      <w:keepLines w:val="0"/>
                      <w:widowControl w:val="0"/>
                      <w:shd w:val="clear" w:color="auto" w:fill="auto"/>
                      <w:bidi w:val="0"/>
                      <w:spacing w:before="0" w:after="0" w:line="240" w:lineRule="auto"/>
                      <w:ind w:left="0" w:right="0" w:firstLine="0"/>
                      <w:jc w:val="left"/>
                    </w:pPr>
                    <w:r>
                      <w:rPr>
                        <w:b/>
                        <w:bCs/>
                        <w:i/>
                        <w:iCs/>
                        <w:color w:val="6DB14A"/>
                        <w:spacing w:val="0"/>
                        <w:w w:val="100"/>
                        <w:position w:val="0"/>
                        <w:sz w:val="18"/>
                        <w:szCs w:val="18"/>
                      </w:rPr>
                      <w:t>、、</w:t>
                    </w:r>
                    <w:r>
                      <w:rPr>
                        <w:b/>
                        <w:bCs/>
                        <w:color w:val="6DB14A"/>
                        <w:spacing w:val="0"/>
                        <w:w w:val="100"/>
                        <w:position w:val="0"/>
                      </w:rPr>
                      <w:t>一^</w:t>
                    </w:r>
                    <w:r>
                      <w:rPr>
                        <w:b/>
                        <w:bCs/>
                        <w:color w:val="5199CB"/>
                        <w:spacing w:val="0"/>
                        <w:w w:val="100"/>
                        <w:position w:val="0"/>
                      </w:rPr>
                      <w:t>神州泰岳</w:t>
                    </w:r>
                  </w:p>
                </w:txbxContent>
              </v:textbox>
              <w10:wrap anchorx="page" anchory="page"/>
            </v:shape>
          </w:pict>
        </mc:Fallback>
      </mc:AlternateContent>
    </w:r>
    <w:r>
      <mc:AlternateContent>
        <mc:Choice Requires="wps">
          <w:drawing>
            <wp:anchor distT="0" distB="0" distL="0" distR="0" simplePos="0" relativeHeight="62915098" behindDoc="1" locked="0" layoutInCell="1" allowOverlap="1">
              <wp:simplePos x="0" y="0"/>
              <wp:positionH relativeFrom="page">
                <wp:posOffset>4142105</wp:posOffset>
              </wp:positionH>
              <wp:positionV relativeFrom="page">
                <wp:posOffset>893445</wp:posOffset>
              </wp:positionV>
              <wp:extent cx="2673350" cy="106680"/>
              <wp:wrapNone/>
              <wp:docPr id="682" name="Shape 682"/>
              <a:graphic xmlns:a="http://schemas.openxmlformats.org/drawingml/2006/main">
                <a:graphicData uri="http://schemas.microsoft.com/office/word/2010/wordprocessingShape">
                  <wps:wsp>
                    <wps:cNvSpPr txBox="1"/>
                    <wps:spPr>
                      <a:xfrm>
                        <a:ext cx="2673350" cy="10668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708" type="#_x0000_t202" style="position:absolute;margin-left:326.15000000000003pt;margin-top:70.350000000000009pt;width:210.5pt;height:8.4000000000000004pt;z-index:-188743655;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701040</wp:posOffset>
              </wp:positionH>
              <wp:positionV relativeFrom="page">
                <wp:posOffset>1057910</wp:posOffset>
              </wp:positionV>
              <wp:extent cx="6160135" cy="0"/>
              <wp:wrapNone/>
              <wp:docPr id="684" name="Shape 684"/>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5.200000000000003pt;margin-top:83.299999999999997pt;width:485.05000000000001pt;height:0;z-index:-251658240;mso-position-horizontal-relative:page;mso-position-vertical-relative:page">
              <v:stroke weight="1.pt"/>
            </v:shape>
          </w:pict>
        </mc:Fallback>
      </mc:AlternateContent>
    </w:r>
  </w:p>
</w:hdr>
</file>

<file path=word/header1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2" behindDoc="1" locked="0" layoutInCell="1" allowOverlap="1">
              <wp:simplePos x="0" y="0"/>
              <wp:positionH relativeFrom="page">
                <wp:posOffset>719455</wp:posOffset>
              </wp:positionH>
              <wp:positionV relativeFrom="page">
                <wp:posOffset>704850</wp:posOffset>
              </wp:positionV>
              <wp:extent cx="1012190" cy="283210"/>
              <wp:wrapNone/>
              <wp:docPr id="687" name="Shape 687"/>
              <a:graphic xmlns:a="http://schemas.openxmlformats.org/drawingml/2006/main">
                <a:graphicData uri="http://schemas.microsoft.com/office/word/2010/wordprocessingShape">
                  <wps:wsp>
                    <wps:cNvSpPr txBox="1"/>
                    <wps:spPr>
                      <a:xfrm>
                        <a:ext cx="1012190" cy="2832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204"/>
                            <w:keepNext w:val="0"/>
                            <w:keepLines w:val="0"/>
                            <w:widowControl w:val="0"/>
                            <w:shd w:val="clear" w:color="auto" w:fill="auto"/>
                            <w:bidi w:val="0"/>
                            <w:spacing w:before="0" w:after="0" w:line="240" w:lineRule="auto"/>
                            <w:ind w:left="0" w:right="0" w:firstLine="0"/>
                            <w:jc w:val="left"/>
                          </w:pPr>
                          <w:r>
                            <w:rPr>
                              <w:b/>
                              <w:bCs/>
                              <w:i/>
                              <w:iCs/>
                              <w:color w:val="6DB14A"/>
                              <w:spacing w:val="0"/>
                              <w:w w:val="100"/>
                              <w:position w:val="0"/>
                              <w:sz w:val="18"/>
                              <w:szCs w:val="18"/>
                            </w:rPr>
                            <w:t>、、</w:t>
                          </w:r>
                          <w:r>
                            <w:rPr>
                              <w:b/>
                              <w:bCs/>
                              <w:color w:val="6DB14A"/>
                              <w:spacing w:val="0"/>
                              <w:w w:val="100"/>
                              <w:position w:val="0"/>
                            </w:rPr>
                            <w:t>一^</w:t>
                          </w:r>
                          <w:r>
                            <w:rPr>
                              <w:b/>
                              <w:bCs/>
                              <w:color w:val="5199CB"/>
                              <w:spacing w:val="0"/>
                              <w:w w:val="100"/>
                              <w:position w:val="0"/>
                            </w:rPr>
                            <w:t>神州泰岳</w:t>
                          </w:r>
                        </w:p>
                      </w:txbxContent>
                    </wps:txbx>
                    <wps:bodyPr wrap="none" lIns="0" tIns="0" rIns="0" bIns="0">
                      <a:spAutoFit/>
                    </wps:bodyPr>
                  </wps:wsp>
                </a:graphicData>
              </a:graphic>
            </wp:anchor>
          </w:drawing>
        </mc:Choice>
        <mc:Fallback>
          <w:pict>
            <v:shape id="_x0000_s1713" type="#_x0000_t202" style="position:absolute;margin-left:56.649999999999999pt;margin-top:55.5pt;width:79.700000000000003pt;height:22.300000000000001pt;z-index:-188743651;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204"/>
                      <w:keepNext w:val="0"/>
                      <w:keepLines w:val="0"/>
                      <w:widowControl w:val="0"/>
                      <w:shd w:val="clear" w:color="auto" w:fill="auto"/>
                      <w:bidi w:val="0"/>
                      <w:spacing w:before="0" w:after="0" w:line="240" w:lineRule="auto"/>
                      <w:ind w:left="0" w:right="0" w:firstLine="0"/>
                      <w:jc w:val="left"/>
                    </w:pPr>
                    <w:r>
                      <w:rPr>
                        <w:b/>
                        <w:bCs/>
                        <w:i/>
                        <w:iCs/>
                        <w:color w:val="6DB14A"/>
                        <w:spacing w:val="0"/>
                        <w:w w:val="100"/>
                        <w:position w:val="0"/>
                        <w:sz w:val="18"/>
                        <w:szCs w:val="18"/>
                      </w:rPr>
                      <w:t>、、</w:t>
                    </w:r>
                    <w:r>
                      <w:rPr>
                        <w:b/>
                        <w:bCs/>
                        <w:color w:val="6DB14A"/>
                        <w:spacing w:val="0"/>
                        <w:w w:val="100"/>
                        <w:position w:val="0"/>
                      </w:rPr>
                      <w:t>一^</w:t>
                    </w:r>
                    <w:r>
                      <w:rPr>
                        <w:b/>
                        <w:bCs/>
                        <w:color w:val="5199CB"/>
                        <w:spacing w:val="0"/>
                        <w:w w:val="100"/>
                        <w:position w:val="0"/>
                      </w:rPr>
                      <w:t>神州泰岳</w:t>
                    </w:r>
                  </w:p>
                </w:txbxContent>
              </v:textbox>
              <w10:wrap anchorx="page" anchory="page"/>
            </v:shape>
          </w:pict>
        </mc:Fallback>
      </mc:AlternateContent>
    </w:r>
    <w:r>
      <mc:AlternateContent>
        <mc:Choice Requires="wps">
          <w:drawing>
            <wp:anchor distT="0" distB="0" distL="0" distR="0" simplePos="0" relativeHeight="62915104" behindDoc="1" locked="0" layoutInCell="1" allowOverlap="1">
              <wp:simplePos x="0" y="0"/>
              <wp:positionH relativeFrom="page">
                <wp:posOffset>4142105</wp:posOffset>
              </wp:positionH>
              <wp:positionV relativeFrom="page">
                <wp:posOffset>893445</wp:posOffset>
              </wp:positionV>
              <wp:extent cx="2673350" cy="106680"/>
              <wp:wrapNone/>
              <wp:docPr id="689" name="Shape 689"/>
              <a:graphic xmlns:a="http://schemas.openxmlformats.org/drawingml/2006/main">
                <a:graphicData uri="http://schemas.microsoft.com/office/word/2010/wordprocessingShape">
                  <wps:wsp>
                    <wps:cNvSpPr txBox="1"/>
                    <wps:spPr>
                      <a:xfrm>
                        <a:ext cx="2673350" cy="10668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715" type="#_x0000_t202" style="position:absolute;margin-left:326.15000000000003pt;margin-top:70.350000000000009pt;width:210.5pt;height:8.4000000000000004pt;z-index:-188743649;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701040</wp:posOffset>
              </wp:positionH>
              <wp:positionV relativeFrom="page">
                <wp:posOffset>1057910</wp:posOffset>
              </wp:positionV>
              <wp:extent cx="6160135" cy="0"/>
              <wp:wrapNone/>
              <wp:docPr id="691" name="Shape 691"/>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5.200000000000003pt;margin-top:83.299999999999997pt;width:485.05000000000001pt;height:0;z-index:-251658240;mso-position-horizontal-relative:page;mso-position-vertical-relative:page">
              <v:stroke weight="1.pt"/>
            </v:shape>
          </w:pict>
        </mc:Fallback>
      </mc:AlternateContent>
    </w:r>
  </w:p>
</w:hdr>
</file>

<file path=word/header1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8" behindDoc="1" locked="0" layoutInCell="1" allowOverlap="1">
              <wp:simplePos x="0" y="0"/>
              <wp:positionH relativeFrom="page">
                <wp:posOffset>719455</wp:posOffset>
              </wp:positionH>
              <wp:positionV relativeFrom="page">
                <wp:posOffset>704850</wp:posOffset>
              </wp:positionV>
              <wp:extent cx="1012190" cy="283210"/>
              <wp:wrapNone/>
              <wp:docPr id="694" name="Shape 694"/>
              <a:graphic xmlns:a="http://schemas.openxmlformats.org/drawingml/2006/main">
                <a:graphicData uri="http://schemas.microsoft.com/office/word/2010/wordprocessingShape">
                  <wps:wsp>
                    <wps:cNvSpPr txBox="1"/>
                    <wps:spPr>
                      <a:xfrm>
                        <a:ext cx="1012190" cy="2832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204"/>
                            <w:keepNext w:val="0"/>
                            <w:keepLines w:val="0"/>
                            <w:widowControl w:val="0"/>
                            <w:shd w:val="clear" w:color="auto" w:fill="auto"/>
                            <w:bidi w:val="0"/>
                            <w:spacing w:before="0" w:after="0" w:line="240" w:lineRule="auto"/>
                            <w:ind w:left="0" w:right="0" w:firstLine="0"/>
                            <w:jc w:val="left"/>
                          </w:pPr>
                          <w:r>
                            <w:rPr>
                              <w:b/>
                              <w:bCs/>
                              <w:i/>
                              <w:iCs/>
                              <w:color w:val="6DB14A"/>
                              <w:spacing w:val="0"/>
                              <w:w w:val="100"/>
                              <w:position w:val="0"/>
                              <w:sz w:val="18"/>
                              <w:szCs w:val="18"/>
                            </w:rPr>
                            <w:t>、、</w:t>
                          </w:r>
                          <w:r>
                            <w:rPr>
                              <w:b/>
                              <w:bCs/>
                              <w:color w:val="6DB14A"/>
                              <w:spacing w:val="0"/>
                              <w:w w:val="100"/>
                              <w:position w:val="0"/>
                            </w:rPr>
                            <w:t>一^</w:t>
                          </w:r>
                          <w:r>
                            <w:rPr>
                              <w:b/>
                              <w:bCs/>
                              <w:color w:val="5199CB"/>
                              <w:spacing w:val="0"/>
                              <w:w w:val="100"/>
                              <w:position w:val="0"/>
                            </w:rPr>
                            <w:t>神州泰岳</w:t>
                          </w:r>
                        </w:p>
                      </w:txbxContent>
                    </wps:txbx>
                    <wps:bodyPr wrap="none" lIns="0" tIns="0" rIns="0" bIns="0">
                      <a:spAutoFit/>
                    </wps:bodyPr>
                  </wps:wsp>
                </a:graphicData>
              </a:graphic>
            </wp:anchor>
          </w:drawing>
        </mc:Choice>
        <mc:Fallback>
          <w:pict>
            <v:shape id="_x0000_s1720" type="#_x0000_t202" style="position:absolute;margin-left:56.649999999999999pt;margin-top:55.5pt;width:79.700000000000003pt;height:22.300000000000001pt;z-index:-188743645;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204"/>
                      <w:keepNext w:val="0"/>
                      <w:keepLines w:val="0"/>
                      <w:widowControl w:val="0"/>
                      <w:shd w:val="clear" w:color="auto" w:fill="auto"/>
                      <w:bidi w:val="0"/>
                      <w:spacing w:before="0" w:after="0" w:line="240" w:lineRule="auto"/>
                      <w:ind w:left="0" w:right="0" w:firstLine="0"/>
                      <w:jc w:val="left"/>
                    </w:pPr>
                    <w:r>
                      <w:rPr>
                        <w:b/>
                        <w:bCs/>
                        <w:i/>
                        <w:iCs/>
                        <w:color w:val="6DB14A"/>
                        <w:spacing w:val="0"/>
                        <w:w w:val="100"/>
                        <w:position w:val="0"/>
                        <w:sz w:val="18"/>
                        <w:szCs w:val="18"/>
                      </w:rPr>
                      <w:t>、、</w:t>
                    </w:r>
                    <w:r>
                      <w:rPr>
                        <w:b/>
                        <w:bCs/>
                        <w:color w:val="6DB14A"/>
                        <w:spacing w:val="0"/>
                        <w:w w:val="100"/>
                        <w:position w:val="0"/>
                      </w:rPr>
                      <w:t>一^</w:t>
                    </w:r>
                    <w:r>
                      <w:rPr>
                        <w:b/>
                        <w:bCs/>
                        <w:color w:val="5199CB"/>
                        <w:spacing w:val="0"/>
                        <w:w w:val="100"/>
                        <w:position w:val="0"/>
                      </w:rPr>
                      <w:t>神州泰岳</w:t>
                    </w:r>
                  </w:p>
                </w:txbxContent>
              </v:textbox>
              <w10:wrap anchorx="page" anchory="page"/>
            </v:shape>
          </w:pict>
        </mc:Fallback>
      </mc:AlternateContent>
    </w:r>
    <w:r>
      <mc:AlternateContent>
        <mc:Choice Requires="wps">
          <w:drawing>
            <wp:anchor distT="0" distB="0" distL="0" distR="0" simplePos="0" relativeHeight="62915110" behindDoc="1" locked="0" layoutInCell="1" allowOverlap="1">
              <wp:simplePos x="0" y="0"/>
              <wp:positionH relativeFrom="page">
                <wp:posOffset>4142105</wp:posOffset>
              </wp:positionH>
              <wp:positionV relativeFrom="page">
                <wp:posOffset>893445</wp:posOffset>
              </wp:positionV>
              <wp:extent cx="2673350" cy="106680"/>
              <wp:wrapNone/>
              <wp:docPr id="696" name="Shape 696"/>
              <a:graphic xmlns:a="http://schemas.openxmlformats.org/drawingml/2006/main">
                <a:graphicData uri="http://schemas.microsoft.com/office/word/2010/wordprocessingShape">
                  <wps:wsp>
                    <wps:cNvSpPr txBox="1"/>
                    <wps:spPr>
                      <a:xfrm>
                        <a:ext cx="2673350" cy="10668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722" type="#_x0000_t202" style="position:absolute;margin-left:326.15000000000003pt;margin-top:70.350000000000009pt;width:210.5pt;height:8.4000000000000004pt;z-index:-188743643;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701040</wp:posOffset>
              </wp:positionH>
              <wp:positionV relativeFrom="page">
                <wp:posOffset>1057910</wp:posOffset>
              </wp:positionV>
              <wp:extent cx="6160135" cy="0"/>
              <wp:wrapNone/>
              <wp:docPr id="698" name="Shape 698"/>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5.200000000000003pt;margin-top:83.299999999999997pt;width:485.05000000000001pt;height:0;z-index:-251658240;mso-position-horizontal-relative:page;mso-position-vertical-relative:page">
              <v:stroke weight="1.pt"/>
            </v:shape>
          </w:pict>
        </mc:Fallback>
      </mc:AlternateContent>
    </w:r>
  </w:p>
</w:hdr>
</file>

<file path=word/header1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0" behindDoc="1" locked="0" layoutInCell="1" allowOverlap="1">
              <wp:simplePos x="0" y="0"/>
              <wp:positionH relativeFrom="page">
                <wp:posOffset>719455</wp:posOffset>
              </wp:positionH>
              <wp:positionV relativeFrom="page">
                <wp:posOffset>706755</wp:posOffset>
              </wp:positionV>
              <wp:extent cx="1012190" cy="283210"/>
              <wp:wrapNone/>
              <wp:docPr id="141" name="Shape 141"/>
              <a:graphic xmlns:a="http://schemas.openxmlformats.org/drawingml/2006/main">
                <a:graphicData uri="http://schemas.microsoft.com/office/word/2010/wordprocessingShape">
                  <wps:wsp>
                    <wps:cNvSpPr txBox="1"/>
                    <wps:spPr>
                      <a:xfrm>
                        <a:ext cx="1012190" cy="283210"/>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b/>
                              <w:bCs/>
                              <w:i/>
                              <w:iCs/>
                              <w:color w:val="6DB14A"/>
                              <w:spacing w:val="0"/>
                              <w:w w:val="100"/>
                              <w:position w:val="0"/>
                              <w:sz w:val="18"/>
                              <w:szCs w:val="18"/>
                            </w:rPr>
                            <w:t>、</w:t>
                          </w:r>
                          <w:r>
                            <w:rPr>
                              <w:rFonts w:ascii="SimSun" w:eastAsia="SimSun" w:hAnsi="SimSun" w:cs="SimSun"/>
                              <w:b/>
                              <w:bCs/>
                              <w:color w:val="6DB14A"/>
                              <w:spacing w:val="0"/>
                              <w:w w:val="100"/>
                              <w:position w:val="0"/>
                              <w:sz w:val="17"/>
                              <w:szCs w:val="17"/>
                            </w:rPr>
                            <w:t>一^/</w:t>
                          </w:r>
                          <w:r>
                            <w:rPr>
                              <w:rFonts w:ascii="SimSun" w:eastAsia="SimSun" w:hAnsi="SimSun" w:cs="SimSun"/>
                              <w:b/>
                              <w:bCs/>
                              <w:color w:val="5199CB"/>
                              <w:spacing w:val="0"/>
                              <w:w w:val="100"/>
                              <w:position w:val="0"/>
                              <w:sz w:val="17"/>
                              <w:szCs w:val="17"/>
                            </w:rPr>
                            <w:t>神州泰岳</w:t>
                          </w:r>
                        </w:p>
                      </w:txbxContent>
                    </wps:txbx>
                    <wps:bodyPr wrap="none" lIns="0" tIns="0" rIns="0" bIns="0">
                      <a:spAutoFit/>
                    </wps:bodyPr>
                  </wps:wsp>
                </a:graphicData>
              </a:graphic>
            </wp:anchor>
          </w:drawing>
        </mc:Choice>
        <mc:Fallback>
          <w:pict>
            <v:shape id="_x0000_s1167" type="#_x0000_t202" style="position:absolute;margin-left:56.649999999999999pt;margin-top:55.649999999999999pt;width:79.700000000000003pt;height:22.300000000000001pt;z-index:-188744023;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b/>
                        <w:bCs/>
                        <w:i/>
                        <w:iCs/>
                        <w:color w:val="6DB14A"/>
                        <w:spacing w:val="0"/>
                        <w:w w:val="100"/>
                        <w:position w:val="0"/>
                        <w:sz w:val="18"/>
                        <w:szCs w:val="18"/>
                      </w:rPr>
                      <w:t>、</w:t>
                    </w:r>
                    <w:r>
                      <w:rPr>
                        <w:rFonts w:ascii="SimSun" w:eastAsia="SimSun" w:hAnsi="SimSun" w:cs="SimSun"/>
                        <w:b/>
                        <w:bCs/>
                        <w:color w:val="6DB14A"/>
                        <w:spacing w:val="0"/>
                        <w:w w:val="100"/>
                        <w:position w:val="0"/>
                        <w:sz w:val="17"/>
                        <w:szCs w:val="17"/>
                      </w:rPr>
                      <w:t>一^/</w:t>
                    </w:r>
                    <w:r>
                      <w:rPr>
                        <w:rFonts w:ascii="SimSun" w:eastAsia="SimSun" w:hAnsi="SimSun" w:cs="SimSun"/>
                        <w:b/>
                        <w:bCs/>
                        <w:color w:val="5199CB"/>
                        <w:spacing w:val="0"/>
                        <w:w w:val="100"/>
                        <w:position w:val="0"/>
                        <w:sz w:val="17"/>
                        <w:szCs w:val="17"/>
                      </w:rPr>
                      <w:t>神州泰岳</w:t>
                    </w:r>
                  </w:p>
                </w:txbxContent>
              </v:textbox>
              <w10:wrap anchorx="page" anchory="page"/>
            </v:shape>
          </w:pict>
        </mc:Fallback>
      </mc:AlternateContent>
    </w:r>
    <w:r>
      <mc:AlternateContent>
        <mc:Choice Requires="wps">
          <w:drawing>
            <wp:anchor distT="0" distB="0" distL="0" distR="0" simplePos="0" relativeHeight="62914732" behindDoc="1" locked="0" layoutInCell="1" allowOverlap="1">
              <wp:simplePos x="0" y="0"/>
              <wp:positionH relativeFrom="page">
                <wp:posOffset>4142105</wp:posOffset>
              </wp:positionH>
              <wp:positionV relativeFrom="page">
                <wp:posOffset>895985</wp:posOffset>
              </wp:positionV>
              <wp:extent cx="2673350" cy="106680"/>
              <wp:wrapNone/>
              <wp:docPr id="143" name="Shape 143"/>
              <a:graphic xmlns:a="http://schemas.openxmlformats.org/drawingml/2006/main">
                <a:graphicData uri="http://schemas.microsoft.com/office/word/2010/wordprocessingShape">
                  <wps:wsp>
                    <wps:cNvSpPr txBox="1"/>
                    <wps:spPr>
                      <a:xfrm>
                        <a:ext cx="2673350" cy="106680"/>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北京神州泰岳软件股份有限公司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169" type="#_x0000_t202" style="position:absolute;margin-left:326.15000000000003pt;margin-top:70.549999999999997pt;width:210.5pt;height:8.4000000000000004pt;z-index:-188744021;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北京神州泰岳软件股份有限公司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701040</wp:posOffset>
              </wp:positionH>
              <wp:positionV relativeFrom="page">
                <wp:posOffset>1044575</wp:posOffset>
              </wp:positionV>
              <wp:extent cx="6160135" cy="0"/>
              <wp:wrapNone/>
              <wp:docPr id="145" name="Shape 145"/>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5.200000000000003pt;margin-top:82.25pt;width:485.05000000000001pt;height:0;z-index:-251658240;mso-position-horizontal-relative:page;mso-position-vertical-relative:page">
              <v:stroke weight="1.pt"/>
            </v:shape>
          </w:pict>
        </mc:Fallback>
      </mc:AlternateContent>
    </w:r>
  </w:p>
</w:hdr>
</file>

<file path=word/header1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8" behindDoc="1" locked="0" layoutInCell="1" allowOverlap="1">
              <wp:simplePos x="0" y="0"/>
              <wp:positionH relativeFrom="page">
                <wp:posOffset>719455</wp:posOffset>
              </wp:positionH>
              <wp:positionV relativeFrom="page">
                <wp:posOffset>704850</wp:posOffset>
              </wp:positionV>
              <wp:extent cx="1012190" cy="283210"/>
              <wp:wrapNone/>
              <wp:docPr id="715" name="Shape 715"/>
              <a:graphic xmlns:a="http://schemas.openxmlformats.org/drawingml/2006/main">
                <a:graphicData uri="http://schemas.microsoft.com/office/word/2010/wordprocessingShape">
                  <wps:wsp>
                    <wps:cNvSpPr txBox="1"/>
                    <wps:spPr>
                      <a:xfrm>
                        <a:ext cx="1012190" cy="2832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204"/>
                            <w:keepNext w:val="0"/>
                            <w:keepLines w:val="0"/>
                            <w:widowControl w:val="0"/>
                            <w:shd w:val="clear" w:color="auto" w:fill="auto"/>
                            <w:bidi w:val="0"/>
                            <w:spacing w:before="0" w:after="0" w:line="240" w:lineRule="auto"/>
                            <w:ind w:left="0" w:right="0" w:firstLine="0"/>
                            <w:jc w:val="left"/>
                          </w:pPr>
                          <w:r>
                            <w:rPr>
                              <w:b/>
                              <w:bCs/>
                              <w:i/>
                              <w:iCs/>
                              <w:color w:val="6DB14A"/>
                              <w:spacing w:val="0"/>
                              <w:w w:val="100"/>
                              <w:position w:val="0"/>
                              <w:sz w:val="18"/>
                              <w:szCs w:val="18"/>
                            </w:rPr>
                            <w:t>、、</w:t>
                          </w:r>
                          <w:r>
                            <w:rPr>
                              <w:b/>
                              <w:bCs/>
                              <w:color w:val="6DB14A"/>
                              <w:spacing w:val="0"/>
                              <w:w w:val="100"/>
                              <w:position w:val="0"/>
                            </w:rPr>
                            <w:t>一^</w:t>
                          </w:r>
                          <w:r>
                            <w:rPr>
                              <w:b/>
                              <w:bCs/>
                              <w:color w:val="5199CB"/>
                              <w:spacing w:val="0"/>
                              <w:w w:val="100"/>
                              <w:position w:val="0"/>
                            </w:rPr>
                            <w:t>神州泰岳</w:t>
                          </w:r>
                        </w:p>
                      </w:txbxContent>
                    </wps:txbx>
                    <wps:bodyPr wrap="none" lIns="0" tIns="0" rIns="0" bIns="0">
                      <a:spAutoFit/>
                    </wps:bodyPr>
                  </wps:wsp>
                </a:graphicData>
              </a:graphic>
            </wp:anchor>
          </w:drawing>
        </mc:Choice>
        <mc:Fallback>
          <w:pict>
            <v:shape id="_x0000_s1741" type="#_x0000_t202" style="position:absolute;margin-left:56.649999999999999pt;margin-top:55.5pt;width:79.700000000000003pt;height:22.300000000000001pt;z-index:-188743635;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204"/>
                      <w:keepNext w:val="0"/>
                      <w:keepLines w:val="0"/>
                      <w:widowControl w:val="0"/>
                      <w:shd w:val="clear" w:color="auto" w:fill="auto"/>
                      <w:bidi w:val="0"/>
                      <w:spacing w:before="0" w:after="0" w:line="240" w:lineRule="auto"/>
                      <w:ind w:left="0" w:right="0" w:firstLine="0"/>
                      <w:jc w:val="left"/>
                    </w:pPr>
                    <w:r>
                      <w:rPr>
                        <w:b/>
                        <w:bCs/>
                        <w:i/>
                        <w:iCs/>
                        <w:color w:val="6DB14A"/>
                        <w:spacing w:val="0"/>
                        <w:w w:val="100"/>
                        <w:position w:val="0"/>
                        <w:sz w:val="18"/>
                        <w:szCs w:val="18"/>
                      </w:rPr>
                      <w:t>、、</w:t>
                    </w:r>
                    <w:r>
                      <w:rPr>
                        <w:b/>
                        <w:bCs/>
                        <w:color w:val="6DB14A"/>
                        <w:spacing w:val="0"/>
                        <w:w w:val="100"/>
                        <w:position w:val="0"/>
                      </w:rPr>
                      <w:t>一^</w:t>
                    </w:r>
                    <w:r>
                      <w:rPr>
                        <w:b/>
                        <w:bCs/>
                        <w:color w:val="5199CB"/>
                        <w:spacing w:val="0"/>
                        <w:w w:val="100"/>
                        <w:position w:val="0"/>
                      </w:rPr>
                      <w:t>神州泰岳</w:t>
                    </w:r>
                  </w:p>
                </w:txbxContent>
              </v:textbox>
              <w10:wrap anchorx="page" anchory="page"/>
            </v:shape>
          </w:pict>
        </mc:Fallback>
      </mc:AlternateContent>
    </w:r>
    <w:r>
      <mc:AlternateContent>
        <mc:Choice Requires="wps">
          <w:drawing>
            <wp:anchor distT="0" distB="0" distL="0" distR="0" simplePos="0" relativeHeight="62915120" behindDoc="1" locked="0" layoutInCell="1" allowOverlap="1">
              <wp:simplePos x="0" y="0"/>
              <wp:positionH relativeFrom="page">
                <wp:posOffset>4142105</wp:posOffset>
              </wp:positionH>
              <wp:positionV relativeFrom="page">
                <wp:posOffset>893445</wp:posOffset>
              </wp:positionV>
              <wp:extent cx="2673350" cy="106680"/>
              <wp:wrapNone/>
              <wp:docPr id="717" name="Shape 717"/>
              <a:graphic xmlns:a="http://schemas.openxmlformats.org/drawingml/2006/main">
                <a:graphicData uri="http://schemas.microsoft.com/office/word/2010/wordprocessingShape">
                  <wps:wsp>
                    <wps:cNvSpPr txBox="1"/>
                    <wps:spPr>
                      <a:xfrm>
                        <a:ext cx="2673350" cy="10668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743" type="#_x0000_t202" style="position:absolute;margin-left:326.15000000000003pt;margin-top:70.350000000000009pt;width:210.5pt;height:8.4000000000000004pt;z-index:-188743633;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701040</wp:posOffset>
              </wp:positionH>
              <wp:positionV relativeFrom="page">
                <wp:posOffset>1057910</wp:posOffset>
              </wp:positionV>
              <wp:extent cx="6160135" cy="0"/>
              <wp:wrapNone/>
              <wp:docPr id="719" name="Shape 719"/>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5.200000000000003pt;margin-top:83.299999999999997pt;width:485.05000000000001pt;height:0;z-index:-251658240;mso-position-horizontal-relative:page;mso-position-vertical-relative:page">
              <v:stroke weight="1.pt"/>
            </v:shape>
          </w:pict>
        </mc:Fallback>
      </mc:AlternateContent>
    </w:r>
  </w:p>
</w:hdr>
</file>

<file path=word/header1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4" behindDoc="1" locked="0" layoutInCell="1" allowOverlap="1">
              <wp:simplePos x="0" y="0"/>
              <wp:positionH relativeFrom="page">
                <wp:posOffset>719455</wp:posOffset>
              </wp:positionH>
              <wp:positionV relativeFrom="page">
                <wp:posOffset>704850</wp:posOffset>
              </wp:positionV>
              <wp:extent cx="1012190" cy="283210"/>
              <wp:wrapNone/>
              <wp:docPr id="722" name="Shape 722"/>
              <a:graphic xmlns:a="http://schemas.openxmlformats.org/drawingml/2006/main">
                <a:graphicData uri="http://schemas.microsoft.com/office/word/2010/wordprocessingShape">
                  <wps:wsp>
                    <wps:cNvSpPr txBox="1"/>
                    <wps:spPr>
                      <a:xfrm>
                        <a:ext cx="1012190" cy="2832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204"/>
                            <w:keepNext w:val="0"/>
                            <w:keepLines w:val="0"/>
                            <w:widowControl w:val="0"/>
                            <w:shd w:val="clear" w:color="auto" w:fill="auto"/>
                            <w:bidi w:val="0"/>
                            <w:spacing w:before="0" w:after="0" w:line="240" w:lineRule="auto"/>
                            <w:ind w:left="0" w:right="0" w:firstLine="0"/>
                            <w:jc w:val="left"/>
                          </w:pPr>
                          <w:r>
                            <w:rPr>
                              <w:b/>
                              <w:bCs/>
                              <w:i/>
                              <w:iCs/>
                              <w:color w:val="6DB14A"/>
                              <w:spacing w:val="0"/>
                              <w:w w:val="100"/>
                              <w:position w:val="0"/>
                              <w:sz w:val="18"/>
                              <w:szCs w:val="18"/>
                            </w:rPr>
                            <w:t>、、</w:t>
                          </w:r>
                          <w:r>
                            <w:rPr>
                              <w:b/>
                              <w:bCs/>
                              <w:color w:val="6DB14A"/>
                              <w:spacing w:val="0"/>
                              <w:w w:val="100"/>
                              <w:position w:val="0"/>
                            </w:rPr>
                            <w:t>一^</w:t>
                          </w:r>
                          <w:r>
                            <w:rPr>
                              <w:b/>
                              <w:bCs/>
                              <w:color w:val="5199CB"/>
                              <w:spacing w:val="0"/>
                              <w:w w:val="100"/>
                              <w:position w:val="0"/>
                            </w:rPr>
                            <w:t>神州泰岳</w:t>
                          </w:r>
                        </w:p>
                      </w:txbxContent>
                    </wps:txbx>
                    <wps:bodyPr wrap="none" lIns="0" tIns="0" rIns="0" bIns="0">
                      <a:spAutoFit/>
                    </wps:bodyPr>
                  </wps:wsp>
                </a:graphicData>
              </a:graphic>
            </wp:anchor>
          </w:drawing>
        </mc:Choice>
        <mc:Fallback>
          <w:pict>
            <v:shape id="_x0000_s1748" type="#_x0000_t202" style="position:absolute;margin-left:56.649999999999999pt;margin-top:55.5pt;width:79.700000000000003pt;height:22.300000000000001pt;z-index:-188743629;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204"/>
                      <w:keepNext w:val="0"/>
                      <w:keepLines w:val="0"/>
                      <w:widowControl w:val="0"/>
                      <w:shd w:val="clear" w:color="auto" w:fill="auto"/>
                      <w:bidi w:val="0"/>
                      <w:spacing w:before="0" w:after="0" w:line="240" w:lineRule="auto"/>
                      <w:ind w:left="0" w:right="0" w:firstLine="0"/>
                      <w:jc w:val="left"/>
                    </w:pPr>
                    <w:r>
                      <w:rPr>
                        <w:b/>
                        <w:bCs/>
                        <w:i/>
                        <w:iCs/>
                        <w:color w:val="6DB14A"/>
                        <w:spacing w:val="0"/>
                        <w:w w:val="100"/>
                        <w:position w:val="0"/>
                        <w:sz w:val="18"/>
                        <w:szCs w:val="18"/>
                      </w:rPr>
                      <w:t>、、</w:t>
                    </w:r>
                    <w:r>
                      <w:rPr>
                        <w:b/>
                        <w:bCs/>
                        <w:color w:val="6DB14A"/>
                        <w:spacing w:val="0"/>
                        <w:w w:val="100"/>
                        <w:position w:val="0"/>
                      </w:rPr>
                      <w:t>一^</w:t>
                    </w:r>
                    <w:r>
                      <w:rPr>
                        <w:b/>
                        <w:bCs/>
                        <w:color w:val="5199CB"/>
                        <w:spacing w:val="0"/>
                        <w:w w:val="100"/>
                        <w:position w:val="0"/>
                      </w:rPr>
                      <w:t>神州泰岳</w:t>
                    </w:r>
                  </w:p>
                </w:txbxContent>
              </v:textbox>
              <w10:wrap anchorx="page" anchory="page"/>
            </v:shape>
          </w:pict>
        </mc:Fallback>
      </mc:AlternateContent>
    </w:r>
    <w:r>
      <mc:AlternateContent>
        <mc:Choice Requires="wps">
          <w:drawing>
            <wp:anchor distT="0" distB="0" distL="0" distR="0" simplePos="0" relativeHeight="62915126" behindDoc="1" locked="0" layoutInCell="1" allowOverlap="1">
              <wp:simplePos x="0" y="0"/>
              <wp:positionH relativeFrom="page">
                <wp:posOffset>4142105</wp:posOffset>
              </wp:positionH>
              <wp:positionV relativeFrom="page">
                <wp:posOffset>893445</wp:posOffset>
              </wp:positionV>
              <wp:extent cx="2673350" cy="106680"/>
              <wp:wrapNone/>
              <wp:docPr id="724" name="Shape 724"/>
              <a:graphic xmlns:a="http://schemas.openxmlformats.org/drawingml/2006/main">
                <a:graphicData uri="http://schemas.microsoft.com/office/word/2010/wordprocessingShape">
                  <wps:wsp>
                    <wps:cNvSpPr txBox="1"/>
                    <wps:spPr>
                      <a:xfrm>
                        <a:ext cx="2673350" cy="10668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750" type="#_x0000_t202" style="position:absolute;margin-left:326.15000000000003pt;margin-top:70.350000000000009pt;width:210.5pt;height:8.4000000000000004pt;z-index:-188743627;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701040</wp:posOffset>
              </wp:positionH>
              <wp:positionV relativeFrom="page">
                <wp:posOffset>1057910</wp:posOffset>
              </wp:positionV>
              <wp:extent cx="6160135" cy="0"/>
              <wp:wrapNone/>
              <wp:docPr id="726" name="Shape 726"/>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5.200000000000003pt;margin-top:83.299999999999997pt;width:485.05000000000001pt;height:0;z-index:-251658240;mso-position-horizontal-relative:page;mso-position-vertical-relative:page">
              <v:stroke weight="1.pt"/>
            </v:shape>
          </w:pict>
        </mc:Fallback>
      </mc:AlternateContent>
    </w:r>
  </w:p>
</w:hdr>
</file>

<file path=word/header1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0" behindDoc="1" locked="0" layoutInCell="1" allowOverlap="1">
              <wp:simplePos x="0" y="0"/>
              <wp:positionH relativeFrom="page">
                <wp:posOffset>719455</wp:posOffset>
              </wp:positionH>
              <wp:positionV relativeFrom="page">
                <wp:posOffset>704850</wp:posOffset>
              </wp:positionV>
              <wp:extent cx="1012190" cy="283210"/>
              <wp:wrapNone/>
              <wp:docPr id="729" name="Shape 729"/>
              <a:graphic xmlns:a="http://schemas.openxmlformats.org/drawingml/2006/main">
                <a:graphicData uri="http://schemas.microsoft.com/office/word/2010/wordprocessingShape">
                  <wps:wsp>
                    <wps:cNvSpPr txBox="1"/>
                    <wps:spPr>
                      <a:xfrm>
                        <a:ext cx="1012190" cy="2832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204"/>
                            <w:keepNext w:val="0"/>
                            <w:keepLines w:val="0"/>
                            <w:widowControl w:val="0"/>
                            <w:shd w:val="clear" w:color="auto" w:fill="auto"/>
                            <w:bidi w:val="0"/>
                            <w:spacing w:before="0" w:after="0" w:line="240" w:lineRule="auto"/>
                            <w:ind w:left="0" w:right="0" w:firstLine="0"/>
                            <w:jc w:val="left"/>
                          </w:pPr>
                          <w:r>
                            <w:rPr>
                              <w:b/>
                              <w:bCs/>
                              <w:i/>
                              <w:iCs/>
                              <w:color w:val="6DB14A"/>
                              <w:spacing w:val="0"/>
                              <w:w w:val="100"/>
                              <w:position w:val="0"/>
                              <w:sz w:val="18"/>
                              <w:szCs w:val="18"/>
                            </w:rPr>
                            <w:t>、、</w:t>
                          </w:r>
                          <w:r>
                            <w:rPr>
                              <w:b/>
                              <w:bCs/>
                              <w:color w:val="6DB14A"/>
                              <w:spacing w:val="0"/>
                              <w:w w:val="100"/>
                              <w:position w:val="0"/>
                            </w:rPr>
                            <w:t>一^</w:t>
                          </w:r>
                          <w:r>
                            <w:rPr>
                              <w:b/>
                              <w:bCs/>
                              <w:color w:val="5199CB"/>
                              <w:spacing w:val="0"/>
                              <w:w w:val="100"/>
                              <w:position w:val="0"/>
                            </w:rPr>
                            <w:t>神州泰岳</w:t>
                          </w:r>
                        </w:p>
                      </w:txbxContent>
                    </wps:txbx>
                    <wps:bodyPr wrap="none" lIns="0" tIns="0" rIns="0" bIns="0">
                      <a:spAutoFit/>
                    </wps:bodyPr>
                  </wps:wsp>
                </a:graphicData>
              </a:graphic>
            </wp:anchor>
          </w:drawing>
        </mc:Choice>
        <mc:Fallback>
          <w:pict>
            <v:shape id="_x0000_s1755" type="#_x0000_t202" style="position:absolute;margin-left:56.649999999999999pt;margin-top:55.5pt;width:79.700000000000003pt;height:22.300000000000001pt;z-index:-188743623;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204"/>
                      <w:keepNext w:val="0"/>
                      <w:keepLines w:val="0"/>
                      <w:widowControl w:val="0"/>
                      <w:shd w:val="clear" w:color="auto" w:fill="auto"/>
                      <w:bidi w:val="0"/>
                      <w:spacing w:before="0" w:after="0" w:line="240" w:lineRule="auto"/>
                      <w:ind w:left="0" w:right="0" w:firstLine="0"/>
                      <w:jc w:val="left"/>
                    </w:pPr>
                    <w:r>
                      <w:rPr>
                        <w:b/>
                        <w:bCs/>
                        <w:i/>
                        <w:iCs/>
                        <w:color w:val="6DB14A"/>
                        <w:spacing w:val="0"/>
                        <w:w w:val="100"/>
                        <w:position w:val="0"/>
                        <w:sz w:val="18"/>
                        <w:szCs w:val="18"/>
                      </w:rPr>
                      <w:t>、、</w:t>
                    </w:r>
                    <w:r>
                      <w:rPr>
                        <w:b/>
                        <w:bCs/>
                        <w:color w:val="6DB14A"/>
                        <w:spacing w:val="0"/>
                        <w:w w:val="100"/>
                        <w:position w:val="0"/>
                      </w:rPr>
                      <w:t>一^</w:t>
                    </w:r>
                    <w:r>
                      <w:rPr>
                        <w:b/>
                        <w:bCs/>
                        <w:color w:val="5199CB"/>
                        <w:spacing w:val="0"/>
                        <w:w w:val="100"/>
                        <w:position w:val="0"/>
                      </w:rPr>
                      <w:t>神州泰岳</w:t>
                    </w:r>
                  </w:p>
                </w:txbxContent>
              </v:textbox>
              <w10:wrap anchorx="page" anchory="page"/>
            </v:shape>
          </w:pict>
        </mc:Fallback>
      </mc:AlternateContent>
    </w:r>
    <w:r>
      <mc:AlternateContent>
        <mc:Choice Requires="wps">
          <w:drawing>
            <wp:anchor distT="0" distB="0" distL="0" distR="0" simplePos="0" relativeHeight="62915132" behindDoc="1" locked="0" layoutInCell="1" allowOverlap="1">
              <wp:simplePos x="0" y="0"/>
              <wp:positionH relativeFrom="page">
                <wp:posOffset>4142105</wp:posOffset>
              </wp:positionH>
              <wp:positionV relativeFrom="page">
                <wp:posOffset>893445</wp:posOffset>
              </wp:positionV>
              <wp:extent cx="2673350" cy="106680"/>
              <wp:wrapNone/>
              <wp:docPr id="731" name="Shape 731"/>
              <a:graphic xmlns:a="http://schemas.openxmlformats.org/drawingml/2006/main">
                <a:graphicData uri="http://schemas.microsoft.com/office/word/2010/wordprocessingShape">
                  <wps:wsp>
                    <wps:cNvSpPr txBox="1"/>
                    <wps:spPr>
                      <a:xfrm>
                        <a:ext cx="2673350" cy="10668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757" type="#_x0000_t202" style="position:absolute;margin-left:326.15000000000003pt;margin-top:70.350000000000009pt;width:210.5pt;height:8.4000000000000004pt;z-index:-188743621;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701040</wp:posOffset>
              </wp:positionH>
              <wp:positionV relativeFrom="page">
                <wp:posOffset>1057910</wp:posOffset>
              </wp:positionV>
              <wp:extent cx="6160135" cy="0"/>
              <wp:wrapNone/>
              <wp:docPr id="733" name="Shape 733"/>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5.200000000000003pt;margin-top:83.299999999999997pt;width:485.05000000000001pt;height:0;z-index:-251658240;mso-position-horizontal-relative:page;mso-position-vertical-relative:page">
              <v:stroke weight="1.pt"/>
            </v:shape>
          </w:pict>
        </mc:Fallback>
      </mc:AlternateContent>
    </w:r>
  </w:p>
</w:hdr>
</file>

<file path=word/header1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6" behindDoc="1" locked="0" layoutInCell="1" allowOverlap="1">
              <wp:simplePos x="0" y="0"/>
              <wp:positionH relativeFrom="page">
                <wp:posOffset>719455</wp:posOffset>
              </wp:positionH>
              <wp:positionV relativeFrom="page">
                <wp:posOffset>704850</wp:posOffset>
              </wp:positionV>
              <wp:extent cx="1012190" cy="283210"/>
              <wp:wrapNone/>
              <wp:docPr id="736" name="Shape 736"/>
              <a:graphic xmlns:a="http://schemas.openxmlformats.org/drawingml/2006/main">
                <a:graphicData uri="http://schemas.microsoft.com/office/word/2010/wordprocessingShape">
                  <wps:wsp>
                    <wps:cNvSpPr txBox="1"/>
                    <wps:spPr>
                      <a:xfrm>
                        <a:ext cx="1012190" cy="2832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204"/>
                            <w:keepNext w:val="0"/>
                            <w:keepLines w:val="0"/>
                            <w:widowControl w:val="0"/>
                            <w:shd w:val="clear" w:color="auto" w:fill="auto"/>
                            <w:bidi w:val="0"/>
                            <w:spacing w:before="0" w:after="0" w:line="240" w:lineRule="auto"/>
                            <w:ind w:left="0" w:right="0" w:firstLine="0"/>
                            <w:jc w:val="left"/>
                          </w:pPr>
                          <w:r>
                            <w:rPr>
                              <w:b/>
                              <w:bCs/>
                              <w:i/>
                              <w:iCs/>
                              <w:color w:val="6DB14A"/>
                              <w:spacing w:val="0"/>
                              <w:w w:val="100"/>
                              <w:position w:val="0"/>
                              <w:sz w:val="18"/>
                              <w:szCs w:val="18"/>
                            </w:rPr>
                            <w:t>、、</w:t>
                          </w:r>
                          <w:r>
                            <w:rPr>
                              <w:b/>
                              <w:bCs/>
                              <w:color w:val="6DB14A"/>
                              <w:spacing w:val="0"/>
                              <w:w w:val="100"/>
                              <w:position w:val="0"/>
                            </w:rPr>
                            <w:t>一^</w:t>
                          </w:r>
                          <w:r>
                            <w:rPr>
                              <w:b/>
                              <w:bCs/>
                              <w:color w:val="5199CB"/>
                              <w:spacing w:val="0"/>
                              <w:w w:val="100"/>
                              <w:position w:val="0"/>
                            </w:rPr>
                            <w:t>神州泰岳</w:t>
                          </w:r>
                        </w:p>
                      </w:txbxContent>
                    </wps:txbx>
                    <wps:bodyPr wrap="none" lIns="0" tIns="0" rIns="0" bIns="0">
                      <a:spAutoFit/>
                    </wps:bodyPr>
                  </wps:wsp>
                </a:graphicData>
              </a:graphic>
            </wp:anchor>
          </w:drawing>
        </mc:Choice>
        <mc:Fallback>
          <w:pict>
            <v:shape id="_x0000_s1762" type="#_x0000_t202" style="position:absolute;margin-left:56.649999999999999pt;margin-top:55.5pt;width:79.700000000000003pt;height:22.300000000000001pt;z-index:-188743617;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204"/>
                      <w:keepNext w:val="0"/>
                      <w:keepLines w:val="0"/>
                      <w:widowControl w:val="0"/>
                      <w:shd w:val="clear" w:color="auto" w:fill="auto"/>
                      <w:bidi w:val="0"/>
                      <w:spacing w:before="0" w:after="0" w:line="240" w:lineRule="auto"/>
                      <w:ind w:left="0" w:right="0" w:firstLine="0"/>
                      <w:jc w:val="left"/>
                    </w:pPr>
                    <w:r>
                      <w:rPr>
                        <w:b/>
                        <w:bCs/>
                        <w:i/>
                        <w:iCs/>
                        <w:color w:val="6DB14A"/>
                        <w:spacing w:val="0"/>
                        <w:w w:val="100"/>
                        <w:position w:val="0"/>
                        <w:sz w:val="18"/>
                        <w:szCs w:val="18"/>
                      </w:rPr>
                      <w:t>、、</w:t>
                    </w:r>
                    <w:r>
                      <w:rPr>
                        <w:b/>
                        <w:bCs/>
                        <w:color w:val="6DB14A"/>
                        <w:spacing w:val="0"/>
                        <w:w w:val="100"/>
                        <w:position w:val="0"/>
                      </w:rPr>
                      <w:t>一^</w:t>
                    </w:r>
                    <w:r>
                      <w:rPr>
                        <w:b/>
                        <w:bCs/>
                        <w:color w:val="5199CB"/>
                        <w:spacing w:val="0"/>
                        <w:w w:val="100"/>
                        <w:position w:val="0"/>
                      </w:rPr>
                      <w:t>神州泰岳</w:t>
                    </w:r>
                  </w:p>
                </w:txbxContent>
              </v:textbox>
              <w10:wrap anchorx="page" anchory="page"/>
            </v:shape>
          </w:pict>
        </mc:Fallback>
      </mc:AlternateContent>
    </w:r>
    <w:r>
      <mc:AlternateContent>
        <mc:Choice Requires="wps">
          <w:drawing>
            <wp:anchor distT="0" distB="0" distL="0" distR="0" simplePos="0" relativeHeight="62915138" behindDoc="1" locked="0" layoutInCell="1" allowOverlap="1">
              <wp:simplePos x="0" y="0"/>
              <wp:positionH relativeFrom="page">
                <wp:posOffset>4142105</wp:posOffset>
              </wp:positionH>
              <wp:positionV relativeFrom="page">
                <wp:posOffset>893445</wp:posOffset>
              </wp:positionV>
              <wp:extent cx="2673350" cy="106680"/>
              <wp:wrapNone/>
              <wp:docPr id="738" name="Shape 738"/>
              <a:graphic xmlns:a="http://schemas.openxmlformats.org/drawingml/2006/main">
                <a:graphicData uri="http://schemas.microsoft.com/office/word/2010/wordprocessingShape">
                  <wps:wsp>
                    <wps:cNvSpPr txBox="1"/>
                    <wps:spPr>
                      <a:xfrm>
                        <a:ext cx="2673350" cy="10668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764" type="#_x0000_t202" style="position:absolute;margin-left:326.15000000000003pt;margin-top:70.350000000000009pt;width:210.5pt;height:8.4000000000000004pt;z-index:-188743615;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701040</wp:posOffset>
              </wp:positionH>
              <wp:positionV relativeFrom="page">
                <wp:posOffset>1057910</wp:posOffset>
              </wp:positionV>
              <wp:extent cx="6160135" cy="0"/>
              <wp:wrapNone/>
              <wp:docPr id="740" name="Shape 740"/>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5.200000000000003pt;margin-top:83.299999999999997pt;width:485.05000000000001pt;height:0;z-index:-251658240;mso-position-horizontal-relative:page;mso-position-vertical-relative:page">
              <v:stroke weight="1.pt"/>
            </v:shape>
          </w:pict>
        </mc:Fallback>
      </mc:AlternateContent>
    </w:r>
  </w:p>
</w:hdr>
</file>

<file path=word/header1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2" behindDoc="1" locked="0" layoutInCell="1" allowOverlap="1">
              <wp:simplePos x="0" y="0"/>
              <wp:positionH relativeFrom="page">
                <wp:posOffset>730250</wp:posOffset>
              </wp:positionH>
              <wp:positionV relativeFrom="page">
                <wp:posOffset>693420</wp:posOffset>
              </wp:positionV>
              <wp:extent cx="6096000" cy="295910"/>
              <wp:wrapNone/>
              <wp:docPr id="743" name="Shape 743"/>
              <a:graphic xmlns:a="http://schemas.openxmlformats.org/drawingml/2006/main">
                <a:graphicData uri="http://schemas.microsoft.com/office/word/2010/wordprocessingShape">
                  <wps:wsp>
                    <wps:cNvSpPr txBox="1"/>
                    <wps:spPr>
                      <a:xfrm>
                        <a:ext cx="6096000" cy="2959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tabs>
                              <w:tab w:pos="8707" w:val="right"/>
                            </w:tabs>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1F84C4"/>
                              <w:spacing w:val="0"/>
                              <w:w w:val="100"/>
                              <w:position w:val="0"/>
                            </w:rPr>
                            <w:t>•，</w:t>
                            <w:tab/>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lIns="0" tIns="0" rIns="0" bIns="0">
                      <a:spAutoFit/>
                    </wps:bodyPr>
                  </wps:wsp>
                </a:graphicData>
              </a:graphic>
            </wp:anchor>
          </w:drawing>
        </mc:Choice>
        <mc:Fallback>
          <w:pict>
            <v:shape id="_x0000_s1769" type="#_x0000_t202" style="position:absolute;margin-left:57.5pt;margin-top:54.600000000000001pt;width:480.pt;height:23.300000000000001pt;z-index:-188743611;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tabs>
                        <w:tab w:pos="8707" w:val="right"/>
                      </w:tabs>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1F84C4"/>
                        <w:spacing w:val="0"/>
                        <w:w w:val="100"/>
                        <w:position w:val="0"/>
                      </w:rPr>
                      <w:t>•，</w:t>
                      <w:tab/>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712470</wp:posOffset>
              </wp:positionH>
              <wp:positionV relativeFrom="page">
                <wp:posOffset>1042670</wp:posOffset>
              </wp:positionV>
              <wp:extent cx="6160135" cy="0"/>
              <wp:wrapNone/>
              <wp:docPr id="745" name="Shape 745"/>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6.100000000000001pt;margin-top:82.100000000000009pt;width:485.05000000000001pt;height:0;z-index:-251658240;mso-position-horizontal-relative:page;mso-position-vertical-relative:page">
              <v:stroke weight="1.pt"/>
            </v:shape>
          </w:pict>
        </mc:Fallback>
      </mc:AlternateContent>
    </w:r>
  </w:p>
</w:hdr>
</file>

<file path=word/header1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6" behindDoc="1" locked="0" layoutInCell="1" allowOverlap="1">
              <wp:simplePos x="0" y="0"/>
              <wp:positionH relativeFrom="page">
                <wp:posOffset>730250</wp:posOffset>
              </wp:positionH>
              <wp:positionV relativeFrom="page">
                <wp:posOffset>693420</wp:posOffset>
              </wp:positionV>
              <wp:extent cx="6096000" cy="295910"/>
              <wp:wrapNone/>
              <wp:docPr id="750" name="Shape 750"/>
              <a:graphic xmlns:a="http://schemas.openxmlformats.org/drawingml/2006/main">
                <a:graphicData uri="http://schemas.microsoft.com/office/word/2010/wordprocessingShape">
                  <wps:wsp>
                    <wps:cNvSpPr txBox="1"/>
                    <wps:spPr>
                      <a:xfrm>
                        <a:ext cx="6096000" cy="2959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tabs>
                              <w:tab w:pos="8707" w:val="right"/>
                            </w:tabs>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1F84C4"/>
                              <w:spacing w:val="0"/>
                              <w:w w:val="100"/>
                              <w:position w:val="0"/>
                            </w:rPr>
                            <w:t>•，</w:t>
                            <w:tab/>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lIns="0" tIns="0" rIns="0" bIns="0">
                      <a:spAutoFit/>
                    </wps:bodyPr>
                  </wps:wsp>
                </a:graphicData>
              </a:graphic>
            </wp:anchor>
          </w:drawing>
        </mc:Choice>
        <mc:Fallback>
          <w:pict>
            <v:shape id="_x0000_s1776" type="#_x0000_t202" style="position:absolute;margin-left:57.5pt;margin-top:54.600000000000001pt;width:480.pt;height:23.300000000000001pt;z-index:-188743607;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tabs>
                        <w:tab w:pos="8707" w:val="right"/>
                      </w:tabs>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1F84C4"/>
                        <w:spacing w:val="0"/>
                        <w:w w:val="100"/>
                        <w:position w:val="0"/>
                      </w:rPr>
                      <w:t>•，</w:t>
                      <w:tab/>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712470</wp:posOffset>
              </wp:positionH>
              <wp:positionV relativeFrom="page">
                <wp:posOffset>1042670</wp:posOffset>
              </wp:positionV>
              <wp:extent cx="6160135" cy="0"/>
              <wp:wrapNone/>
              <wp:docPr id="752" name="Shape 752"/>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6.100000000000001pt;margin-top:82.100000000000009pt;width:485.05000000000001pt;height:0;z-index:-251658240;mso-position-horizontal-relative:page;mso-position-vertical-relative:page">
              <v:stroke weight="1.pt"/>
            </v:shape>
          </w:pict>
        </mc:Fallback>
      </mc:AlternateContent>
    </w:r>
  </w:p>
</w:hdr>
</file>

<file path=word/header1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0" behindDoc="1" locked="0" layoutInCell="1" allowOverlap="1">
              <wp:simplePos x="0" y="0"/>
              <wp:positionH relativeFrom="page">
                <wp:posOffset>730250</wp:posOffset>
              </wp:positionH>
              <wp:positionV relativeFrom="page">
                <wp:posOffset>693420</wp:posOffset>
              </wp:positionV>
              <wp:extent cx="6096000" cy="295910"/>
              <wp:wrapNone/>
              <wp:docPr id="755" name="Shape 755"/>
              <a:graphic xmlns:a="http://schemas.openxmlformats.org/drawingml/2006/main">
                <a:graphicData uri="http://schemas.microsoft.com/office/word/2010/wordprocessingShape">
                  <wps:wsp>
                    <wps:cNvSpPr txBox="1"/>
                    <wps:spPr>
                      <a:xfrm>
                        <a:ext cx="6096000" cy="2959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tabs>
                              <w:tab w:pos="8707" w:val="right"/>
                            </w:tabs>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1F84C4"/>
                              <w:spacing w:val="0"/>
                              <w:w w:val="100"/>
                              <w:position w:val="0"/>
                            </w:rPr>
                            <w:t>•，</w:t>
                            <w:tab/>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lIns="0" tIns="0" rIns="0" bIns="0">
                      <a:spAutoFit/>
                    </wps:bodyPr>
                  </wps:wsp>
                </a:graphicData>
              </a:graphic>
            </wp:anchor>
          </w:drawing>
        </mc:Choice>
        <mc:Fallback>
          <w:pict>
            <v:shape id="_x0000_s1781" type="#_x0000_t202" style="position:absolute;margin-left:57.5pt;margin-top:54.600000000000001pt;width:480.pt;height:23.300000000000001pt;z-index:-188743603;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tabs>
                        <w:tab w:pos="8707" w:val="right"/>
                      </w:tabs>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1F84C4"/>
                        <w:spacing w:val="0"/>
                        <w:w w:val="100"/>
                        <w:position w:val="0"/>
                      </w:rPr>
                      <w:t>•，</w:t>
                      <w:tab/>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712470</wp:posOffset>
              </wp:positionH>
              <wp:positionV relativeFrom="page">
                <wp:posOffset>1042670</wp:posOffset>
              </wp:positionV>
              <wp:extent cx="6160135" cy="0"/>
              <wp:wrapNone/>
              <wp:docPr id="757" name="Shape 757"/>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6.100000000000001pt;margin-top:82.100000000000009pt;width:485.05000000000001pt;height:0;z-index:-251658240;mso-position-horizontal-relative:page;mso-position-vertical-relative:page">
              <v:stroke weight="1.pt"/>
            </v:shape>
          </w:pict>
        </mc:Fallback>
      </mc:AlternateContent>
    </w:r>
  </w:p>
</w:hdr>
</file>

<file path=word/header1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4" behindDoc="1" locked="0" layoutInCell="1" allowOverlap="1">
              <wp:simplePos x="0" y="0"/>
              <wp:positionH relativeFrom="page">
                <wp:posOffset>719455</wp:posOffset>
              </wp:positionH>
              <wp:positionV relativeFrom="page">
                <wp:posOffset>704850</wp:posOffset>
              </wp:positionV>
              <wp:extent cx="1012190" cy="283210"/>
              <wp:wrapNone/>
              <wp:docPr id="760" name="Shape 760"/>
              <a:graphic xmlns:a="http://schemas.openxmlformats.org/drawingml/2006/main">
                <a:graphicData uri="http://schemas.microsoft.com/office/word/2010/wordprocessingShape">
                  <wps:wsp>
                    <wps:cNvSpPr txBox="1"/>
                    <wps:spPr>
                      <a:xfrm>
                        <a:ext cx="1012190" cy="2832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204"/>
                            <w:keepNext w:val="0"/>
                            <w:keepLines w:val="0"/>
                            <w:widowControl w:val="0"/>
                            <w:shd w:val="clear" w:color="auto" w:fill="auto"/>
                            <w:bidi w:val="0"/>
                            <w:spacing w:before="0" w:after="0" w:line="240" w:lineRule="auto"/>
                            <w:ind w:left="0" w:right="0" w:firstLine="0"/>
                            <w:jc w:val="left"/>
                          </w:pPr>
                          <w:r>
                            <w:rPr>
                              <w:b/>
                              <w:bCs/>
                              <w:i/>
                              <w:iCs/>
                              <w:color w:val="6DB14A"/>
                              <w:spacing w:val="0"/>
                              <w:w w:val="100"/>
                              <w:position w:val="0"/>
                              <w:sz w:val="18"/>
                              <w:szCs w:val="18"/>
                            </w:rPr>
                            <w:t>、、</w:t>
                          </w:r>
                          <w:r>
                            <w:rPr>
                              <w:b/>
                              <w:bCs/>
                              <w:color w:val="6DB14A"/>
                              <w:spacing w:val="0"/>
                              <w:w w:val="100"/>
                              <w:position w:val="0"/>
                            </w:rPr>
                            <w:t>一^</w:t>
                          </w:r>
                          <w:r>
                            <w:rPr>
                              <w:b/>
                              <w:bCs/>
                              <w:color w:val="5199CB"/>
                              <w:spacing w:val="0"/>
                              <w:w w:val="100"/>
                              <w:position w:val="0"/>
                            </w:rPr>
                            <w:t>神州泰岳</w:t>
                          </w:r>
                        </w:p>
                      </w:txbxContent>
                    </wps:txbx>
                    <wps:bodyPr wrap="none" lIns="0" tIns="0" rIns="0" bIns="0">
                      <a:spAutoFit/>
                    </wps:bodyPr>
                  </wps:wsp>
                </a:graphicData>
              </a:graphic>
            </wp:anchor>
          </w:drawing>
        </mc:Choice>
        <mc:Fallback>
          <w:pict>
            <v:shape id="_x0000_s1786" type="#_x0000_t202" style="position:absolute;margin-left:56.649999999999999pt;margin-top:55.5pt;width:79.700000000000003pt;height:22.300000000000001pt;z-index:-188743599;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204"/>
                      <w:keepNext w:val="0"/>
                      <w:keepLines w:val="0"/>
                      <w:widowControl w:val="0"/>
                      <w:shd w:val="clear" w:color="auto" w:fill="auto"/>
                      <w:bidi w:val="0"/>
                      <w:spacing w:before="0" w:after="0" w:line="240" w:lineRule="auto"/>
                      <w:ind w:left="0" w:right="0" w:firstLine="0"/>
                      <w:jc w:val="left"/>
                    </w:pPr>
                    <w:r>
                      <w:rPr>
                        <w:b/>
                        <w:bCs/>
                        <w:i/>
                        <w:iCs/>
                        <w:color w:val="6DB14A"/>
                        <w:spacing w:val="0"/>
                        <w:w w:val="100"/>
                        <w:position w:val="0"/>
                        <w:sz w:val="18"/>
                        <w:szCs w:val="18"/>
                      </w:rPr>
                      <w:t>、、</w:t>
                    </w:r>
                    <w:r>
                      <w:rPr>
                        <w:b/>
                        <w:bCs/>
                        <w:color w:val="6DB14A"/>
                        <w:spacing w:val="0"/>
                        <w:w w:val="100"/>
                        <w:position w:val="0"/>
                      </w:rPr>
                      <w:t>一^</w:t>
                    </w:r>
                    <w:r>
                      <w:rPr>
                        <w:b/>
                        <w:bCs/>
                        <w:color w:val="5199CB"/>
                        <w:spacing w:val="0"/>
                        <w:w w:val="100"/>
                        <w:position w:val="0"/>
                      </w:rPr>
                      <w:t>神州泰岳</w:t>
                    </w:r>
                  </w:p>
                </w:txbxContent>
              </v:textbox>
              <w10:wrap anchorx="page" anchory="page"/>
            </v:shape>
          </w:pict>
        </mc:Fallback>
      </mc:AlternateContent>
    </w:r>
    <w:r>
      <mc:AlternateContent>
        <mc:Choice Requires="wps">
          <w:drawing>
            <wp:anchor distT="0" distB="0" distL="0" distR="0" simplePos="0" relativeHeight="62915156" behindDoc="1" locked="0" layoutInCell="1" allowOverlap="1">
              <wp:simplePos x="0" y="0"/>
              <wp:positionH relativeFrom="page">
                <wp:posOffset>4142105</wp:posOffset>
              </wp:positionH>
              <wp:positionV relativeFrom="page">
                <wp:posOffset>893445</wp:posOffset>
              </wp:positionV>
              <wp:extent cx="2673350" cy="106680"/>
              <wp:wrapNone/>
              <wp:docPr id="762" name="Shape 762"/>
              <a:graphic xmlns:a="http://schemas.openxmlformats.org/drawingml/2006/main">
                <a:graphicData uri="http://schemas.microsoft.com/office/word/2010/wordprocessingShape">
                  <wps:wsp>
                    <wps:cNvSpPr txBox="1"/>
                    <wps:spPr>
                      <a:xfrm>
                        <a:ext cx="2673350" cy="10668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788" type="#_x0000_t202" style="position:absolute;margin-left:326.15000000000003pt;margin-top:70.350000000000009pt;width:210.5pt;height:8.4000000000000004pt;z-index:-188743597;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701040</wp:posOffset>
              </wp:positionH>
              <wp:positionV relativeFrom="page">
                <wp:posOffset>1057910</wp:posOffset>
              </wp:positionV>
              <wp:extent cx="6160135" cy="0"/>
              <wp:wrapNone/>
              <wp:docPr id="764" name="Shape 764"/>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5.200000000000003pt;margin-top:83.299999999999997pt;width:485.05000000000001pt;height:0;z-index:-251658240;mso-position-horizontal-relative:page;mso-position-vertical-relative:page">
              <v:stroke weight="1.pt"/>
            </v:shape>
          </w:pict>
        </mc:Fallback>
      </mc:AlternateContent>
    </w:r>
  </w:p>
</w:hdr>
</file>

<file path=word/header1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0" behindDoc="1" locked="0" layoutInCell="1" allowOverlap="1">
              <wp:simplePos x="0" y="0"/>
              <wp:positionH relativeFrom="page">
                <wp:posOffset>719455</wp:posOffset>
              </wp:positionH>
              <wp:positionV relativeFrom="page">
                <wp:posOffset>704850</wp:posOffset>
              </wp:positionV>
              <wp:extent cx="1012190" cy="283210"/>
              <wp:wrapNone/>
              <wp:docPr id="767" name="Shape 767"/>
              <a:graphic xmlns:a="http://schemas.openxmlformats.org/drawingml/2006/main">
                <a:graphicData uri="http://schemas.microsoft.com/office/word/2010/wordprocessingShape">
                  <wps:wsp>
                    <wps:cNvSpPr txBox="1"/>
                    <wps:spPr>
                      <a:xfrm>
                        <a:ext cx="1012190" cy="2832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204"/>
                            <w:keepNext w:val="0"/>
                            <w:keepLines w:val="0"/>
                            <w:widowControl w:val="0"/>
                            <w:shd w:val="clear" w:color="auto" w:fill="auto"/>
                            <w:bidi w:val="0"/>
                            <w:spacing w:before="0" w:after="0" w:line="240" w:lineRule="auto"/>
                            <w:ind w:left="0" w:right="0" w:firstLine="0"/>
                            <w:jc w:val="left"/>
                          </w:pPr>
                          <w:r>
                            <w:rPr>
                              <w:b/>
                              <w:bCs/>
                              <w:i/>
                              <w:iCs/>
                              <w:color w:val="6DB14A"/>
                              <w:spacing w:val="0"/>
                              <w:w w:val="100"/>
                              <w:position w:val="0"/>
                              <w:sz w:val="18"/>
                              <w:szCs w:val="18"/>
                            </w:rPr>
                            <w:t>、、</w:t>
                          </w:r>
                          <w:r>
                            <w:rPr>
                              <w:b/>
                              <w:bCs/>
                              <w:color w:val="6DB14A"/>
                              <w:spacing w:val="0"/>
                              <w:w w:val="100"/>
                              <w:position w:val="0"/>
                            </w:rPr>
                            <w:t>一^</w:t>
                          </w:r>
                          <w:r>
                            <w:rPr>
                              <w:b/>
                              <w:bCs/>
                              <w:color w:val="5199CB"/>
                              <w:spacing w:val="0"/>
                              <w:w w:val="100"/>
                              <w:position w:val="0"/>
                            </w:rPr>
                            <w:t>神州泰岳</w:t>
                          </w:r>
                        </w:p>
                      </w:txbxContent>
                    </wps:txbx>
                    <wps:bodyPr wrap="none" lIns="0" tIns="0" rIns="0" bIns="0">
                      <a:spAutoFit/>
                    </wps:bodyPr>
                  </wps:wsp>
                </a:graphicData>
              </a:graphic>
            </wp:anchor>
          </w:drawing>
        </mc:Choice>
        <mc:Fallback>
          <w:pict>
            <v:shape id="_x0000_s1793" type="#_x0000_t202" style="position:absolute;margin-left:56.649999999999999pt;margin-top:55.5pt;width:79.700000000000003pt;height:22.300000000000001pt;z-index:-188743593;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204"/>
                      <w:keepNext w:val="0"/>
                      <w:keepLines w:val="0"/>
                      <w:widowControl w:val="0"/>
                      <w:shd w:val="clear" w:color="auto" w:fill="auto"/>
                      <w:bidi w:val="0"/>
                      <w:spacing w:before="0" w:after="0" w:line="240" w:lineRule="auto"/>
                      <w:ind w:left="0" w:right="0" w:firstLine="0"/>
                      <w:jc w:val="left"/>
                    </w:pPr>
                    <w:r>
                      <w:rPr>
                        <w:b/>
                        <w:bCs/>
                        <w:i/>
                        <w:iCs/>
                        <w:color w:val="6DB14A"/>
                        <w:spacing w:val="0"/>
                        <w:w w:val="100"/>
                        <w:position w:val="0"/>
                        <w:sz w:val="18"/>
                        <w:szCs w:val="18"/>
                      </w:rPr>
                      <w:t>、、</w:t>
                    </w:r>
                    <w:r>
                      <w:rPr>
                        <w:b/>
                        <w:bCs/>
                        <w:color w:val="6DB14A"/>
                        <w:spacing w:val="0"/>
                        <w:w w:val="100"/>
                        <w:position w:val="0"/>
                      </w:rPr>
                      <w:t>一^</w:t>
                    </w:r>
                    <w:r>
                      <w:rPr>
                        <w:b/>
                        <w:bCs/>
                        <w:color w:val="5199CB"/>
                        <w:spacing w:val="0"/>
                        <w:w w:val="100"/>
                        <w:position w:val="0"/>
                      </w:rPr>
                      <w:t>神州泰岳</w:t>
                    </w:r>
                  </w:p>
                </w:txbxContent>
              </v:textbox>
              <w10:wrap anchorx="page" anchory="page"/>
            </v:shape>
          </w:pict>
        </mc:Fallback>
      </mc:AlternateContent>
    </w:r>
    <w:r>
      <mc:AlternateContent>
        <mc:Choice Requires="wps">
          <w:drawing>
            <wp:anchor distT="0" distB="0" distL="0" distR="0" simplePos="0" relativeHeight="62915162" behindDoc="1" locked="0" layoutInCell="1" allowOverlap="1">
              <wp:simplePos x="0" y="0"/>
              <wp:positionH relativeFrom="page">
                <wp:posOffset>4142105</wp:posOffset>
              </wp:positionH>
              <wp:positionV relativeFrom="page">
                <wp:posOffset>893445</wp:posOffset>
              </wp:positionV>
              <wp:extent cx="2673350" cy="106680"/>
              <wp:wrapNone/>
              <wp:docPr id="769" name="Shape 769"/>
              <a:graphic xmlns:a="http://schemas.openxmlformats.org/drawingml/2006/main">
                <a:graphicData uri="http://schemas.microsoft.com/office/word/2010/wordprocessingShape">
                  <wps:wsp>
                    <wps:cNvSpPr txBox="1"/>
                    <wps:spPr>
                      <a:xfrm>
                        <a:ext cx="2673350" cy="10668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795" type="#_x0000_t202" style="position:absolute;margin-left:326.15000000000003pt;margin-top:70.350000000000009pt;width:210.5pt;height:8.4000000000000004pt;z-index:-188743591;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701040</wp:posOffset>
              </wp:positionH>
              <wp:positionV relativeFrom="page">
                <wp:posOffset>1057910</wp:posOffset>
              </wp:positionV>
              <wp:extent cx="6160135" cy="0"/>
              <wp:wrapNone/>
              <wp:docPr id="771" name="Shape 771"/>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5.200000000000003pt;margin-top:83.299999999999997pt;width:485.05000000000001pt;height:0;z-index:-251658240;mso-position-horizontal-relative:page;mso-position-vertical-relative:page">
              <v:stroke weight="1.pt"/>
            </v:shape>
          </w:pict>
        </mc:Fallback>
      </mc:AlternateContent>
    </w:r>
  </w:p>
</w:hdr>
</file>

<file path=word/header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6" behindDoc="1" locked="0" layoutInCell="1" allowOverlap="1">
              <wp:simplePos x="0" y="0"/>
              <wp:positionH relativeFrom="page">
                <wp:posOffset>719455</wp:posOffset>
              </wp:positionH>
              <wp:positionV relativeFrom="page">
                <wp:posOffset>706755</wp:posOffset>
              </wp:positionV>
              <wp:extent cx="1012190" cy="283210"/>
              <wp:wrapNone/>
              <wp:docPr id="148" name="Shape 148"/>
              <a:graphic xmlns:a="http://schemas.openxmlformats.org/drawingml/2006/main">
                <a:graphicData uri="http://schemas.microsoft.com/office/word/2010/wordprocessingShape">
                  <wps:wsp>
                    <wps:cNvSpPr txBox="1"/>
                    <wps:spPr>
                      <a:xfrm>
                        <a:ext cx="1012190" cy="283210"/>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b/>
                              <w:bCs/>
                              <w:i/>
                              <w:iCs/>
                              <w:color w:val="6DB14A"/>
                              <w:spacing w:val="0"/>
                              <w:w w:val="100"/>
                              <w:position w:val="0"/>
                              <w:sz w:val="18"/>
                              <w:szCs w:val="18"/>
                            </w:rPr>
                            <w:t>、</w:t>
                          </w:r>
                          <w:r>
                            <w:rPr>
                              <w:rFonts w:ascii="SimSun" w:eastAsia="SimSun" w:hAnsi="SimSun" w:cs="SimSun"/>
                              <w:b/>
                              <w:bCs/>
                              <w:color w:val="6DB14A"/>
                              <w:spacing w:val="0"/>
                              <w:w w:val="100"/>
                              <w:position w:val="0"/>
                              <w:sz w:val="17"/>
                              <w:szCs w:val="17"/>
                            </w:rPr>
                            <w:t>一^/</w:t>
                          </w:r>
                          <w:r>
                            <w:rPr>
                              <w:rFonts w:ascii="SimSun" w:eastAsia="SimSun" w:hAnsi="SimSun" w:cs="SimSun"/>
                              <w:b/>
                              <w:bCs/>
                              <w:color w:val="5199CB"/>
                              <w:spacing w:val="0"/>
                              <w:w w:val="100"/>
                              <w:position w:val="0"/>
                              <w:sz w:val="17"/>
                              <w:szCs w:val="17"/>
                            </w:rPr>
                            <w:t>神州泰岳</w:t>
                          </w:r>
                        </w:p>
                      </w:txbxContent>
                    </wps:txbx>
                    <wps:bodyPr wrap="none" lIns="0" tIns="0" rIns="0" bIns="0">
                      <a:spAutoFit/>
                    </wps:bodyPr>
                  </wps:wsp>
                </a:graphicData>
              </a:graphic>
            </wp:anchor>
          </w:drawing>
        </mc:Choice>
        <mc:Fallback>
          <w:pict>
            <v:shape id="_x0000_s1174" type="#_x0000_t202" style="position:absolute;margin-left:56.649999999999999pt;margin-top:55.649999999999999pt;width:79.700000000000003pt;height:22.300000000000001pt;z-index:-188744017;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b/>
                        <w:bCs/>
                        <w:i/>
                        <w:iCs/>
                        <w:color w:val="6DB14A"/>
                        <w:spacing w:val="0"/>
                        <w:w w:val="100"/>
                        <w:position w:val="0"/>
                        <w:sz w:val="18"/>
                        <w:szCs w:val="18"/>
                      </w:rPr>
                      <w:t>、</w:t>
                    </w:r>
                    <w:r>
                      <w:rPr>
                        <w:rFonts w:ascii="SimSun" w:eastAsia="SimSun" w:hAnsi="SimSun" w:cs="SimSun"/>
                        <w:b/>
                        <w:bCs/>
                        <w:color w:val="6DB14A"/>
                        <w:spacing w:val="0"/>
                        <w:w w:val="100"/>
                        <w:position w:val="0"/>
                        <w:sz w:val="17"/>
                        <w:szCs w:val="17"/>
                      </w:rPr>
                      <w:t>一^/</w:t>
                    </w:r>
                    <w:r>
                      <w:rPr>
                        <w:rFonts w:ascii="SimSun" w:eastAsia="SimSun" w:hAnsi="SimSun" w:cs="SimSun"/>
                        <w:b/>
                        <w:bCs/>
                        <w:color w:val="5199CB"/>
                        <w:spacing w:val="0"/>
                        <w:w w:val="100"/>
                        <w:position w:val="0"/>
                        <w:sz w:val="17"/>
                        <w:szCs w:val="17"/>
                      </w:rPr>
                      <w:t>神州泰岳</w:t>
                    </w:r>
                  </w:p>
                </w:txbxContent>
              </v:textbox>
              <w10:wrap anchorx="page" anchory="page"/>
            </v:shape>
          </w:pict>
        </mc:Fallback>
      </mc:AlternateContent>
    </w:r>
    <w:r>
      <mc:AlternateContent>
        <mc:Choice Requires="wps">
          <w:drawing>
            <wp:anchor distT="0" distB="0" distL="0" distR="0" simplePos="0" relativeHeight="62914738" behindDoc="1" locked="0" layoutInCell="1" allowOverlap="1">
              <wp:simplePos x="0" y="0"/>
              <wp:positionH relativeFrom="page">
                <wp:posOffset>4142105</wp:posOffset>
              </wp:positionH>
              <wp:positionV relativeFrom="page">
                <wp:posOffset>895985</wp:posOffset>
              </wp:positionV>
              <wp:extent cx="2673350" cy="106680"/>
              <wp:wrapNone/>
              <wp:docPr id="150" name="Shape 150"/>
              <a:graphic xmlns:a="http://schemas.openxmlformats.org/drawingml/2006/main">
                <a:graphicData uri="http://schemas.microsoft.com/office/word/2010/wordprocessingShape">
                  <wps:wsp>
                    <wps:cNvSpPr txBox="1"/>
                    <wps:spPr>
                      <a:xfrm>
                        <a:ext cx="2673350" cy="106680"/>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北京神州泰岳软件股份有限公司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176" type="#_x0000_t202" style="position:absolute;margin-left:326.15000000000003pt;margin-top:70.549999999999997pt;width:210.5pt;height:8.4000000000000004pt;z-index:-188744015;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北京神州泰岳软件股份有限公司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701040</wp:posOffset>
              </wp:positionH>
              <wp:positionV relativeFrom="page">
                <wp:posOffset>1044575</wp:posOffset>
              </wp:positionV>
              <wp:extent cx="6160135" cy="0"/>
              <wp:wrapNone/>
              <wp:docPr id="152" name="Shape 152"/>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5.200000000000003pt;margin-top:82.25pt;width:485.05000000000001pt;height:0;z-index:-251658240;mso-position-horizontal-relative:page;mso-position-vertical-relative:page">
              <v:stroke weight="1.pt"/>
            </v:shape>
          </w:pict>
        </mc:Fallback>
      </mc:AlternateContent>
    </w:r>
  </w:p>
</w:hdr>
</file>

<file path=word/header1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6" behindDoc="1" locked="0" layoutInCell="1" allowOverlap="1">
              <wp:simplePos x="0" y="0"/>
              <wp:positionH relativeFrom="page">
                <wp:posOffset>678815</wp:posOffset>
              </wp:positionH>
              <wp:positionV relativeFrom="page">
                <wp:posOffset>704215</wp:posOffset>
              </wp:positionV>
              <wp:extent cx="6096000" cy="295910"/>
              <wp:wrapNone/>
              <wp:docPr id="774" name="Shape 774"/>
              <a:graphic xmlns:a="http://schemas.openxmlformats.org/drawingml/2006/main">
                <a:graphicData uri="http://schemas.microsoft.com/office/word/2010/wordprocessingShape">
                  <wps:wsp>
                    <wps:cNvSpPr txBox="1"/>
                    <wps:spPr>
                      <a:xfrm>
                        <a:ext cx="6096000" cy="2959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800" type="#_x0000_t202" style="position:absolute;margin-left:53.450000000000003pt;margin-top:55.450000000000003pt;width:480.pt;height:23.300000000000001pt;z-index:-188743587;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660400</wp:posOffset>
              </wp:positionH>
              <wp:positionV relativeFrom="page">
                <wp:posOffset>1042670</wp:posOffset>
              </wp:positionV>
              <wp:extent cx="6160135" cy="0"/>
              <wp:wrapNone/>
              <wp:docPr id="776" name="Shape 776"/>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2.pt;margin-top:82.100000000000009pt;width:485.05000000000001pt;height:0;z-index:-251658240;mso-position-horizontal-relative:page;mso-position-vertical-relative:page">
              <v:stroke weight="1.pt"/>
            </v:shape>
          </w:pict>
        </mc:Fallback>
      </mc:AlternateContent>
    </w:r>
  </w:p>
</w:hdr>
</file>

<file path=word/header1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2" behindDoc="1" locked="0" layoutInCell="1" allowOverlap="1">
              <wp:simplePos x="0" y="0"/>
              <wp:positionH relativeFrom="page">
                <wp:posOffset>730250</wp:posOffset>
              </wp:positionH>
              <wp:positionV relativeFrom="page">
                <wp:posOffset>693420</wp:posOffset>
              </wp:positionV>
              <wp:extent cx="6096000" cy="295910"/>
              <wp:wrapNone/>
              <wp:docPr id="781" name="Shape 781"/>
              <a:graphic xmlns:a="http://schemas.openxmlformats.org/drawingml/2006/main">
                <a:graphicData uri="http://schemas.microsoft.com/office/word/2010/wordprocessingShape">
                  <wps:wsp>
                    <wps:cNvSpPr txBox="1"/>
                    <wps:spPr>
                      <a:xfrm>
                        <a:ext cx="6096000" cy="2959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tabs>
                              <w:tab w:pos="8707" w:val="right"/>
                            </w:tabs>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1F84C4"/>
                              <w:spacing w:val="0"/>
                              <w:w w:val="100"/>
                              <w:position w:val="0"/>
                            </w:rPr>
                            <w:t>•，</w:t>
                            <w:tab/>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lIns="0" tIns="0" rIns="0" bIns="0">
                      <a:spAutoFit/>
                    </wps:bodyPr>
                  </wps:wsp>
                </a:graphicData>
              </a:graphic>
            </wp:anchor>
          </w:drawing>
        </mc:Choice>
        <mc:Fallback>
          <w:pict>
            <v:shape id="_x0000_s1807" type="#_x0000_t202" style="position:absolute;margin-left:57.5pt;margin-top:54.600000000000001pt;width:480.pt;height:23.300000000000001pt;z-index:-188743581;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tabs>
                        <w:tab w:pos="8707" w:val="right"/>
                      </w:tabs>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1F84C4"/>
                        <w:spacing w:val="0"/>
                        <w:w w:val="100"/>
                        <w:position w:val="0"/>
                      </w:rPr>
                      <w:t>•，</w:t>
                      <w:tab/>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712470</wp:posOffset>
              </wp:positionH>
              <wp:positionV relativeFrom="page">
                <wp:posOffset>1042670</wp:posOffset>
              </wp:positionV>
              <wp:extent cx="6160135" cy="0"/>
              <wp:wrapNone/>
              <wp:docPr id="783" name="Shape 783"/>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6.100000000000001pt;margin-top:82.100000000000009pt;width:485.05000000000001pt;height:0;z-index:-251658240;mso-position-horizontal-relative:page;mso-position-vertical-relative:page">
              <v:stroke weight="1.pt"/>
            </v:shape>
          </w:pict>
        </mc:Fallback>
      </mc:AlternateContent>
    </w:r>
  </w:p>
</w:hdr>
</file>

<file path=word/header1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6" behindDoc="1" locked="0" layoutInCell="1" allowOverlap="1">
              <wp:simplePos x="0" y="0"/>
              <wp:positionH relativeFrom="page">
                <wp:posOffset>730250</wp:posOffset>
              </wp:positionH>
              <wp:positionV relativeFrom="page">
                <wp:posOffset>693420</wp:posOffset>
              </wp:positionV>
              <wp:extent cx="6096000" cy="295910"/>
              <wp:wrapNone/>
              <wp:docPr id="786" name="Shape 786"/>
              <a:graphic xmlns:a="http://schemas.openxmlformats.org/drawingml/2006/main">
                <a:graphicData uri="http://schemas.microsoft.com/office/word/2010/wordprocessingShape">
                  <wps:wsp>
                    <wps:cNvSpPr txBox="1"/>
                    <wps:spPr>
                      <a:xfrm>
                        <a:ext cx="6096000" cy="2959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tabs>
                              <w:tab w:pos="8707" w:val="right"/>
                            </w:tabs>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1F84C4"/>
                              <w:spacing w:val="0"/>
                              <w:w w:val="100"/>
                              <w:position w:val="0"/>
                            </w:rPr>
                            <w:t>•，</w:t>
                            <w:tab/>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lIns="0" tIns="0" rIns="0" bIns="0">
                      <a:spAutoFit/>
                    </wps:bodyPr>
                  </wps:wsp>
                </a:graphicData>
              </a:graphic>
            </wp:anchor>
          </w:drawing>
        </mc:Choice>
        <mc:Fallback>
          <w:pict>
            <v:shape id="_x0000_s1812" type="#_x0000_t202" style="position:absolute;margin-left:57.5pt;margin-top:54.600000000000001pt;width:480.pt;height:23.300000000000001pt;z-index:-188743577;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tabs>
                        <w:tab w:pos="8707" w:val="right"/>
                      </w:tabs>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1F84C4"/>
                        <w:spacing w:val="0"/>
                        <w:w w:val="100"/>
                        <w:position w:val="0"/>
                      </w:rPr>
                      <w:t>•，</w:t>
                      <w:tab/>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712470</wp:posOffset>
              </wp:positionH>
              <wp:positionV relativeFrom="page">
                <wp:posOffset>1042670</wp:posOffset>
              </wp:positionV>
              <wp:extent cx="6160135" cy="0"/>
              <wp:wrapNone/>
              <wp:docPr id="788" name="Shape 788"/>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6.100000000000001pt;margin-top:82.100000000000009pt;width:485.05000000000001pt;height:0;z-index:-251658240;mso-position-horizontal-relative:page;mso-position-vertical-relative:page">
              <v:stroke weight="1.pt"/>
            </v:shape>
          </w:pict>
        </mc:Fallback>
      </mc:AlternateContent>
    </w:r>
  </w:p>
</w:hdr>
</file>

<file path=word/header1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0" behindDoc="1" locked="0" layoutInCell="1" allowOverlap="1">
              <wp:simplePos x="0" y="0"/>
              <wp:positionH relativeFrom="page">
                <wp:posOffset>730250</wp:posOffset>
              </wp:positionH>
              <wp:positionV relativeFrom="page">
                <wp:posOffset>693420</wp:posOffset>
              </wp:positionV>
              <wp:extent cx="6096000" cy="295910"/>
              <wp:wrapNone/>
              <wp:docPr id="791" name="Shape 791"/>
              <a:graphic xmlns:a="http://schemas.openxmlformats.org/drawingml/2006/main">
                <a:graphicData uri="http://schemas.microsoft.com/office/word/2010/wordprocessingShape">
                  <wps:wsp>
                    <wps:cNvSpPr txBox="1"/>
                    <wps:spPr>
                      <a:xfrm>
                        <a:ext cx="6096000" cy="2959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tabs>
                              <w:tab w:pos="8707" w:val="right"/>
                            </w:tabs>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1F84C4"/>
                              <w:spacing w:val="0"/>
                              <w:w w:val="100"/>
                              <w:position w:val="0"/>
                            </w:rPr>
                            <w:t>•，</w:t>
                            <w:tab/>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lIns="0" tIns="0" rIns="0" bIns="0">
                      <a:spAutoFit/>
                    </wps:bodyPr>
                  </wps:wsp>
                </a:graphicData>
              </a:graphic>
            </wp:anchor>
          </w:drawing>
        </mc:Choice>
        <mc:Fallback>
          <w:pict>
            <v:shape id="_x0000_s1817" type="#_x0000_t202" style="position:absolute;margin-left:57.5pt;margin-top:54.600000000000001pt;width:480.pt;height:23.300000000000001pt;z-index:-188743573;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tabs>
                        <w:tab w:pos="8707" w:val="right"/>
                      </w:tabs>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1F84C4"/>
                        <w:spacing w:val="0"/>
                        <w:w w:val="100"/>
                        <w:position w:val="0"/>
                      </w:rPr>
                      <w:t>•，</w:t>
                      <w:tab/>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712470</wp:posOffset>
              </wp:positionH>
              <wp:positionV relativeFrom="page">
                <wp:posOffset>1042670</wp:posOffset>
              </wp:positionV>
              <wp:extent cx="6160135" cy="0"/>
              <wp:wrapNone/>
              <wp:docPr id="793" name="Shape 793"/>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6.100000000000001pt;margin-top:82.100000000000009pt;width:485.05000000000001pt;height:0;z-index:-251658240;mso-position-horizontal-relative:page;mso-position-vertical-relative:page">
              <v:stroke weight="1.pt"/>
            </v:shape>
          </w:pict>
        </mc:Fallback>
      </mc:AlternateContent>
    </w:r>
  </w:p>
</w:hdr>
</file>

<file path=word/header1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8" behindDoc="1" locked="0" layoutInCell="1" allowOverlap="1">
              <wp:simplePos x="0" y="0"/>
              <wp:positionH relativeFrom="page">
                <wp:posOffset>678815</wp:posOffset>
              </wp:positionH>
              <wp:positionV relativeFrom="page">
                <wp:posOffset>704215</wp:posOffset>
              </wp:positionV>
              <wp:extent cx="6096000" cy="295910"/>
              <wp:wrapNone/>
              <wp:docPr id="800" name="Shape 800"/>
              <a:graphic xmlns:a="http://schemas.openxmlformats.org/drawingml/2006/main">
                <a:graphicData uri="http://schemas.microsoft.com/office/word/2010/wordprocessingShape">
                  <wps:wsp>
                    <wps:cNvSpPr txBox="1"/>
                    <wps:spPr>
                      <a:xfrm>
                        <a:ext cx="6096000" cy="2959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826" type="#_x0000_t202" style="position:absolute;margin-left:53.450000000000003pt;margin-top:55.450000000000003pt;width:480.pt;height:23.300000000000001pt;z-index:-188743565;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660400</wp:posOffset>
              </wp:positionH>
              <wp:positionV relativeFrom="page">
                <wp:posOffset>1042670</wp:posOffset>
              </wp:positionV>
              <wp:extent cx="6160135" cy="0"/>
              <wp:wrapNone/>
              <wp:docPr id="802" name="Shape 802"/>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2.pt;margin-top:82.100000000000009pt;width:485.05000000000001pt;height:0;z-index:-251658240;mso-position-horizontal-relative:page;mso-position-vertical-relative:page">
              <v:stroke weight="1.pt"/>
            </v:shape>
          </w:pict>
        </mc:Fallback>
      </mc:AlternateContent>
    </w:r>
  </w:p>
</w:hdr>
</file>

<file path=word/header1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2" behindDoc="1" locked="0" layoutInCell="1" allowOverlap="1">
              <wp:simplePos x="0" y="0"/>
              <wp:positionH relativeFrom="page">
                <wp:posOffset>678815</wp:posOffset>
              </wp:positionH>
              <wp:positionV relativeFrom="page">
                <wp:posOffset>704215</wp:posOffset>
              </wp:positionV>
              <wp:extent cx="6096000" cy="295910"/>
              <wp:wrapNone/>
              <wp:docPr id="805" name="Shape 805"/>
              <a:graphic xmlns:a="http://schemas.openxmlformats.org/drawingml/2006/main">
                <a:graphicData uri="http://schemas.microsoft.com/office/word/2010/wordprocessingShape">
                  <wps:wsp>
                    <wps:cNvSpPr txBox="1"/>
                    <wps:spPr>
                      <a:xfrm>
                        <a:ext cx="6096000" cy="2959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831" type="#_x0000_t202" style="position:absolute;margin-left:53.450000000000003pt;margin-top:55.450000000000003pt;width:480.pt;height:23.300000000000001pt;z-index:-188743561;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660400</wp:posOffset>
              </wp:positionH>
              <wp:positionV relativeFrom="page">
                <wp:posOffset>1042670</wp:posOffset>
              </wp:positionV>
              <wp:extent cx="6160135" cy="0"/>
              <wp:wrapNone/>
              <wp:docPr id="807" name="Shape 807"/>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2.pt;margin-top:82.100000000000009pt;width:485.05000000000001pt;height:0;z-index:-251658240;mso-position-horizontal-relative:page;mso-position-vertical-relative:page">
              <v:stroke weight="1.pt"/>
            </v:shape>
          </w:pict>
        </mc:Fallback>
      </mc:AlternateContent>
    </w:r>
  </w:p>
</w:hdr>
</file>

<file path=word/header1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0" behindDoc="1" locked="0" layoutInCell="1" allowOverlap="1">
              <wp:simplePos x="0" y="0"/>
              <wp:positionH relativeFrom="page">
                <wp:posOffset>678815</wp:posOffset>
              </wp:positionH>
              <wp:positionV relativeFrom="page">
                <wp:posOffset>704215</wp:posOffset>
              </wp:positionV>
              <wp:extent cx="6096000" cy="295910"/>
              <wp:wrapNone/>
              <wp:docPr id="818" name="Shape 818"/>
              <a:graphic xmlns:a="http://schemas.openxmlformats.org/drawingml/2006/main">
                <a:graphicData uri="http://schemas.microsoft.com/office/word/2010/wordprocessingShape">
                  <wps:wsp>
                    <wps:cNvSpPr txBox="1"/>
                    <wps:spPr>
                      <a:xfrm>
                        <a:ext cx="6096000" cy="2959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844" type="#_x0000_t202" style="position:absolute;margin-left:53.450000000000003pt;margin-top:55.450000000000003pt;width:480.pt;height:23.300000000000001pt;z-index:-188743553;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660400</wp:posOffset>
              </wp:positionH>
              <wp:positionV relativeFrom="page">
                <wp:posOffset>1042670</wp:posOffset>
              </wp:positionV>
              <wp:extent cx="6160135" cy="0"/>
              <wp:wrapNone/>
              <wp:docPr id="820" name="Shape 820"/>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2.pt;margin-top:82.100000000000009pt;width:485.05000000000001pt;height:0;z-index:-251658240;mso-position-horizontal-relative:page;mso-position-vertical-relative:page">
              <v:stroke weight="1.pt"/>
            </v:shape>
          </w:pict>
        </mc:Fallback>
      </mc:AlternateContent>
    </w:r>
  </w:p>
</w:hdr>
</file>

<file path=word/header1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4" behindDoc="1" locked="0" layoutInCell="1" allowOverlap="1">
              <wp:simplePos x="0" y="0"/>
              <wp:positionH relativeFrom="page">
                <wp:posOffset>678815</wp:posOffset>
              </wp:positionH>
              <wp:positionV relativeFrom="page">
                <wp:posOffset>704215</wp:posOffset>
              </wp:positionV>
              <wp:extent cx="6096000" cy="295910"/>
              <wp:wrapNone/>
              <wp:docPr id="823" name="Shape 823"/>
              <a:graphic xmlns:a="http://schemas.openxmlformats.org/drawingml/2006/main">
                <a:graphicData uri="http://schemas.microsoft.com/office/word/2010/wordprocessingShape">
                  <wps:wsp>
                    <wps:cNvSpPr txBox="1"/>
                    <wps:spPr>
                      <a:xfrm>
                        <a:ext cx="6096000" cy="2959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849" type="#_x0000_t202" style="position:absolute;margin-left:53.450000000000003pt;margin-top:55.450000000000003pt;width:480.pt;height:23.300000000000001pt;z-index:-188743549;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660400</wp:posOffset>
              </wp:positionH>
              <wp:positionV relativeFrom="page">
                <wp:posOffset>1042670</wp:posOffset>
              </wp:positionV>
              <wp:extent cx="6160135" cy="0"/>
              <wp:wrapNone/>
              <wp:docPr id="825" name="Shape 825"/>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2.pt;margin-top:82.100000000000009pt;width:485.05000000000001pt;height:0;z-index:-251658240;mso-position-horizontal-relative:page;mso-position-vertical-relative:page">
              <v:stroke weight="1.pt"/>
            </v:shape>
          </w:pict>
        </mc:Fallback>
      </mc:AlternateContent>
    </w:r>
  </w:p>
</w:hdr>
</file>

<file path=word/header1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2" behindDoc="1" locked="0" layoutInCell="1" allowOverlap="1">
              <wp:simplePos x="0" y="0"/>
              <wp:positionH relativeFrom="page">
                <wp:posOffset>719455</wp:posOffset>
              </wp:positionH>
              <wp:positionV relativeFrom="page">
                <wp:posOffset>706755</wp:posOffset>
              </wp:positionV>
              <wp:extent cx="6096000" cy="295910"/>
              <wp:wrapNone/>
              <wp:docPr id="832" name="Shape 832"/>
              <a:graphic xmlns:a="http://schemas.openxmlformats.org/drawingml/2006/main">
                <a:graphicData uri="http://schemas.microsoft.com/office/word/2010/wordprocessingShape">
                  <wps:wsp>
                    <wps:cNvSpPr txBox="1"/>
                    <wps:spPr>
                      <a:xfrm>
                        <a:ext cx="6096000" cy="2959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tabs>
                              <w:tab w:pos="8707" w:val="right"/>
                            </w:tabs>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1F84C4"/>
                              <w:spacing w:val="0"/>
                              <w:w w:val="100"/>
                              <w:position w:val="0"/>
                            </w:rPr>
                            <w:t>•，</w:t>
                            <w:tab/>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lIns="0" tIns="0" rIns="0" bIns="0">
                      <a:spAutoFit/>
                    </wps:bodyPr>
                  </wps:wsp>
                </a:graphicData>
              </a:graphic>
            </wp:anchor>
          </w:drawing>
        </mc:Choice>
        <mc:Fallback>
          <w:pict>
            <v:shape id="_x0000_s1858" type="#_x0000_t202" style="position:absolute;margin-left:56.649999999999999pt;margin-top:55.649999999999999pt;width:480.pt;height:23.300000000000001pt;z-index:-188743541;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tabs>
                        <w:tab w:pos="8707" w:val="right"/>
                      </w:tabs>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1F84C4"/>
                        <w:spacing w:val="0"/>
                        <w:w w:val="100"/>
                        <w:position w:val="0"/>
                      </w:rPr>
                      <w:t>•，</w:t>
                      <w:tab/>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p>
</w:hdr>
</file>

<file path=word/header1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6" behindDoc="1" locked="0" layoutInCell="1" allowOverlap="1">
              <wp:simplePos x="0" y="0"/>
              <wp:positionH relativeFrom="page">
                <wp:posOffset>719455</wp:posOffset>
              </wp:positionH>
              <wp:positionV relativeFrom="page">
                <wp:posOffset>706755</wp:posOffset>
              </wp:positionV>
              <wp:extent cx="6096000" cy="295910"/>
              <wp:wrapNone/>
              <wp:docPr id="836" name="Shape 836"/>
              <a:graphic xmlns:a="http://schemas.openxmlformats.org/drawingml/2006/main">
                <a:graphicData uri="http://schemas.microsoft.com/office/word/2010/wordprocessingShape">
                  <wps:wsp>
                    <wps:cNvSpPr txBox="1"/>
                    <wps:spPr>
                      <a:xfrm>
                        <a:ext cx="6096000" cy="2959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tabs>
                              <w:tab w:pos="8707" w:val="right"/>
                            </w:tabs>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1F84C4"/>
                              <w:spacing w:val="0"/>
                              <w:w w:val="100"/>
                              <w:position w:val="0"/>
                            </w:rPr>
                            <w:t>•，</w:t>
                            <w:tab/>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lIns="0" tIns="0" rIns="0" bIns="0">
                      <a:spAutoFit/>
                    </wps:bodyPr>
                  </wps:wsp>
                </a:graphicData>
              </a:graphic>
            </wp:anchor>
          </w:drawing>
        </mc:Choice>
        <mc:Fallback>
          <w:pict>
            <v:shape id="_x0000_s1862" type="#_x0000_t202" style="position:absolute;margin-left:56.649999999999999pt;margin-top:55.649999999999999pt;width:480.pt;height:23.300000000000001pt;z-index:-188743537;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tabs>
                        <w:tab w:pos="8707" w:val="right"/>
                      </w:tabs>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1F84C4"/>
                        <w:spacing w:val="0"/>
                        <w:w w:val="100"/>
                        <w:position w:val="0"/>
                      </w:rPr>
                      <w:t>•，</w:t>
                      <w:tab/>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p>
</w:hdr>
</file>

<file path=word/header1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4" behindDoc="1" locked="0" layoutInCell="1" allowOverlap="1">
              <wp:simplePos x="0" y="0"/>
              <wp:positionH relativeFrom="page">
                <wp:posOffset>678815</wp:posOffset>
              </wp:positionH>
              <wp:positionV relativeFrom="page">
                <wp:posOffset>704215</wp:posOffset>
              </wp:positionV>
              <wp:extent cx="6096000" cy="295910"/>
              <wp:wrapNone/>
              <wp:docPr id="844" name="Shape 844"/>
              <a:graphic xmlns:a="http://schemas.openxmlformats.org/drawingml/2006/main">
                <a:graphicData uri="http://schemas.microsoft.com/office/word/2010/wordprocessingShape">
                  <wps:wsp>
                    <wps:cNvSpPr txBox="1"/>
                    <wps:spPr>
                      <a:xfrm>
                        <a:ext cx="6096000" cy="2959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870" type="#_x0000_t202" style="position:absolute;margin-left:53.450000000000003pt;margin-top:55.450000000000003pt;width:480.pt;height:23.300000000000001pt;z-index:-188743529;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660400</wp:posOffset>
              </wp:positionH>
              <wp:positionV relativeFrom="page">
                <wp:posOffset>1042670</wp:posOffset>
              </wp:positionV>
              <wp:extent cx="6160135" cy="0"/>
              <wp:wrapNone/>
              <wp:docPr id="846" name="Shape 846"/>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2.pt;margin-top:82.100000000000009pt;width:485.05000000000001pt;height:0;z-index:-251658240;mso-position-horizontal-relative:page;mso-position-vertical-relative:page">
              <v:stroke weight="1.pt"/>
            </v:shape>
          </w:pict>
        </mc:Fallback>
      </mc:AlternateContent>
    </w:r>
  </w:p>
</w:hdr>
</file>

<file path=word/header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8" behindDoc="1" locked="0" layoutInCell="1" allowOverlap="1">
              <wp:simplePos x="0" y="0"/>
              <wp:positionH relativeFrom="page">
                <wp:posOffset>678815</wp:posOffset>
              </wp:positionH>
              <wp:positionV relativeFrom="page">
                <wp:posOffset>704215</wp:posOffset>
              </wp:positionV>
              <wp:extent cx="6096000" cy="295910"/>
              <wp:wrapNone/>
              <wp:docPr id="849" name="Shape 849"/>
              <a:graphic xmlns:a="http://schemas.openxmlformats.org/drawingml/2006/main">
                <a:graphicData uri="http://schemas.microsoft.com/office/word/2010/wordprocessingShape">
                  <wps:wsp>
                    <wps:cNvSpPr txBox="1"/>
                    <wps:spPr>
                      <a:xfrm>
                        <a:ext cx="6096000" cy="2959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875" type="#_x0000_t202" style="position:absolute;margin-left:53.450000000000003pt;margin-top:55.450000000000003pt;width:480.pt;height:23.300000000000001pt;z-index:-188743525;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660400</wp:posOffset>
              </wp:positionH>
              <wp:positionV relativeFrom="page">
                <wp:posOffset>1042670</wp:posOffset>
              </wp:positionV>
              <wp:extent cx="6160135" cy="0"/>
              <wp:wrapNone/>
              <wp:docPr id="851" name="Shape 851"/>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2.pt;margin-top:82.100000000000009pt;width:485.05000000000001pt;height:0;z-index:-251658240;mso-position-horizontal-relative:page;mso-position-vertical-relative:page">
              <v:stroke weight="1.pt"/>
            </v:shape>
          </w:pict>
        </mc:Fallback>
      </mc:AlternateContent>
    </w:r>
  </w:p>
</w:hdr>
</file>

<file path=word/header1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36" behindDoc="1" locked="0" layoutInCell="1" allowOverlap="1">
              <wp:simplePos x="0" y="0"/>
              <wp:positionH relativeFrom="page">
                <wp:posOffset>678815</wp:posOffset>
              </wp:positionH>
              <wp:positionV relativeFrom="page">
                <wp:posOffset>704215</wp:posOffset>
              </wp:positionV>
              <wp:extent cx="6096000" cy="295910"/>
              <wp:wrapNone/>
              <wp:docPr id="858" name="Shape 858"/>
              <a:graphic xmlns:a="http://schemas.openxmlformats.org/drawingml/2006/main">
                <a:graphicData uri="http://schemas.microsoft.com/office/word/2010/wordprocessingShape">
                  <wps:wsp>
                    <wps:cNvSpPr txBox="1"/>
                    <wps:spPr>
                      <a:xfrm>
                        <a:ext cx="6096000" cy="2959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884" type="#_x0000_t202" style="position:absolute;margin-left:53.450000000000003pt;margin-top:55.450000000000003pt;width:480.pt;height:23.300000000000001pt;z-index:-188743517;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660400</wp:posOffset>
              </wp:positionH>
              <wp:positionV relativeFrom="page">
                <wp:posOffset>1042670</wp:posOffset>
              </wp:positionV>
              <wp:extent cx="6160135" cy="0"/>
              <wp:wrapNone/>
              <wp:docPr id="860" name="Shape 860"/>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2.pt;margin-top:82.100000000000009pt;width:485.05000000000001pt;height:0;z-index:-251658240;mso-position-horizontal-relative:page;mso-position-vertical-relative:page">
              <v:stroke weight="1.pt"/>
            </v:shape>
          </w:pict>
        </mc:Fallback>
      </mc:AlternateContent>
    </w:r>
  </w:p>
</w:hdr>
</file>

<file path=word/header1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0" behindDoc="1" locked="0" layoutInCell="1" allowOverlap="1">
              <wp:simplePos x="0" y="0"/>
              <wp:positionH relativeFrom="page">
                <wp:posOffset>678815</wp:posOffset>
              </wp:positionH>
              <wp:positionV relativeFrom="page">
                <wp:posOffset>704215</wp:posOffset>
              </wp:positionV>
              <wp:extent cx="6096000" cy="295910"/>
              <wp:wrapNone/>
              <wp:docPr id="863" name="Shape 863"/>
              <a:graphic xmlns:a="http://schemas.openxmlformats.org/drawingml/2006/main">
                <a:graphicData uri="http://schemas.microsoft.com/office/word/2010/wordprocessingShape">
                  <wps:wsp>
                    <wps:cNvSpPr txBox="1"/>
                    <wps:spPr>
                      <a:xfrm>
                        <a:ext cx="6096000" cy="2959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889" type="#_x0000_t202" style="position:absolute;margin-left:53.450000000000003pt;margin-top:55.450000000000003pt;width:480.pt;height:23.300000000000001pt;z-index:-188743513;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660400</wp:posOffset>
              </wp:positionH>
              <wp:positionV relativeFrom="page">
                <wp:posOffset>1042670</wp:posOffset>
              </wp:positionV>
              <wp:extent cx="6160135" cy="0"/>
              <wp:wrapNone/>
              <wp:docPr id="865" name="Shape 865"/>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2.pt;margin-top:82.100000000000009pt;width:485.05000000000001pt;height:0;z-index:-251658240;mso-position-horizontal-relative:page;mso-position-vertical-relative:page">
              <v:stroke weight="1.pt"/>
            </v:shape>
          </w:pict>
        </mc:Fallback>
      </mc:AlternateContent>
    </w:r>
  </w:p>
</w:hdr>
</file>

<file path=word/header1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8" behindDoc="1" locked="0" layoutInCell="1" allowOverlap="1">
              <wp:simplePos x="0" y="0"/>
              <wp:positionH relativeFrom="page">
                <wp:posOffset>708660</wp:posOffset>
              </wp:positionH>
              <wp:positionV relativeFrom="page">
                <wp:posOffset>704215</wp:posOffset>
              </wp:positionV>
              <wp:extent cx="6096000" cy="295910"/>
              <wp:wrapNone/>
              <wp:docPr id="872" name="Shape 872"/>
              <a:graphic xmlns:a="http://schemas.openxmlformats.org/drawingml/2006/main">
                <a:graphicData uri="http://schemas.microsoft.com/office/word/2010/wordprocessingShape">
                  <wps:wsp>
                    <wps:cNvSpPr txBox="1"/>
                    <wps:spPr>
                      <a:xfrm>
                        <a:ext cx="6096000" cy="2959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tabs>
                              <w:tab w:pos="8707" w:val="right"/>
                            </w:tabs>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1F84C4"/>
                              <w:spacing w:val="0"/>
                              <w:w w:val="100"/>
                              <w:position w:val="0"/>
                            </w:rPr>
                            <w:t>•，</w:t>
                            <w:tab/>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lIns="0" tIns="0" rIns="0" bIns="0">
                      <a:spAutoFit/>
                    </wps:bodyPr>
                  </wps:wsp>
                </a:graphicData>
              </a:graphic>
            </wp:anchor>
          </w:drawing>
        </mc:Choice>
        <mc:Fallback>
          <w:pict>
            <v:shape id="_x0000_s1898" type="#_x0000_t202" style="position:absolute;margin-left:55.800000000000004pt;margin-top:55.450000000000003pt;width:480.pt;height:23.300000000000001pt;z-index:-188743505;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tabs>
                        <w:tab w:pos="8707" w:val="right"/>
                      </w:tabs>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1F84C4"/>
                        <w:spacing w:val="0"/>
                        <w:w w:val="100"/>
                        <w:position w:val="0"/>
                      </w:rPr>
                      <w:t>•，</w:t>
                      <w:tab/>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690880</wp:posOffset>
              </wp:positionH>
              <wp:positionV relativeFrom="page">
                <wp:posOffset>1042035</wp:posOffset>
              </wp:positionV>
              <wp:extent cx="6160135" cy="0"/>
              <wp:wrapNone/>
              <wp:docPr id="874" name="Shape 874"/>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399999999999999pt;margin-top:82.049999999999997pt;width:485.05000000000001pt;height:0;z-index:-251658240;mso-position-horizontal-relative:page;mso-position-vertical-relative:page">
              <v:stroke weight="1.pt"/>
            </v:shape>
          </w:pict>
        </mc:Fallback>
      </mc:AlternateContent>
    </w:r>
  </w:p>
</w:hdr>
</file>

<file path=word/header1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2" behindDoc="1" locked="0" layoutInCell="1" allowOverlap="1">
              <wp:simplePos x="0" y="0"/>
              <wp:positionH relativeFrom="page">
                <wp:posOffset>678815</wp:posOffset>
              </wp:positionH>
              <wp:positionV relativeFrom="page">
                <wp:posOffset>704215</wp:posOffset>
              </wp:positionV>
              <wp:extent cx="6096000" cy="295910"/>
              <wp:wrapNone/>
              <wp:docPr id="877" name="Shape 877"/>
              <a:graphic xmlns:a="http://schemas.openxmlformats.org/drawingml/2006/main">
                <a:graphicData uri="http://schemas.microsoft.com/office/word/2010/wordprocessingShape">
                  <wps:wsp>
                    <wps:cNvSpPr txBox="1"/>
                    <wps:spPr>
                      <a:xfrm>
                        <a:ext cx="6096000" cy="2959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903" type="#_x0000_t202" style="position:absolute;margin-left:53.450000000000003pt;margin-top:55.450000000000003pt;width:480.pt;height:23.300000000000001pt;z-index:-188743501;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660400</wp:posOffset>
              </wp:positionH>
              <wp:positionV relativeFrom="page">
                <wp:posOffset>1042670</wp:posOffset>
              </wp:positionV>
              <wp:extent cx="6160135" cy="0"/>
              <wp:wrapNone/>
              <wp:docPr id="879" name="Shape 879"/>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2.pt;margin-top:82.100000000000009pt;width:485.05000000000001pt;height:0;z-index:-251658240;mso-position-horizontal-relative:page;mso-position-vertical-relative:page">
              <v:stroke weight="1.pt"/>
            </v:shape>
          </w:pict>
        </mc:Fallback>
      </mc:AlternateContent>
    </w:r>
  </w:p>
</w:hdr>
</file>

<file path=word/header1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6" behindDoc="1" locked="0" layoutInCell="1" allowOverlap="1">
              <wp:simplePos x="0" y="0"/>
              <wp:positionH relativeFrom="page">
                <wp:posOffset>733425</wp:posOffset>
              </wp:positionH>
              <wp:positionV relativeFrom="page">
                <wp:posOffset>704215</wp:posOffset>
              </wp:positionV>
              <wp:extent cx="1012190" cy="283210"/>
              <wp:wrapNone/>
              <wp:docPr id="882" name="Shape 882"/>
              <a:graphic xmlns:a="http://schemas.openxmlformats.org/drawingml/2006/main">
                <a:graphicData uri="http://schemas.microsoft.com/office/word/2010/wordprocessingShape">
                  <wps:wsp>
                    <wps:cNvSpPr txBox="1"/>
                    <wps:spPr>
                      <a:xfrm>
                        <a:ext cx="1012190" cy="2832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204"/>
                            <w:keepNext w:val="0"/>
                            <w:keepLines w:val="0"/>
                            <w:widowControl w:val="0"/>
                            <w:shd w:val="clear" w:color="auto" w:fill="auto"/>
                            <w:bidi w:val="0"/>
                            <w:spacing w:before="0" w:after="0" w:line="240" w:lineRule="auto"/>
                            <w:ind w:left="0" w:right="0" w:firstLine="0"/>
                            <w:jc w:val="left"/>
                          </w:pPr>
                          <w:r>
                            <w:rPr>
                              <w:b/>
                              <w:bCs/>
                              <w:i/>
                              <w:iCs/>
                              <w:color w:val="6DB14A"/>
                              <w:spacing w:val="0"/>
                              <w:w w:val="100"/>
                              <w:position w:val="0"/>
                              <w:sz w:val="18"/>
                              <w:szCs w:val="18"/>
                            </w:rPr>
                            <w:t>、、</w:t>
                          </w:r>
                          <w:r>
                            <w:rPr>
                              <w:b/>
                              <w:bCs/>
                              <w:color w:val="6DB14A"/>
                              <w:spacing w:val="0"/>
                              <w:w w:val="100"/>
                              <w:position w:val="0"/>
                            </w:rPr>
                            <w:t>一^</w:t>
                          </w:r>
                          <w:r>
                            <w:rPr>
                              <w:b/>
                              <w:bCs/>
                              <w:color w:val="5199CB"/>
                              <w:spacing w:val="0"/>
                              <w:w w:val="100"/>
                              <w:position w:val="0"/>
                            </w:rPr>
                            <w:t>神州泰岳</w:t>
                          </w:r>
                        </w:p>
                      </w:txbxContent>
                    </wps:txbx>
                    <wps:bodyPr wrap="none" lIns="0" tIns="0" rIns="0" bIns="0">
                      <a:spAutoFit/>
                    </wps:bodyPr>
                  </wps:wsp>
                </a:graphicData>
              </a:graphic>
            </wp:anchor>
          </w:drawing>
        </mc:Choice>
        <mc:Fallback>
          <w:pict>
            <v:shape id="_x0000_s1908" type="#_x0000_t202" style="position:absolute;margin-left:57.75pt;margin-top:55.450000000000003pt;width:79.700000000000003pt;height:22.300000000000001pt;z-index:-188743497;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204"/>
                      <w:keepNext w:val="0"/>
                      <w:keepLines w:val="0"/>
                      <w:widowControl w:val="0"/>
                      <w:shd w:val="clear" w:color="auto" w:fill="auto"/>
                      <w:bidi w:val="0"/>
                      <w:spacing w:before="0" w:after="0" w:line="240" w:lineRule="auto"/>
                      <w:ind w:left="0" w:right="0" w:firstLine="0"/>
                      <w:jc w:val="left"/>
                    </w:pPr>
                    <w:r>
                      <w:rPr>
                        <w:b/>
                        <w:bCs/>
                        <w:i/>
                        <w:iCs/>
                        <w:color w:val="6DB14A"/>
                        <w:spacing w:val="0"/>
                        <w:w w:val="100"/>
                        <w:position w:val="0"/>
                        <w:sz w:val="18"/>
                        <w:szCs w:val="18"/>
                      </w:rPr>
                      <w:t>、、</w:t>
                    </w:r>
                    <w:r>
                      <w:rPr>
                        <w:b/>
                        <w:bCs/>
                        <w:color w:val="6DB14A"/>
                        <w:spacing w:val="0"/>
                        <w:w w:val="100"/>
                        <w:position w:val="0"/>
                      </w:rPr>
                      <w:t>一^</w:t>
                    </w:r>
                    <w:r>
                      <w:rPr>
                        <w:b/>
                        <w:bCs/>
                        <w:color w:val="5199CB"/>
                        <w:spacing w:val="0"/>
                        <w:w w:val="100"/>
                        <w:position w:val="0"/>
                      </w:rPr>
                      <w:t>神州泰岳</w:t>
                    </w:r>
                  </w:p>
                </w:txbxContent>
              </v:textbox>
              <w10:wrap anchorx="page" anchory="page"/>
            </v:shape>
          </w:pict>
        </mc:Fallback>
      </mc:AlternateContent>
    </w:r>
    <w:r>
      <mc:AlternateContent>
        <mc:Choice Requires="wps">
          <w:drawing>
            <wp:anchor distT="0" distB="0" distL="0" distR="0" simplePos="0" relativeHeight="62915258" behindDoc="1" locked="0" layoutInCell="1" allowOverlap="1">
              <wp:simplePos x="0" y="0"/>
              <wp:positionH relativeFrom="page">
                <wp:posOffset>4156075</wp:posOffset>
              </wp:positionH>
              <wp:positionV relativeFrom="page">
                <wp:posOffset>892810</wp:posOffset>
              </wp:positionV>
              <wp:extent cx="2673350" cy="106680"/>
              <wp:wrapNone/>
              <wp:docPr id="884" name="Shape 884"/>
              <a:graphic xmlns:a="http://schemas.openxmlformats.org/drawingml/2006/main">
                <a:graphicData uri="http://schemas.microsoft.com/office/word/2010/wordprocessingShape">
                  <wps:wsp>
                    <wps:cNvSpPr txBox="1"/>
                    <wps:spPr>
                      <a:xfrm>
                        <a:ext cx="2673350" cy="10668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910" type="#_x0000_t202" style="position:absolute;margin-left:327.25pt;margin-top:70.299999999999997pt;width:210.5pt;height:8.4000000000000004pt;z-index:-188743495;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715010</wp:posOffset>
              </wp:positionH>
              <wp:positionV relativeFrom="page">
                <wp:posOffset>1042035</wp:posOffset>
              </wp:positionV>
              <wp:extent cx="6160135" cy="0"/>
              <wp:wrapNone/>
              <wp:docPr id="886" name="Shape 886"/>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6.300000000000004pt;margin-top:82.049999999999997pt;width:485.05000000000001pt;height:0;z-index:-251658240;mso-position-horizontal-relative:page;mso-position-vertical-relative:page">
              <v:stroke weight="1.pt"/>
            </v:shape>
          </w:pict>
        </mc:Fallback>
      </mc:AlternateContent>
    </w:r>
  </w:p>
</w:hdr>
</file>

<file path=word/header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6" behindDoc="1" locked="0" layoutInCell="1" allowOverlap="1">
              <wp:simplePos x="0" y="0"/>
              <wp:positionH relativeFrom="page">
                <wp:posOffset>716915</wp:posOffset>
              </wp:positionH>
              <wp:positionV relativeFrom="page">
                <wp:posOffset>750570</wp:posOffset>
              </wp:positionV>
              <wp:extent cx="1012190" cy="179705"/>
              <wp:wrapNone/>
              <wp:docPr id="171" name="Shape 171"/>
              <a:graphic xmlns:a="http://schemas.openxmlformats.org/drawingml/2006/main">
                <a:graphicData uri="http://schemas.microsoft.com/office/word/2010/wordprocessingShape">
                  <wps:wsp>
                    <wps:cNvSpPr txBox="1"/>
                    <wps:spPr>
                      <a:xfrm>
                        <a:ext cx="1012190" cy="17970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txbxContent>
                    </wps:txbx>
                    <wps:bodyPr wrap="none" lIns="0" tIns="0" rIns="0" bIns="0">
                      <a:spAutoFit/>
                    </wps:bodyPr>
                  </wps:wsp>
                </a:graphicData>
              </a:graphic>
            </wp:anchor>
          </w:drawing>
        </mc:Choice>
        <mc:Fallback>
          <w:pict>
            <v:shape id="_x0000_s1197" type="#_x0000_t202" style="position:absolute;margin-left:56.450000000000003pt;margin-top:59.100000000000001pt;width:79.700000000000003pt;height:14.15pt;z-index:-188744007;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txbxContent>
              </v:textbox>
              <w10:wrap anchorx="page" anchory="page"/>
            </v:shape>
          </w:pict>
        </mc:Fallback>
      </mc:AlternateContent>
    </w:r>
  </w:p>
</w:hdr>
</file>

<file path=word/header1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62" behindDoc="1" locked="0" layoutInCell="1" allowOverlap="1">
              <wp:simplePos x="0" y="0"/>
              <wp:positionH relativeFrom="page">
                <wp:posOffset>733425</wp:posOffset>
              </wp:positionH>
              <wp:positionV relativeFrom="page">
                <wp:posOffset>704215</wp:posOffset>
              </wp:positionV>
              <wp:extent cx="1012190" cy="283210"/>
              <wp:wrapNone/>
              <wp:docPr id="889" name="Shape 889"/>
              <a:graphic xmlns:a="http://schemas.openxmlformats.org/drawingml/2006/main">
                <a:graphicData uri="http://schemas.microsoft.com/office/word/2010/wordprocessingShape">
                  <wps:wsp>
                    <wps:cNvSpPr txBox="1"/>
                    <wps:spPr>
                      <a:xfrm>
                        <a:ext cx="1012190" cy="2832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204"/>
                            <w:keepNext w:val="0"/>
                            <w:keepLines w:val="0"/>
                            <w:widowControl w:val="0"/>
                            <w:shd w:val="clear" w:color="auto" w:fill="auto"/>
                            <w:bidi w:val="0"/>
                            <w:spacing w:before="0" w:after="0" w:line="240" w:lineRule="auto"/>
                            <w:ind w:left="0" w:right="0" w:firstLine="0"/>
                            <w:jc w:val="left"/>
                          </w:pPr>
                          <w:r>
                            <w:rPr>
                              <w:b/>
                              <w:bCs/>
                              <w:i/>
                              <w:iCs/>
                              <w:color w:val="6DB14A"/>
                              <w:spacing w:val="0"/>
                              <w:w w:val="100"/>
                              <w:position w:val="0"/>
                              <w:sz w:val="18"/>
                              <w:szCs w:val="18"/>
                            </w:rPr>
                            <w:t>、、</w:t>
                          </w:r>
                          <w:r>
                            <w:rPr>
                              <w:b/>
                              <w:bCs/>
                              <w:color w:val="6DB14A"/>
                              <w:spacing w:val="0"/>
                              <w:w w:val="100"/>
                              <w:position w:val="0"/>
                            </w:rPr>
                            <w:t>一^</w:t>
                          </w:r>
                          <w:r>
                            <w:rPr>
                              <w:b/>
                              <w:bCs/>
                              <w:color w:val="5199CB"/>
                              <w:spacing w:val="0"/>
                              <w:w w:val="100"/>
                              <w:position w:val="0"/>
                            </w:rPr>
                            <w:t>神州泰岳</w:t>
                          </w:r>
                        </w:p>
                      </w:txbxContent>
                    </wps:txbx>
                    <wps:bodyPr wrap="none" lIns="0" tIns="0" rIns="0" bIns="0">
                      <a:spAutoFit/>
                    </wps:bodyPr>
                  </wps:wsp>
                </a:graphicData>
              </a:graphic>
            </wp:anchor>
          </w:drawing>
        </mc:Choice>
        <mc:Fallback>
          <w:pict>
            <v:shape id="_x0000_s1915" type="#_x0000_t202" style="position:absolute;margin-left:57.75pt;margin-top:55.450000000000003pt;width:79.700000000000003pt;height:22.300000000000001pt;z-index:-188743491;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204"/>
                      <w:keepNext w:val="0"/>
                      <w:keepLines w:val="0"/>
                      <w:widowControl w:val="0"/>
                      <w:shd w:val="clear" w:color="auto" w:fill="auto"/>
                      <w:bidi w:val="0"/>
                      <w:spacing w:before="0" w:after="0" w:line="240" w:lineRule="auto"/>
                      <w:ind w:left="0" w:right="0" w:firstLine="0"/>
                      <w:jc w:val="left"/>
                    </w:pPr>
                    <w:r>
                      <w:rPr>
                        <w:b/>
                        <w:bCs/>
                        <w:i/>
                        <w:iCs/>
                        <w:color w:val="6DB14A"/>
                        <w:spacing w:val="0"/>
                        <w:w w:val="100"/>
                        <w:position w:val="0"/>
                        <w:sz w:val="18"/>
                        <w:szCs w:val="18"/>
                      </w:rPr>
                      <w:t>、、</w:t>
                    </w:r>
                    <w:r>
                      <w:rPr>
                        <w:b/>
                        <w:bCs/>
                        <w:color w:val="6DB14A"/>
                        <w:spacing w:val="0"/>
                        <w:w w:val="100"/>
                        <w:position w:val="0"/>
                      </w:rPr>
                      <w:t>一^</w:t>
                    </w:r>
                    <w:r>
                      <w:rPr>
                        <w:b/>
                        <w:bCs/>
                        <w:color w:val="5199CB"/>
                        <w:spacing w:val="0"/>
                        <w:w w:val="100"/>
                        <w:position w:val="0"/>
                      </w:rPr>
                      <w:t>神州泰岳</w:t>
                    </w:r>
                  </w:p>
                </w:txbxContent>
              </v:textbox>
              <w10:wrap anchorx="page" anchory="page"/>
            </v:shape>
          </w:pict>
        </mc:Fallback>
      </mc:AlternateContent>
    </w:r>
    <w:r>
      <mc:AlternateContent>
        <mc:Choice Requires="wps">
          <w:drawing>
            <wp:anchor distT="0" distB="0" distL="0" distR="0" simplePos="0" relativeHeight="62915264" behindDoc="1" locked="0" layoutInCell="1" allowOverlap="1">
              <wp:simplePos x="0" y="0"/>
              <wp:positionH relativeFrom="page">
                <wp:posOffset>4156075</wp:posOffset>
              </wp:positionH>
              <wp:positionV relativeFrom="page">
                <wp:posOffset>892810</wp:posOffset>
              </wp:positionV>
              <wp:extent cx="2673350" cy="106680"/>
              <wp:wrapNone/>
              <wp:docPr id="891" name="Shape 891"/>
              <a:graphic xmlns:a="http://schemas.openxmlformats.org/drawingml/2006/main">
                <a:graphicData uri="http://schemas.microsoft.com/office/word/2010/wordprocessingShape">
                  <wps:wsp>
                    <wps:cNvSpPr txBox="1"/>
                    <wps:spPr>
                      <a:xfrm>
                        <a:ext cx="2673350" cy="10668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917" type="#_x0000_t202" style="position:absolute;margin-left:327.25pt;margin-top:70.299999999999997pt;width:210.5pt;height:8.4000000000000004pt;z-index:-188743489;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715010</wp:posOffset>
              </wp:positionH>
              <wp:positionV relativeFrom="page">
                <wp:posOffset>1042035</wp:posOffset>
              </wp:positionV>
              <wp:extent cx="6160135" cy="0"/>
              <wp:wrapNone/>
              <wp:docPr id="893" name="Shape 893"/>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6.300000000000004pt;margin-top:82.049999999999997pt;width:485.05000000000001pt;height:0;z-index:-251658240;mso-position-horizontal-relative:page;mso-position-vertical-relative:page">
              <v:stroke weight="1.pt"/>
            </v:shape>
          </w:pict>
        </mc:Fallback>
      </mc:AlternateContent>
    </w:r>
  </w:p>
</w:hdr>
</file>

<file path=word/header1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68" behindDoc="1" locked="0" layoutInCell="1" allowOverlap="1">
              <wp:simplePos x="0" y="0"/>
              <wp:positionH relativeFrom="page">
                <wp:posOffset>733425</wp:posOffset>
              </wp:positionH>
              <wp:positionV relativeFrom="page">
                <wp:posOffset>704215</wp:posOffset>
              </wp:positionV>
              <wp:extent cx="1012190" cy="283210"/>
              <wp:wrapNone/>
              <wp:docPr id="896" name="Shape 896"/>
              <a:graphic xmlns:a="http://schemas.openxmlformats.org/drawingml/2006/main">
                <a:graphicData uri="http://schemas.microsoft.com/office/word/2010/wordprocessingShape">
                  <wps:wsp>
                    <wps:cNvSpPr txBox="1"/>
                    <wps:spPr>
                      <a:xfrm>
                        <a:ext cx="1012190" cy="2832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204"/>
                            <w:keepNext w:val="0"/>
                            <w:keepLines w:val="0"/>
                            <w:widowControl w:val="0"/>
                            <w:shd w:val="clear" w:color="auto" w:fill="auto"/>
                            <w:bidi w:val="0"/>
                            <w:spacing w:before="0" w:after="0" w:line="240" w:lineRule="auto"/>
                            <w:ind w:left="0" w:right="0" w:firstLine="0"/>
                            <w:jc w:val="left"/>
                          </w:pPr>
                          <w:r>
                            <w:rPr>
                              <w:b/>
                              <w:bCs/>
                              <w:i/>
                              <w:iCs/>
                              <w:color w:val="6DB14A"/>
                              <w:spacing w:val="0"/>
                              <w:w w:val="100"/>
                              <w:position w:val="0"/>
                              <w:sz w:val="18"/>
                              <w:szCs w:val="18"/>
                            </w:rPr>
                            <w:t>、、</w:t>
                          </w:r>
                          <w:r>
                            <w:rPr>
                              <w:b/>
                              <w:bCs/>
                              <w:color w:val="6DB14A"/>
                              <w:spacing w:val="0"/>
                              <w:w w:val="100"/>
                              <w:position w:val="0"/>
                            </w:rPr>
                            <w:t>一^</w:t>
                          </w:r>
                          <w:r>
                            <w:rPr>
                              <w:b/>
                              <w:bCs/>
                              <w:color w:val="5199CB"/>
                              <w:spacing w:val="0"/>
                              <w:w w:val="100"/>
                              <w:position w:val="0"/>
                            </w:rPr>
                            <w:t>神州泰岳</w:t>
                          </w:r>
                        </w:p>
                      </w:txbxContent>
                    </wps:txbx>
                    <wps:bodyPr wrap="none" lIns="0" tIns="0" rIns="0" bIns="0">
                      <a:spAutoFit/>
                    </wps:bodyPr>
                  </wps:wsp>
                </a:graphicData>
              </a:graphic>
            </wp:anchor>
          </w:drawing>
        </mc:Choice>
        <mc:Fallback>
          <w:pict>
            <v:shape id="_x0000_s1922" type="#_x0000_t202" style="position:absolute;margin-left:57.75pt;margin-top:55.450000000000003pt;width:79.700000000000003pt;height:22.300000000000001pt;z-index:-188743485;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204"/>
                      <w:keepNext w:val="0"/>
                      <w:keepLines w:val="0"/>
                      <w:widowControl w:val="0"/>
                      <w:shd w:val="clear" w:color="auto" w:fill="auto"/>
                      <w:bidi w:val="0"/>
                      <w:spacing w:before="0" w:after="0" w:line="240" w:lineRule="auto"/>
                      <w:ind w:left="0" w:right="0" w:firstLine="0"/>
                      <w:jc w:val="left"/>
                    </w:pPr>
                    <w:r>
                      <w:rPr>
                        <w:b/>
                        <w:bCs/>
                        <w:i/>
                        <w:iCs/>
                        <w:color w:val="6DB14A"/>
                        <w:spacing w:val="0"/>
                        <w:w w:val="100"/>
                        <w:position w:val="0"/>
                        <w:sz w:val="18"/>
                        <w:szCs w:val="18"/>
                      </w:rPr>
                      <w:t>、、</w:t>
                    </w:r>
                    <w:r>
                      <w:rPr>
                        <w:b/>
                        <w:bCs/>
                        <w:color w:val="6DB14A"/>
                        <w:spacing w:val="0"/>
                        <w:w w:val="100"/>
                        <w:position w:val="0"/>
                      </w:rPr>
                      <w:t>一^</w:t>
                    </w:r>
                    <w:r>
                      <w:rPr>
                        <w:b/>
                        <w:bCs/>
                        <w:color w:val="5199CB"/>
                        <w:spacing w:val="0"/>
                        <w:w w:val="100"/>
                        <w:position w:val="0"/>
                      </w:rPr>
                      <w:t>神州泰岳</w:t>
                    </w:r>
                  </w:p>
                </w:txbxContent>
              </v:textbox>
              <w10:wrap anchorx="page" anchory="page"/>
            </v:shape>
          </w:pict>
        </mc:Fallback>
      </mc:AlternateContent>
    </w:r>
    <w:r>
      <mc:AlternateContent>
        <mc:Choice Requires="wps">
          <w:drawing>
            <wp:anchor distT="0" distB="0" distL="0" distR="0" simplePos="0" relativeHeight="62915270" behindDoc="1" locked="0" layoutInCell="1" allowOverlap="1">
              <wp:simplePos x="0" y="0"/>
              <wp:positionH relativeFrom="page">
                <wp:posOffset>4156075</wp:posOffset>
              </wp:positionH>
              <wp:positionV relativeFrom="page">
                <wp:posOffset>892810</wp:posOffset>
              </wp:positionV>
              <wp:extent cx="2673350" cy="106680"/>
              <wp:wrapNone/>
              <wp:docPr id="898" name="Shape 898"/>
              <a:graphic xmlns:a="http://schemas.openxmlformats.org/drawingml/2006/main">
                <a:graphicData uri="http://schemas.microsoft.com/office/word/2010/wordprocessingShape">
                  <wps:wsp>
                    <wps:cNvSpPr txBox="1"/>
                    <wps:spPr>
                      <a:xfrm>
                        <a:ext cx="2673350" cy="10668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924" type="#_x0000_t202" style="position:absolute;margin-left:327.25pt;margin-top:70.299999999999997pt;width:210.5pt;height:8.4000000000000004pt;z-index:-188743483;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715010</wp:posOffset>
              </wp:positionH>
              <wp:positionV relativeFrom="page">
                <wp:posOffset>1042035</wp:posOffset>
              </wp:positionV>
              <wp:extent cx="6160135" cy="0"/>
              <wp:wrapNone/>
              <wp:docPr id="900" name="Shape 900"/>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6.300000000000004pt;margin-top:82.049999999999997pt;width:485.05000000000001pt;height:0;z-index:-251658240;mso-position-horizontal-relative:page;mso-position-vertical-relative:page">
              <v:stroke weight="1.pt"/>
            </v:shape>
          </w:pict>
        </mc:Fallback>
      </mc:AlternateContent>
    </w:r>
  </w:p>
</w:hdr>
</file>

<file path=word/header1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74" behindDoc="1" locked="0" layoutInCell="1" allowOverlap="1">
              <wp:simplePos x="0" y="0"/>
              <wp:positionH relativeFrom="page">
                <wp:posOffset>733425</wp:posOffset>
              </wp:positionH>
              <wp:positionV relativeFrom="page">
                <wp:posOffset>704215</wp:posOffset>
              </wp:positionV>
              <wp:extent cx="1012190" cy="283210"/>
              <wp:wrapNone/>
              <wp:docPr id="903" name="Shape 903"/>
              <a:graphic xmlns:a="http://schemas.openxmlformats.org/drawingml/2006/main">
                <a:graphicData uri="http://schemas.microsoft.com/office/word/2010/wordprocessingShape">
                  <wps:wsp>
                    <wps:cNvSpPr txBox="1"/>
                    <wps:spPr>
                      <a:xfrm>
                        <a:ext cx="1012190" cy="2832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204"/>
                            <w:keepNext w:val="0"/>
                            <w:keepLines w:val="0"/>
                            <w:widowControl w:val="0"/>
                            <w:shd w:val="clear" w:color="auto" w:fill="auto"/>
                            <w:bidi w:val="0"/>
                            <w:spacing w:before="0" w:after="0" w:line="240" w:lineRule="auto"/>
                            <w:ind w:left="0" w:right="0" w:firstLine="0"/>
                            <w:jc w:val="left"/>
                          </w:pPr>
                          <w:r>
                            <w:rPr>
                              <w:b/>
                              <w:bCs/>
                              <w:i/>
                              <w:iCs/>
                              <w:color w:val="6DB14A"/>
                              <w:spacing w:val="0"/>
                              <w:w w:val="100"/>
                              <w:position w:val="0"/>
                              <w:sz w:val="18"/>
                              <w:szCs w:val="18"/>
                            </w:rPr>
                            <w:t>、、</w:t>
                          </w:r>
                          <w:r>
                            <w:rPr>
                              <w:b/>
                              <w:bCs/>
                              <w:color w:val="6DB14A"/>
                              <w:spacing w:val="0"/>
                              <w:w w:val="100"/>
                              <w:position w:val="0"/>
                            </w:rPr>
                            <w:t>一^</w:t>
                          </w:r>
                          <w:r>
                            <w:rPr>
                              <w:b/>
                              <w:bCs/>
                              <w:color w:val="5199CB"/>
                              <w:spacing w:val="0"/>
                              <w:w w:val="100"/>
                              <w:position w:val="0"/>
                            </w:rPr>
                            <w:t>神州泰岳</w:t>
                          </w:r>
                        </w:p>
                      </w:txbxContent>
                    </wps:txbx>
                    <wps:bodyPr wrap="none" lIns="0" tIns="0" rIns="0" bIns="0">
                      <a:spAutoFit/>
                    </wps:bodyPr>
                  </wps:wsp>
                </a:graphicData>
              </a:graphic>
            </wp:anchor>
          </w:drawing>
        </mc:Choice>
        <mc:Fallback>
          <w:pict>
            <v:shape id="_x0000_s1929" type="#_x0000_t202" style="position:absolute;margin-left:57.75pt;margin-top:55.450000000000003pt;width:79.700000000000003pt;height:22.300000000000001pt;z-index:-188743479;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204"/>
                      <w:keepNext w:val="0"/>
                      <w:keepLines w:val="0"/>
                      <w:widowControl w:val="0"/>
                      <w:shd w:val="clear" w:color="auto" w:fill="auto"/>
                      <w:bidi w:val="0"/>
                      <w:spacing w:before="0" w:after="0" w:line="240" w:lineRule="auto"/>
                      <w:ind w:left="0" w:right="0" w:firstLine="0"/>
                      <w:jc w:val="left"/>
                    </w:pPr>
                    <w:r>
                      <w:rPr>
                        <w:b/>
                        <w:bCs/>
                        <w:i/>
                        <w:iCs/>
                        <w:color w:val="6DB14A"/>
                        <w:spacing w:val="0"/>
                        <w:w w:val="100"/>
                        <w:position w:val="0"/>
                        <w:sz w:val="18"/>
                        <w:szCs w:val="18"/>
                      </w:rPr>
                      <w:t>、、</w:t>
                    </w:r>
                    <w:r>
                      <w:rPr>
                        <w:b/>
                        <w:bCs/>
                        <w:color w:val="6DB14A"/>
                        <w:spacing w:val="0"/>
                        <w:w w:val="100"/>
                        <w:position w:val="0"/>
                      </w:rPr>
                      <w:t>一^</w:t>
                    </w:r>
                    <w:r>
                      <w:rPr>
                        <w:b/>
                        <w:bCs/>
                        <w:color w:val="5199CB"/>
                        <w:spacing w:val="0"/>
                        <w:w w:val="100"/>
                        <w:position w:val="0"/>
                      </w:rPr>
                      <w:t>神州泰岳</w:t>
                    </w:r>
                  </w:p>
                </w:txbxContent>
              </v:textbox>
              <w10:wrap anchorx="page" anchory="page"/>
            </v:shape>
          </w:pict>
        </mc:Fallback>
      </mc:AlternateContent>
    </w:r>
    <w:r>
      <mc:AlternateContent>
        <mc:Choice Requires="wps">
          <w:drawing>
            <wp:anchor distT="0" distB="0" distL="0" distR="0" simplePos="0" relativeHeight="62915276" behindDoc="1" locked="0" layoutInCell="1" allowOverlap="1">
              <wp:simplePos x="0" y="0"/>
              <wp:positionH relativeFrom="page">
                <wp:posOffset>4156075</wp:posOffset>
              </wp:positionH>
              <wp:positionV relativeFrom="page">
                <wp:posOffset>892810</wp:posOffset>
              </wp:positionV>
              <wp:extent cx="2673350" cy="106680"/>
              <wp:wrapNone/>
              <wp:docPr id="905" name="Shape 905"/>
              <a:graphic xmlns:a="http://schemas.openxmlformats.org/drawingml/2006/main">
                <a:graphicData uri="http://schemas.microsoft.com/office/word/2010/wordprocessingShape">
                  <wps:wsp>
                    <wps:cNvSpPr txBox="1"/>
                    <wps:spPr>
                      <a:xfrm>
                        <a:ext cx="2673350" cy="10668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931" type="#_x0000_t202" style="position:absolute;margin-left:327.25pt;margin-top:70.299999999999997pt;width:210.5pt;height:8.4000000000000004pt;z-index:-188743477;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715010</wp:posOffset>
              </wp:positionH>
              <wp:positionV relativeFrom="page">
                <wp:posOffset>1042035</wp:posOffset>
              </wp:positionV>
              <wp:extent cx="6160135" cy="0"/>
              <wp:wrapNone/>
              <wp:docPr id="907" name="Shape 907"/>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6.300000000000004pt;margin-top:82.049999999999997pt;width:485.05000000000001pt;height:0;z-index:-251658240;mso-position-horizontal-relative:page;mso-position-vertical-relative:page">
              <v:stroke weight="1.pt"/>
            </v:shape>
          </w:pict>
        </mc:Fallback>
      </mc:AlternateContent>
    </w:r>
  </w:p>
</w:hdr>
</file>

<file path=word/header1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80" behindDoc="1" locked="0" layoutInCell="1" allowOverlap="1">
              <wp:simplePos x="0" y="0"/>
              <wp:positionH relativeFrom="page">
                <wp:posOffset>708660</wp:posOffset>
              </wp:positionH>
              <wp:positionV relativeFrom="page">
                <wp:posOffset>704215</wp:posOffset>
              </wp:positionV>
              <wp:extent cx="6096000" cy="295910"/>
              <wp:wrapNone/>
              <wp:docPr id="910" name="Shape 910"/>
              <a:graphic xmlns:a="http://schemas.openxmlformats.org/drawingml/2006/main">
                <a:graphicData uri="http://schemas.microsoft.com/office/word/2010/wordprocessingShape">
                  <wps:wsp>
                    <wps:cNvSpPr txBox="1"/>
                    <wps:spPr>
                      <a:xfrm>
                        <a:ext cx="6096000" cy="2959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tabs>
                              <w:tab w:pos="8707" w:val="right"/>
                            </w:tabs>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1F84C4"/>
                              <w:spacing w:val="0"/>
                              <w:w w:val="100"/>
                              <w:position w:val="0"/>
                            </w:rPr>
                            <w:t>•，</w:t>
                            <w:tab/>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lIns="0" tIns="0" rIns="0" bIns="0">
                      <a:spAutoFit/>
                    </wps:bodyPr>
                  </wps:wsp>
                </a:graphicData>
              </a:graphic>
            </wp:anchor>
          </w:drawing>
        </mc:Choice>
        <mc:Fallback>
          <w:pict>
            <v:shape id="_x0000_s1936" type="#_x0000_t202" style="position:absolute;margin-left:55.800000000000004pt;margin-top:55.450000000000003pt;width:480.pt;height:23.300000000000001pt;z-index:-188743473;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tabs>
                        <w:tab w:pos="8707" w:val="right"/>
                      </w:tabs>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1F84C4"/>
                        <w:spacing w:val="0"/>
                        <w:w w:val="100"/>
                        <w:position w:val="0"/>
                      </w:rPr>
                      <w:t>•，</w:t>
                      <w:tab/>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690880</wp:posOffset>
              </wp:positionH>
              <wp:positionV relativeFrom="page">
                <wp:posOffset>1042035</wp:posOffset>
              </wp:positionV>
              <wp:extent cx="6160135" cy="0"/>
              <wp:wrapNone/>
              <wp:docPr id="912" name="Shape 912"/>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399999999999999pt;margin-top:82.049999999999997pt;width:485.05000000000001pt;height:0;z-index:-251658240;mso-position-horizontal-relative:page;mso-position-vertical-relative:page">
              <v:stroke weight="1.pt"/>
            </v:shape>
          </w:pict>
        </mc:Fallback>
      </mc:AlternateContent>
    </w:r>
  </w:p>
</w:hdr>
</file>

<file path=word/header1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84" behindDoc="1" locked="0" layoutInCell="1" allowOverlap="1">
              <wp:simplePos x="0" y="0"/>
              <wp:positionH relativeFrom="page">
                <wp:posOffset>708660</wp:posOffset>
              </wp:positionH>
              <wp:positionV relativeFrom="page">
                <wp:posOffset>704215</wp:posOffset>
              </wp:positionV>
              <wp:extent cx="6096000" cy="295910"/>
              <wp:wrapNone/>
              <wp:docPr id="915" name="Shape 915"/>
              <a:graphic xmlns:a="http://schemas.openxmlformats.org/drawingml/2006/main">
                <a:graphicData uri="http://schemas.microsoft.com/office/word/2010/wordprocessingShape">
                  <wps:wsp>
                    <wps:cNvSpPr txBox="1"/>
                    <wps:spPr>
                      <a:xfrm>
                        <a:ext cx="6096000" cy="2959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tabs>
                              <w:tab w:pos="8707" w:val="right"/>
                            </w:tabs>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1F84C4"/>
                              <w:spacing w:val="0"/>
                              <w:w w:val="100"/>
                              <w:position w:val="0"/>
                            </w:rPr>
                            <w:t>•，</w:t>
                            <w:tab/>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lIns="0" tIns="0" rIns="0" bIns="0">
                      <a:spAutoFit/>
                    </wps:bodyPr>
                  </wps:wsp>
                </a:graphicData>
              </a:graphic>
            </wp:anchor>
          </w:drawing>
        </mc:Choice>
        <mc:Fallback>
          <w:pict>
            <v:shape id="_x0000_s1941" type="#_x0000_t202" style="position:absolute;margin-left:55.800000000000004pt;margin-top:55.450000000000003pt;width:480.pt;height:23.300000000000001pt;z-index:-188743469;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tabs>
                        <w:tab w:pos="8707" w:val="right"/>
                      </w:tabs>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1F84C4"/>
                        <w:spacing w:val="0"/>
                        <w:w w:val="100"/>
                        <w:position w:val="0"/>
                      </w:rPr>
                      <w:t>•，</w:t>
                      <w:tab/>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690880</wp:posOffset>
              </wp:positionH>
              <wp:positionV relativeFrom="page">
                <wp:posOffset>1042035</wp:posOffset>
              </wp:positionV>
              <wp:extent cx="6160135" cy="0"/>
              <wp:wrapNone/>
              <wp:docPr id="917" name="Shape 917"/>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399999999999999pt;margin-top:82.049999999999997pt;width:485.05000000000001pt;height:0;z-index:-251658240;mso-position-horizontal-relative:page;mso-position-vertical-relative:page">
              <v:stroke weight="1.pt"/>
            </v:shape>
          </w:pict>
        </mc:Fallback>
      </mc:AlternateContent>
    </w:r>
  </w:p>
</w:hdr>
</file>

<file path=word/header1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88" behindDoc="1" locked="0" layoutInCell="1" allowOverlap="1">
              <wp:simplePos x="0" y="0"/>
              <wp:positionH relativeFrom="page">
                <wp:posOffset>708660</wp:posOffset>
              </wp:positionH>
              <wp:positionV relativeFrom="page">
                <wp:posOffset>704215</wp:posOffset>
              </wp:positionV>
              <wp:extent cx="6096000" cy="295910"/>
              <wp:wrapNone/>
              <wp:docPr id="920" name="Shape 920"/>
              <a:graphic xmlns:a="http://schemas.openxmlformats.org/drawingml/2006/main">
                <a:graphicData uri="http://schemas.microsoft.com/office/word/2010/wordprocessingShape">
                  <wps:wsp>
                    <wps:cNvSpPr txBox="1"/>
                    <wps:spPr>
                      <a:xfrm>
                        <a:ext cx="6096000" cy="2959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tabs>
                              <w:tab w:pos="8707" w:val="right"/>
                            </w:tabs>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1F84C4"/>
                              <w:spacing w:val="0"/>
                              <w:w w:val="100"/>
                              <w:position w:val="0"/>
                            </w:rPr>
                            <w:t>•，</w:t>
                            <w:tab/>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lIns="0" tIns="0" rIns="0" bIns="0">
                      <a:spAutoFit/>
                    </wps:bodyPr>
                  </wps:wsp>
                </a:graphicData>
              </a:graphic>
            </wp:anchor>
          </w:drawing>
        </mc:Choice>
        <mc:Fallback>
          <w:pict>
            <v:shape id="_x0000_s1946" type="#_x0000_t202" style="position:absolute;margin-left:55.800000000000004pt;margin-top:55.450000000000003pt;width:480.pt;height:23.300000000000001pt;z-index:-188743465;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tabs>
                        <w:tab w:pos="8707" w:val="right"/>
                      </w:tabs>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1F84C4"/>
                        <w:spacing w:val="0"/>
                        <w:w w:val="100"/>
                        <w:position w:val="0"/>
                      </w:rPr>
                      <w:t>•，</w:t>
                      <w:tab/>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690880</wp:posOffset>
              </wp:positionH>
              <wp:positionV relativeFrom="page">
                <wp:posOffset>1042035</wp:posOffset>
              </wp:positionV>
              <wp:extent cx="6160135" cy="0"/>
              <wp:wrapNone/>
              <wp:docPr id="922" name="Shape 922"/>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399999999999999pt;margin-top:82.049999999999997pt;width:485.05000000000001pt;height:0;z-index:-251658240;mso-position-horizontal-relative:page;mso-position-vertical-relative:page">
              <v:stroke weight="1.pt"/>
            </v:shape>
          </w:pict>
        </mc:Fallback>
      </mc:AlternateContent>
    </w:r>
  </w:p>
</w:hdr>
</file>

<file path=word/header1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92" behindDoc="1" locked="0" layoutInCell="1" allowOverlap="1">
              <wp:simplePos x="0" y="0"/>
              <wp:positionH relativeFrom="page">
                <wp:posOffset>733425</wp:posOffset>
              </wp:positionH>
              <wp:positionV relativeFrom="page">
                <wp:posOffset>704215</wp:posOffset>
              </wp:positionV>
              <wp:extent cx="1012190" cy="283210"/>
              <wp:wrapNone/>
              <wp:docPr id="925" name="Shape 925"/>
              <a:graphic xmlns:a="http://schemas.openxmlformats.org/drawingml/2006/main">
                <a:graphicData uri="http://schemas.microsoft.com/office/word/2010/wordprocessingShape">
                  <wps:wsp>
                    <wps:cNvSpPr txBox="1"/>
                    <wps:spPr>
                      <a:xfrm>
                        <a:ext cx="1012190" cy="2832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204"/>
                            <w:keepNext w:val="0"/>
                            <w:keepLines w:val="0"/>
                            <w:widowControl w:val="0"/>
                            <w:shd w:val="clear" w:color="auto" w:fill="auto"/>
                            <w:bidi w:val="0"/>
                            <w:spacing w:before="0" w:after="0" w:line="240" w:lineRule="auto"/>
                            <w:ind w:left="0" w:right="0" w:firstLine="0"/>
                            <w:jc w:val="left"/>
                          </w:pPr>
                          <w:r>
                            <w:rPr>
                              <w:b/>
                              <w:bCs/>
                              <w:i/>
                              <w:iCs/>
                              <w:color w:val="6DB14A"/>
                              <w:spacing w:val="0"/>
                              <w:w w:val="100"/>
                              <w:position w:val="0"/>
                              <w:sz w:val="18"/>
                              <w:szCs w:val="18"/>
                            </w:rPr>
                            <w:t>、、</w:t>
                          </w:r>
                          <w:r>
                            <w:rPr>
                              <w:b/>
                              <w:bCs/>
                              <w:color w:val="6DB14A"/>
                              <w:spacing w:val="0"/>
                              <w:w w:val="100"/>
                              <w:position w:val="0"/>
                            </w:rPr>
                            <w:t>一^</w:t>
                          </w:r>
                          <w:r>
                            <w:rPr>
                              <w:b/>
                              <w:bCs/>
                              <w:color w:val="5199CB"/>
                              <w:spacing w:val="0"/>
                              <w:w w:val="100"/>
                              <w:position w:val="0"/>
                            </w:rPr>
                            <w:t>神州泰岳</w:t>
                          </w:r>
                        </w:p>
                      </w:txbxContent>
                    </wps:txbx>
                    <wps:bodyPr wrap="none" lIns="0" tIns="0" rIns="0" bIns="0">
                      <a:spAutoFit/>
                    </wps:bodyPr>
                  </wps:wsp>
                </a:graphicData>
              </a:graphic>
            </wp:anchor>
          </w:drawing>
        </mc:Choice>
        <mc:Fallback>
          <w:pict>
            <v:shape id="_x0000_s1951" type="#_x0000_t202" style="position:absolute;margin-left:57.75pt;margin-top:55.450000000000003pt;width:79.700000000000003pt;height:22.300000000000001pt;z-index:-188743461;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204"/>
                      <w:keepNext w:val="0"/>
                      <w:keepLines w:val="0"/>
                      <w:widowControl w:val="0"/>
                      <w:shd w:val="clear" w:color="auto" w:fill="auto"/>
                      <w:bidi w:val="0"/>
                      <w:spacing w:before="0" w:after="0" w:line="240" w:lineRule="auto"/>
                      <w:ind w:left="0" w:right="0" w:firstLine="0"/>
                      <w:jc w:val="left"/>
                    </w:pPr>
                    <w:r>
                      <w:rPr>
                        <w:b/>
                        <w:bCs/>
                        <w:i/>
                        <w:iCs/>
                        <w:color w:val="6DB14A"/>
                        <w:spacing w:val="0"/>
                        <w:w w:val="100"/>
                        <w:position w:val="0"/>
                        <w:sz w:val="18"/>
                        <w:szCs w:val="18"/>
                      </w:rPr>
                      <w:t>、、</w:t>
                    </w:r>
                    <w:r>
                      <w:rPr>
                        <w:b/>
                        <w:bCs/>
                        <w:color w:val="6DB14A"/>
                        <w:spacing w:val="0"/>
                        <w:w w:val="100"/>
                        <w:position w:val="0"/>
                      </w:rPr>
                      <w:t>一^</w:t>
                    </w:r>
                    <w:r>
                      <w:rPr>
                        <w:b/>
                        <w:bCs/>
                        <w:color w:val="5199CB"/>
                        <w:spacing w:val="0"/>
                        <w:w w:val="100"/>
                        <w:position w:val="0"/>
                      </w:rPr>
                      <w:t>神州泰岳</w:t>
                    </w:r>
                  </w:p>
                </w:txbxContent>
              </v:textbox>
              <w10:wrap anchorx="page" anchory="page"/>
            </v:shape>
          </w:pict>
        </mc:Fallback>
      </mc:AlternateContent>
    </w:r>
    <w:r>
      <mc:AlternateContent>
        <mc:Choice Requires="wps">
          <w:drawing>
            <wp:anchor distT="0" distB="0" distL="0" distR="0" simplePos="0" relativeHeight="62915294" behindDoc="1" locked="0" layoutInCell="1" allowOverlap="1">
              <wp:simplePos x="0" y="0"/>
              <wp:positionH relativeFrom="page">
                <wp:posOffset>4156075</wp:posOffset>
              </wp:positionH>
              <wp:positionV relativeFrom="page">
                <wp:posOffset>892810</wp:posOffset>
              </wp:positionV>
              <wp:extent cx="2673350" cy="106680"/>
              <wp:wrapNone/>
              <wp:docPr id="927" name="Shape 927"/>
              <a:graphic xmlns:a="http://schemas.openxmlformats.org/drawingml/2006/main">
                <a:graphicData uri="http://schemas.microsoft.com/office/word/2010/wordprocessingShape">
                  <wps:wsp>
                    <wps:cNvSpPr txBox="1"/>
                    <wps:spPr>
                      <a:xfrm>
                        <a:ext cx="2673350" cy="10668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953" type="#_x0000_t202" style="position:absolute;margin-left:327.25pt;margin-top:70.299999999999997pt;width:210.5pt;height:8.4000000000000004pt;z-index:-188743459;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715010</wp:posOffset>
              </wp:positionH>
              <wp:positionV relativeFrom="page">
                <wp:posOffset>1042035</wp:posOffset>
              </wp:positionV>
              <wp:extent cx="6160135" cy="0"/>
              <wp:wrapNone/>
              <wp:docPr id="929" name="Shape 929"/>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6.300000000000004pt;margin-top:82.049999999999997pt;width:485.05000000000001pt;height:0;z-index:-251658240;mso-position-horizontal-relative:page;mso-position-vertical-relative:page">
              <v:stroke weight="1.pt"/>
            </v:shape>
          </w:pict>
        </mc:Fallback>
      </mc:AlternateContent>
    </w:r>
  </w:p>
</w:hdr>
</file>

<file path=word/header1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00" behindDoc="1" locked="0" layoutInCell="1" allowOverlap="1">
              <wp:simplePos x="0" y="0"/>
              <wp:positionH relativeFrom="page">
                <wp:posOffset>723900</wp:posOffset>
              </wp:positionH>
              <wp:positionV relativeFrom="page">
                <wp:posOffset>705485</wp:posOffset>
              </wp:positionV>
              <wp:extent cx="6096000" cy="295910"/>
              <wp:wrapNone/>
              <wp:docPr id="934" name="Shape 934"/>
              <a:graphic xmlns:a="http://schemas.openxmlformats.org/drawingml/2006/main">
                <a:graphicData uri="http://schemas.microsoft.com/office/word/2010/wordprocessingShape">
                  <wps:wsp>
                    <wps:cNvSpPr txBox="1"/>
                    <wps:spPr>
                      <a:xfrm>
                        <a:ext cx="6096000" cy="2959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960" type="#_x0000_t202" style="position:absolute;margin-left:57.pt;margin-top:55.550000000000004pt;width:480.pt;height:23.300000000000001pt;z-index:-188743453;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705485</wp:posOffset>
              </wp:positionH>
              <wp:positionV relativeFrom="page">
                <wp:posOffset>1043305</wp:posOffset>
              </wp:positionV>
              <wp:extent cx="6160135" cy="0"/>
              <wp:wrapNone/>
              <wp:docPr id="936" name="Shape 936"/>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5.550000000000004pt;margin-top:82.150000000000006pt;width:485.05000000000001pt;height:0;z-index:-251658240;mso-position-horizontal-relative:page;mso-position-vertical-relative:page">
              <v:stroke weight="1.pt"/>
            </v:shape>
          </w:pict>
        </mc:Fallback>
      </mc:AlternateContent>
    </w:r>
  </w:p>
</w:hdr>
</file>

<file path=word/header1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04" behindDoc="1" locked="0" layoutInCell="1" allowOverlap="1">
              <wp:simplePos x="0" y="0"/>
              <wp:positionH relativeFrom="page">
                <wp:posOffset>723900</wp:posOffset>
              </wp:positionH>
              <wp:positionV relativeFrom="page">
                <wp:posOffset>705485</wp:posOffset>
              </wp:positionV>
              <wp:extent cx="6096000" cy="295910"/>
              <wp:wrapNone/>
              <wp:docPr id="939" name="Shape 939"/>
              <a:graphic xmlns:a="http://schemas.openxmlformats.org/drawingml/2006/main">
                <a:graphicData uri="http://schemas.microsoft.com/office/word/2010/wordprocessingShape">
                  <wps:wsp>
                    <wps:cNvSpPr txBox="1"/>
                    <wps:spPr>
                      <a:xfrm>
                        <a:ext cx="6096000" cy="2959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965" type="#_x0000_t202" style="position:absolute;margin-left:57.pt;margin-top:55.550000000000004pt;width:480.pt;height:23.300000000000001pt;z-index:-188743449;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705485</wp:posOffset>
              </wp:positionH>
              <wp:positionV relativeFrom="page">
                <wp:posOffset>1043305</wp:posOffset>
              </wp:positionV>
              <wp:extent cx="6160135" cy="0"/>
              <wp:wrapNone/>
              <wp:docPr id="941" name="Shape 941"/>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5.550000000000004pt;margin-top:82.150000000000006pt;width:485.05000000000001pt;height:0;z-index:-251658240;mso-position-horizontal-relative:page;mso-position-vertical-relative:page">
              <v:stroke weight="1.pt"/>
            </v:shape>
          </w:pict>
        </mc:Fallback>
      </mc:AlternateContent>
    </w:r>
  </w:p>
</w:hdr>
</file>

<file path=word/header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0" behindDoc="1" locked="0" layoutInCell="1" allowOverlap="1">
              <wp:simplePos x="0" y="0"/>
              <wp:positionH relativeFrom="page">
                <wp:posOffset>716915</wp:posOffset>
              </wp:positionH>
              <wp:positionV relativeFrom="page">
                <wp:posOffset>750570</wp:posOffset>
              </wp:positionV>
              <wp:extent cx="1012190" cy="179705"/>
              <wp:wrapNone/>
              <wp:docPr id="175" name="Shape 175"/>
              <a:graphic xmlns:a="http://schemas.openxmlformats.org/drawingml/2006/main">
                <a:graphicData uri="http://schemas.microsoft.com/office/word/2010/wordprocessingShape">
                  <wps:wsp>
                    <wps:cNvSpPr txBox="1"/>
                    <wps:spPr>
                      <a:xfrm>
                        <a:ext cx="1012190" cy="17970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txbxContent>
                    </wps:txbx>
                    <wps:bodyPr wrap="none" lIns="0" tIns="0" rIns="0" bIns="0">
                      <a:spAutoFit/>
                    </wps:bodyPr>
                  </wps:wsp>
                </a:graphicData>
              </a:graphic>
            </wp:anchor>
          </w:drawing>
        </mc:Choice>
        <mc:Fallback>
          <w:pict>
            <v:shape id="_x0000_s1201" type="#_x0000_t202" style="position:absolute;margin-left:56.450000000000003pt;margin-top:59.100000000000001pt;width:79.700000000000003pt;height:14.15pt;z-index:-188744003;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txbxContent>
              </v:textbox>
              <w10:wrap anchorx="page" anchory="page"/>
            </v:shape>
          </w:pict>
        </mc:Fallback>
      </mc:AlternateContent>
    </w:r>
  </w:p>
</w:hdr>
</file>

<file path=word/header1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08" behindDoc="1" locked="0" layoutInCell="1" allowOverlap="1">
              <wp:simplePos x="0" y="0"/>
              <wp:positionH relativeFrom="page">
                <wp:posOffset>733425</wp:posOffset>
              </wp:positionH>
              <wp:positionV relativeFrom="page">
                <wp:posOffset>704215</wp:posOffset>
              </wp:positionV>
              <wp:extent cx="1012190" cy="283210"/>
              <wp:wrapNone/>
              <wp:docPr id="944" name="Shape 944"/>
              <a:graphic xmlns:a="http://schemas.openxmlformats.org/drawingml/2006/main">
                <a:graphicData uri="http://schemas.microsoft.com/office/word/2010/wordprocessingShape">
                  <wps:wsp>
                    <wps:cNvSpPr txBox="1"/>
                    <wps:spPr>
                      <a:xfrm>
                        <a:ext cx="1012190" cy="2832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204"/>
                            <w:keepNext w:val="0"/>
                            <w:keepLines w:val="0"/>
                            <w:widowControl w:val="0"/>
                            <w:shd w:val="clear" w:color="auto" w:fill="auto"/>
                            <w:bidi w:val="0"/>
                            <w:spacing w:before="0" w:after="0" w:line="240" w:lineRule="auto"/>
                            <w:ind w:left="0" w:right="0" w:firstLine="0"/>
                            <w:jc w:val="left"/>
                          </w:pPr>
                          <w:r>
                            <w:rPr>
                              <w:b/>
                              <w:bCs/>
                              <w:i/>
                              <w:iCs/>
                              <w:color w:val="6DB14A"/>
                              <w:spacing w:val="0"/>
                              <w:w w:val="100"/>
                              <w:position w:val="0"/>
                              <w:sz w:val="18"/>
                              <w:szCs w:val="18"/>
                            </w:rPr>
                            <w:t>、、</w:t>
                          </w:r>
                          <w:r>
                            <w:rPr>
                              <w:b/>
                              <w:bCs/>
                              <w:color w:val="6DB14A"/>
                              <w:spacing w:val="0"/>
                              <w:w w:val="100"/>
                              <w:position w:val="0"/>
                            </w:rPr>
                            <w:t>一^</w:t>
                          </w:r>
                          <w:r>
                            <w:rPr>
                              <w:b/>
                              <w:bCs/>
                              <w:color w:val="5199CB"/>
                              <w:spacing w:val="0"/>
                              <w:w w:val="100"/>
                              <w:position w:val="0"/>
                            </w:rPr>
                            <w:t>神州泰岳</w:t>
                          </w:r>
                        </w:p>
                      </w:txbxContent>
                    </wps:txbx>
                    <wps:bodyPr wrap="none" lIns="0" tIns="0" rIns="0" bIns="0">
                      <a:spAutoFit/>
                    </wps:bodyPr>
                  </wps:wsp>
                </a:graphicData>
              </a:graphic>
            </wp:anchor>
          </w:drawing>
        </mc:Choice>
        <mc:Fallback>
          <w:pict>
            <v:shape id="_x0000_s1970" type="#_x0000_t202" style="position:absolute;margin-left:57.75pt;margin-top:55.450000000000003pt;width:79.700000000000003pt;height:22.300000000000001pt;z-index:-188743445;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204"/>
                      <w:keepNext w:val="0"/>
                      <w:keepLines w:val="0"/>
                      <w:widowControl w:val="0"/>
                      <w:shd w:val="clear" w:color="auto" w:fill="auto"/>
                      <w:bidi w:val="0"/>
                      <w:spacing w:before="0" w:after="0" w:line="240" w:lineRule="auto"/>
                      <w:ind w:left="0" w:right="0" w:firstLine="0"/>
                      <w:jc w:val="left"/>
                    </w:pPr>
                    <w:r>
                      <w:rPr>
                        <w:b/>
                        <w:bCs/>
                        <w:i/>
                        <w:iCs/>
                        <w:color w:val="6DB14A"/>
                        <w:spacing w:val="0"/>
                        <w:w w:val="100"/>
                        <w:position w:val="0"/>
                        <w:sz w:val="18"/>
                        <w:szCs w:val="18"/>
                      </w:rPr>
                      <w:t>、、</w:t>
                    </w:r>
                    <w:r>
                      <w:rPr>
                        <w:b/>
                        <w:bCs/>
                        <w:color w:val="6DB14A"/>
                        <w:spacing w:val="0"/>
                        <w:w w:val="100"/>
                        <w:position w:val="0"/>
                      </w:rPr>
                      <w:t>一^</w:t>
                    </w:r>
                    <w:r>
                      <w:rPr>
                        <w:b/>
                        <w:bCs/>
                        <w:color w:val="5199CB"/>
                        <w:spacing w:val="0"/>
                        <w:w w:val="100"/>
                        <w:position w:val="0"/>
                      </w:rPr>
                      <w:t>神州泰岳</w:t>
                    </w:r>
                  </w:p>
                </w:txbxContent>
              </v:textbox>
              <w10:wrap anchorx="page" anchory="page"/>
            </v:shape>
          </w:pict>
        </mc:Fallback>
      </mc:AlternateContent>
    </w:r>
    <w:r>
      <mc:AlternateContent>
        <mc:Choice Requires="wps">
          <w:drawing>
            <wp:anchor distT="0" distB="0" distL="0" distR="0" simplePos="0" relativeHeight="62915310" behindDoc="1" locked="0" layoutInCell="1" allowOverlap="1">
              <wp:simplePos x="0" y="0"/>
              <wp:positionH relativeFrom="page">
                <wp:posOffset>4156075</wp:posOffset>
              </wp:positionH>
              <wp:positionV relativeFrom="page">
                <wp:posOffset>892810</wp:posOffset>
              </wp:positionV>
              <wp:extent cx="2673350" cy="106680"/>
              <wp:wrapNone/>
              <wp:docPr id="946" name="Shape 946"/>
              <a:graphic xmlns:a="http://schemas.openxmlformats.org/drawingml/2006/main">
                <a:graphicData uri="http://schemas.microsoft.com/office/word/2010/wordprocessingShape">
                  <wps:wsp>
                    <wps:cNvSpPr txBox="1"/>
                    <wps:spPr>
                      <a:xfrm>
                        <a:ext cx="2673350" cy="10668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972" type="#_x0000_t202" style="position:absolute;margin-left:327.25pt;margin-top:70.299999999999997pt;width:210.5pt;height:8.4000000000000004pt;z-index:-188743443;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715010</wp:posOffset>
              </wp:positionH>
              <wp:positionV relativeFrom="page">
                <wp:posOffset>1042035</wp:posOffset>
              </wp:positionV>
              <wp:extent cx="6160135" cy="0"/>
              <wp:wrapNone/>
              <wp:docPr id="948" name="Shape 948"/>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6.300000000000004pt;margin-top:82.049999999999997pt;width:485.05000000000001pt;height:0;z-index:-251658240;mso-position-horizontal-relative:page;mso-position-vertical-relative:page">
              <v:stroke weight="1.pt"/>
            </v:shape>
          </w:pict>
        </mc:Fallback>
      </mc:AlternateContent>
    </w:r>
  </w:p>
</w:hdr>
</file>

<file path=word/header1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14" behindDoc="1" locked="0" layoutInCell="1" allowOverlap="1">
              <wp:simplePos x="0" y="0"/>
              <wp:positionH relativeFrom="page">
                <wp:posOffset>733425</wp:posOffset>
              </wp:positionH>
              <wp:positionV relativeFrom="page">
                <wp:posOffset>704215</wp:posOffset>
              </wp:positionV>
              <wp:extent cx="1012190" cy="283210"/>
              <wp:wrapNone/>
              <wp:docPr id="951" name="Shape 951"/>
              <a:graphic xmlns:a="http://schemas.openxmlformats.org/drawingml/2006/main">
                <a:graphicData uri="http://schemas.microsoft.com/office/word/2010/wordprocessingShape">
                  <wps:wsp>
                    <wps:cNvSpPr txBox="1"/>
                    <wps:spPr>
                      <a:xfrm>
                        <a:ext cx="1012190" cy="2832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204"/>
                            <w:keepNext w:val="0"/>
                            <w:keepLines w:val="0"/>
                            <w:widowControl w:val="0"/>
                            <w:shd w:val="clear" w:color="auto" w:fill="auto"/>
                            <w:bidi w:val="0"/>
                            <w:spacing w:before="0" w:after="0" w:line="240" w:lineRule="auto"/>
                            <w:ind w:left="0" w:right="0" w:firstLine="0"/>
                            <w:jc w:val="left"/>
                          </w:pPr>
                          <w:r>
                            <w:rPr>
                              <w:b/>
                              <w:bCs/>
                              <w:i/>
                              <w:iCs/>
                              <w:color w:val="6DB14A"/>
                              <w:spacing w:val="0"/>
                              <w:w w:val="100"/>
                              <w:position w:val="0"/>
                              <w:sz w:val="18"/>
                              <w:szCs w:val="18"/>
                            </w:rPr>
                            <w:t>、、</w:t>
                          </w:r>
                          <w:r>
                            <w:rPr>
                              <w:b/>
                              <w:bCs/>
                              <w:color w:val="6DB14A"/>
                              <w:spacing w:val="0"/>
                              <w:w w:val="100"/>
                              <w:position w:val="0"/>
                            </w:rPr>
                            <w:t>一^</w:t>
                          </w:r>
                          <w:r>
                            <w:rPr>
                              <w:b/>
                              <w:bCs/>
                              <w:color w:val="5199CB"/>
                              <w:spacing w:val="0"/>
                              <w:w w:val="100"/>
                              <w:position w:val="0"/>
                            </w:rPr>
                            <w:t>神州泰岳</w:t>
                          </w:r>
                        </w:p>
                      </w:txbxContent>
                    </wps:txbx>
                    <wps:bodyPr wrap="none" lIns="0" tIns="0" rIns="0" bIns="0">
                      <a:spAutoFit/>
                    </wps:bodyPr>
                  </wps:wsp>
                </a:graphicData>
              </a:graphic>
            </wp:anchor>
          </w:drawing>
        </mc:Choice>
        <mc:Fallback>
          <w:pict>
            <v:shape id="_x0000_s1977" type="#_x0000_t202" style="position:absolute;margin-left:57.75pt;margin-top:55.450000000000003pt;width:79.700000000000003pt;height:22.300000000000001pt;z-index:-188743439;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204"/>
                      <w:keepNext w:val="0"/>
                      <w:keepLines w:val="0"/>
                      <w:widowControl w:val="0"/>
                      <w:shd w:val="clear" w:color="auto" w:fill="auto"/>
                      <w:bidi w:val="0"/>
                      <w:spacing w:before="0" w:after="0" w:line="240" w:lineRule="auto"/>
                      <w:ind w:left="0" w:right="0" w:firstLine="0"/>
                      <w:jc w:val="left"/>
                    </w:pPr>
                    <w:r>
                      <w:rPr>
                        <w:b/>
                        <w:bCs/>
                        <w:i/>
                        <w:iCs/>
                        <w:color w:val="6DB14A"/>
                        <w:spacing w:val="0"/>
                        <w:w w:val="100"/>
                        <w:position w:val="0"/>
                        <w:sz w:val="18"/>
                        <w:szCs w:val="18"/>
                      </w:rPr>
                      <w:t>、、</w:t>
                    </w:r>
                    <w:r>
                      <w:rPr>
                        <w:b/>
                        <w:bCs/>
                        <w:color w:val="6DB14A"/>
                        <w:spacing w:val="0"/>
                        <w:w w:val="100"/>
                        <w:position w:val="0"/>
                      </w:rPr>
                      <w:t>一^</w:t>
                    </w:r>
                    <w:r>
                      <w:rPr>
                        <w:b/>
                        <w:bCs/>
                        <w:color w:val="5199CB"/>
                        <w:spacing w:val="0"/>
                        <w:w w:val="100"/>
                        <w:position w:val="0"/>
                      </w:rPr>
                      <w:t>神州泰岳</w:t>
                    </w:r>
                  </w:p>
                </w:txbxContent>
              </v:textbox>
              <w10:wrap anchorx="page" anchory="page"/>
            </v:shape>
          </w:pict>
        </mc:Fallback>
      </mc:AlternateContent>
    </w:r>
    <w:r>
      <mc:AlternateContent>
        <mc:Choice Requires="wps">
          <w:drawing>
            <wp:anchor distT="0" distB="0" distL="0" distR="0" simplePos="0" relativeHeight="62915316" behindDoc="1" locked="0" layoutInCell="1" allowOverlap="1">
              <wp:simplePos x="0" y="0"/>
              <wp:positionH relativeFrom="page">
                <wp:posOffset>4156075</wp:posOffset>
              </wp:positionH>
              <wp:positionV relativeFrom="page">
                <wp:posOffset>892810</wp:posOffset>
              </wp:positionV>
              <wp:extent cx="2673350" cy="106680"/>
              <wp:wrapNone/>
              <wp:docPr id="953" name="Shape 953"/>
              <a:graphic xmlns:a="http://schemas.openxmlformats.org/drawingml/2006/main">
                <a:graphicData uri="http://schemas.microsoft.com/office/word/2010/wordprocessingShape">
                  <wps:wsp>
                    <wps:cNvSpPr txBox="1"/>
                    <wps:spPr>
                      <a:xfrm>
                        <a:ext cx="2673350" cy="10668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979" type="#_x0000_t202" style="position:absolute;margin-left:327.25pt;margin-top:70.299999999999997pt;width:210.5pt;height:8.4000000000000004pt;z-index:-188743437;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715010</wp:posOffset>
              </wp:positionH>
              <wp:positionV relativeFrom="page">
                <wp:posOffset>1042035</wp:posOffset>
              </wp:positionV>
              <wp:extent cx="6160135" cy="0"/>
              <wp:wrapNone/>
              <wp:docPr id="955" name="Shape 955"/>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6.300000000000004pt;margin-top:82.049999999999997pt;width:485.05000000000001pt;height:0;z-index:-251658240;mso-position-horizontal-relative:page;mso-position-vertical-relative:page">
              <v:stroke weight="1.pt"/>
            </v:shape>
          </w:pict>
        </mc:Fallback>
      </mc:AlternateContent>
    </w:r>
  </w:p>
</w:hdr>
</file>

<file path=word/header1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20" behindDoc="1" locked="0" layoutInCell="1" allowOverlap="1">
              <wp:simplePos x="0" y="0"/>
              <wp:positionH relativeFrom="page">
                <wp:posOffset>733425</wp:posOffset>
              </wp:positionH>
              <wp:positionV relativeFrom="page">
                <wp:posOffset>704215</wp:posOffset>
              </wp:positionV>
              <wp:extent cx="1012190" cy="283210"/>
              <wp:wrapNone/>
              <wp:docPr id="958" name="Shape 958"/>
              <a:graphic xmlns:a="http://schemas.openxmlformats.org/drawingml/2006/main">
                <a:graphicData uri="http://schemas.microsoft.com/office/word/2010/wordprocessingShape">
                  <wps:wsp>
                    <wps:cNvSpPr txBox="1"/>
                    <wps:spPr>
                      <a:xfrm>
                        <a:ext cx="1012190" cy="2832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204"/>
                            <w:keepNext w:val="0"/>
                            <w:keepLines w:val="0"/>
                            <w:widowControl w:val="0"/>
                            <w:shd w:val="clear" w:color="auto" w:fill="auto"/>
                            <w:bidi w:val="0"/>
                            <w:spacing w:before="0" w:after="0" w:line="240" w:lineRule="auto"/>
                            <w:ind w:left="0" w:right="0" w:firstLine="0"/>
                            <w:jc w:val="left"/>
                          </w:pPr>
                          <w:r>
                            <w:rPr>
                              <w:b/>
                              <w:bCs/>
                              <w:i/>
                              <w:iCs/>
                              <w:color w:val="6DB14A"/>
                              <w:spacing w:val="0"/>
                              <w:w w:val="100"/>
                              <w:position w:val="0"/>
                              <w:sz w:val="18"/>
                              <w:szCs w:val="18"/>
                            </w:rPr>
                            <w:t>、、</w:t>
                          </w:r>
                          <w:r>
                            <w:rPr>
                              <w:b/>
                              <w:bCs/>
                              <w:color w:val="6DB14A"/>
                              <w:spacing w:val="0"/>
                              <w:w w:val="100"/>
                              <w:position w:val="0"/>
                            </w:rPr>
                            <w:t>一^</w:t>
                          </w:r>
                          <w:r>
                            <w:rPr>
                              <w:b/>
                              <w:bCs/>
                              <w:color w:val="5199CB"/>
                              <w:spacing w:val="0"/>
                              <w:w w:val="100"/>
                              <w:position w:val="0"/>
                            </w:rPr>
                            <w:t>神州泰岳</w:t>
                          </w:r>
                        </w:p>
                      </w:txbxContent>
                    </wps:txbx>
                    <wps:bodyPr wrap="none" lIns="0" tIns="0" rIns="0" bIns="0">
                      <a:spAutoFit/>
                    </wps:bodyPr>
                  </wps:wsp>
                </a:graphicData>
              </a:graphic>
            </wp:anchor>
          </w:drawing>
        </mc:Choice>
        <mc:Fallback>
          <w:pict>
            <v:shape id="_x0000_s1984" type="#_x0000_t202" style="position:absolute;margin-left:57.75pt;margin-top:55.450000000000003pt;width:79.700000000000003pt;height:22.300000000000001pt;z-index:-188743433;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204"/>
                      <w:keepNext w:val="0"/>
                      <w:keepLines w:val="0"/>
                      <w:widowControl w:val="0"/>
                      <w:shd w:val="clear" w:color="auto" w:fill="auto"/>
                      <w:bidi w:val="0"/>
                      <w:spacing w:before="0" w:after="0" w:line="240" w:lineRule="auto"/>
                      <w:ind w:left="0" w:right="0" w:firstLine="0"/>
                      <w:jc w:val="left"/>
                    </w:pPr>
                    <w:r>
                      <w:rPr>
                        <w:b/>
                        <w:bCs/>
                        <w:i/>
                        <w:iCs/>
                        <w:color w:val="6DB14A"/>
                        <w:spacing w:val="0"/>
                        <w:w w:val="100"/>
                        <w:position w:val="0"/>
                        <w:sz w:val="18"/>
                        <w:szCs w:val="18"/>
                      </w:rPr>
                      <w:t>、、</w:t>
                    </w:r>
                    <w:r>
                      <w:rPr>
                        <w:b/>
                        <w:bCs/>
                        <w:color w:val="6DB14A"/>
                        <w:spacing w:val="0"/>
                        <w:w w:val="100"/>
                        <w:position w:val="0"/>
                      </w:rPr>
                      <w:t>一^</w:t>
                    </w:r>
                    <w:r>
                      <w:rPr>
                        <w:b/>
                        <w:bCs/>
                        <w:color w:val="5199CB"/>
                        <w:spacing w:val="0"/>
                        <w:w w:val="100"/>
                        <w:position w:val="0"/>
                      </w:rPr>
                      <w:t>神州泰岳</w:t>
                    </w:r>
                  </w:p>
                </w:txbxContent>
              </v:textbox>
              <w10:wrap anchorx="page" anchory="page"/>
            </v:shape>
          </w:pict>
        </mc:Fallback>
      </mc:AlternateContent>
    </w:r>
    <w:r>
      <mc:AlternateContent>
        <mc:Choice Requires="wps">
          <w:drawing>
            <wp:anchor distT="0" distB="0" distL="0" distR="0" simplePos="0" relativeHeight="62915322" behindDoc="1" locked="0" layoutInCell="1" allowOverlap="1">
              <wp:simplePos x="0" y="0"/>
              <wp:positionH relativeFrom="page">
                <wp:posOffset>4156075</wp:posOffset>
              </wp:positionH>
              <wp:positionV relativeFrom="page">
                <wp:posOffset>892810</wp:posOffset>
              </wp:positionV>
              <wp:extent cx="2673350" cy="106680"/>
              <wp:wrapNone/>
              <wp:docPr id="960" name="Shape 960"/>
              <a:graphic xmlns:a="http://schemas.openxmlformats.org/drawingml/2006/main">
                <a:graphicData uri="http://schemas.microsoft.com/office/word/2010/wordprocessingShape">
                  <wps:wsp>
                    <wps:cNvSpPr txBox="1"/>
                    <wps:spPr>
                      <a:xfrm>
                        <a:ext cx="2673350" cy="10668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986" type="#_x0000_t202" style="position:absolute;margin-left:327.25pt;margin-top:70.299999999999997pt;width:210.5pt;height:8.4000000000000004pt;z-index:-188743431;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715010</wp:posOffset>
              </wp:positionH>
              <wp:positionV relativeFrom="page">
                <wp:posOffset>1042035</wp:posOffset>
              </wp:positionV>
              <wp:extent cx="6160135" cy="0"/>
              <wp:wrapNone/>
              <wp:docPr id="962" name="Shape 962"/>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6.300000000000004pt;margin-top:82.049999999999997pt;width:485.05000000000001pt;height:0;z-index:-251658240;mso-position-horizontal-relative:page;mso-position-vertical-relative:page">
              <v:stroke weight="1.pt"/>
            </v:shape>
          </w:pict>
        </mc:Fallback>
      </mc:AlternateContent>
    </w:r>
  </w:p>
</w:hdr>
</file>

<file path=word/header1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26" behindDoc="1" locked="0" layoutInCell="1" allowOverlap="1">
              <wp:simplePos x="0" y="0"/>
              <wp:positionH relativeFrom="page">
                <wp:posOffset>723900</wp:posOffset>
              </wp:positionH>
              <wp:positionV relativeFrom="page">
                <wp:posOffset>705485</wp:posOffset>
              </wp:positionV>
              <wp:extent cx="6096000" cy="295910"/>
              <wp:wrapNone/>
              <wp:docPr id="965" name="Shape 965"/>
              <a:graphic xmlns:a="http://schemas.openxmlformats.org/drawingml/2006/main">
                <a:graphicData uri="http://schemas.microsoft.com/office/word/2010/wordprocessingShape">
                  <wps:wsp>
                    <wps:cNvSpPr txBox="1"/>
                    <wps:spPr>
                      <a:xfrm>
                        <a:ext cx="6096000" cy="2959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991" type="#_x0000_t202" style="position:absolute;margin-left:57.pt;margin-top:55.550000000000004pt;width:480.pt;height:23.300000000000001pt;z-index:-188743427;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705485</wp:posOffset>
              </wp:positionH>
              <wp:positionV relativeFrom="page">
                <wp:posOffset>1043305</wp:posOffset>
              </wp:positionV>
              <wp:extent cx="6160135" cy="0"/>
              <wp:wrapNone/>
              <wp:docPr id="967" name="Shape 967"/>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5.550000000000004pt;margin-top:82.150000000000006pt;width:485.05000000000001pt;height:0;z-index:-251658240;mso-position-horizontal-relative:page;mso-position-vertical-relative:page">
              <v:stroke weight="1.pt"/>
            </v:shape>
          </w:pict>
        </mc:Fallback>
      </mc:AlternateContent>
    </w:r>
  </w:p>
</w:hdr>
</file>

<file path=word/header1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30" behindDoc="1" locked="0" layoutInCell="1" allowOverlap="1">
              <wp:simplePos x="0" y="0"/>
              <wp:positionH relativeFrom="page">
                <wp:posOffset>733425</wp:posOffset>
              </wp:positionH>
              <wp:positionV relativeFrom="page">
                <wp:posOffset>704215</wp:posOffset>
              </wp:positionV>
              <wp:extent cx="1012190" cy="283210"/>
              <wp:wrapNone/>
              <wp:docPr id="976" name="Shape 976"/>
              <a:graphic xmlns:a="http://schemas.openxmlformats.org/drawingml/2006/main">
                <a:graphicData uri="http://schemas.microsoft.com/office/word/2010/wordprocessingShape">
                  <wps:wsp>
                    <wps:cNvSpPr txBox="1"/>
                    <wps:spPr>
                      <a:xfrm>
                        <a:ext cx="1012190" cy="2832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204"/>
                            <w:keepNext w:val="0"/>
                            <w:keepLines w:val="0"/>
                            <w:widowControl w:val="0"/>
                            <w:shd w:val="clear" w:color="auto" w:fill="auto"/>
                            <w:bidi w:val="0"/>
                            <w:spacing w:before="0" w:after="0" w:line="240" w:lineRule="auto"/>
                            <w:ind w:left="0" w:right="0" w:firstLine="0"/>
                            <w:jc w:val="left"/>
                          </w:pPr>
                          <w:r>
                            <w:rPr>
                              <w:b/>
                              <w:bCs/>
                              <w:i/>
                              <w:iCs/>
                              <w:color w:val="6DB14A"/>
                              <w:spacing w:val="0"/>
                              <w:w w:val="100"/>
                              <w:position w:val="0"/>
                              <w:sz w:val="18"/>
                              <w:szCs w:val="18"/>
                            </w:rPr>
                            <w:t>、、</w:t>
                          </w:r>
                          <w:r>
                            <w:rPr>
                              <w:b/>
                              <w:bCs/>
                              <w:color w:val="6DB14A"/>
                              <w:spacing w:val="0"/>
                              <w:w w:val="100"/>
                              <w:position w:val="0"/>
                            </w:rPr>
                            <w:t>一^</w:t>
                          </w:r>
                          <w:r>
                            <w:rPr>
                              <w:b/>
                              <w:bCs/>
                              <w:color w:val="5199CB"/>
                              <w:spacing w:val="0"/>
                              <w:w w:val="100"/>
                              <w:position w:val="0"/>
                            </w:rPr>
                            <w:t>神州泰岳</w:t>
                          </w:r>
                        </w:p>
                      </w:txbxContent>
                    </wps:txbx>
                    <wps:bodyPr wrap="none" lIns="0" tIns="0" rIns="0" bIns="0">
                      <a:spAutoFit/>
                    </wps:bodyPr>
                  </wps:wsp>
                </a:graphicData>
              </a:graphic>
            </wp:anchor>
          </w:drawing>
        </mc:Choice>
        <mc:Fallback>
          <w:pict>
            <v:shape id="_x0000_s2002" type="#_x0000_t202" style="position:absolute;margin-left:57.75pt;margin-top:55.450000000000003pt;width:79.700000000000003pt;height:22.300000000000001pt;z-index:-188743423;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204"/>
                      <w:keepNext w:val="0"/>
                      <w:keepLines w:val="0"/>
                      <w:widowControl w:val="0"/>
                      <w:shd w:val="clear" w:color="auto" w:fill="auto"/>
                      <w:bidi w:val="0"/>
                      <w:spacing w:before="0" w:after="0" w:line="240" w:lineRule="auto"/>
                      <w:ind w:left="0" w:right="0" w:firstLine="0"/>
                      <w:jc w:val="left"/>
                    </w:pPr>
                    <w:r>
                      <w:rPr>
                        <w:b/>
                        <w:bCs/>
                        <w:i/>
                        <w:iCs/>
                        <w:color w:val="6DB14A"/>
                        <w:spacing w:val="0"/>
                        <w:w w:val="100"/>
                        <w:position w:val="0"/>
                        <w:sz w:val="18"/>
                        <w:szCs w:val="18"/>
                      </w:rPr>
                      <w:t>、、</w:t>
                    </w:r>
                    <w:r>
                      <w:rPr>
                        <w:b/>
                        <w:bCs/>
                        <w:color w:val="6DB14A"/>
                        <w:spacing w:val="0"/>
                        <w:w w:val="100"/>
                        <w:position w:val="0"/>
                      </w:rPr>
                      <w:t>一^</w:t>
                    </w:r>
                    <w:r>
                      <w:rPr>
                        <w:b/>
                        <w:bCs/>
                        <w:color w:val="5199CB"/>
                        <w:spacing w:val="0"/>
                        <w:w w:val="100"/>
                        <w:position w:val="0"/>
                      </w:rPr>
                      <w:t>神州泰岳</w:t>
                    </w:r>
                  </w:p>
                </w:txbxContent>
              </v:textbox>
              <w10:wrap anchorx="page" anchory="page"/>
            </v:shape>
          </w:pict>
        </mc:Fallback>
      </mc:AlternateContent>
    </w:r>
    <w:r>
      <mc:AlternateContent>
        <mc:Choice Requires="wps">
          <w:drawing>
            <wp:anchor distT="0" distB="0" distL="0" distR="0" simplePos="0" relativeHeight="62915332" behindDoc="1" locked="0" layoutInCell="1" allowOverlap="1">
              <wp:simplePos x="0" y="0"/>
              <wp:positionH relativeFrom="page">
                <wp:posOffset>4156075</wp:posOffset>
              </wp:positionH>
              <wp:positionV relativeFrom="page">
                <wp:posOffset>892810</wp:posOffset>
              </wp:positionV>
              <wp:extent cx="2673350" cy="106680"/>
              <wp:wrapNone/>
              <wp:docPr id="978" name="Shape 978"/>
              <a:graphic xmlns:a="http://schemas.openxmlformats.org/drawingml/2006/main">
                <a:graphicData uri="http://schemas.microsoft.com/office/word/2010/wordprocessingShape">
                  <wps:wsp>
                    <wps:cNvSpPr txBox="1"/>
                    <wps:spPr>
                      <a:xfrm>
                        <a:ext cx="2673350" cy="10668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004" type="#_x0000_t202" style="position:absolute;margin-left:327.25pt;margin-top:70.299999999999997pt;width:210.5pt;height:8.4000000000000004pt;z-index:-188743421;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715010</wp:posOffset>
              </wp:positionH>
              <wp:positionV relativeFrom="page">
                <wp:posOffset>1042035</wp:posOffset>
              </wp:positionV>
              <wp:extent cx="6160135" cy="0"/>
              <wp:wrapNone/>
              <wp:docPr id="980" name="Shape 980"/>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6.300000000000004pt;margin-top:82.049999999999997pt;width:485.05000000000001pt;height:0;z-index:-251658240;mso-position-horizontal-relative:page;mso-position-vertical-relative:page">
              <v:stroke weight="1.pt"/>
            </v:shape>
          </w:pict>
        </mc:Fallback>
      </mc:AlternateContent>
    </w:r>
  </w:p>
</w:hdr>
</file>

<file path=word/header1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36" behindDoc="1" locked="0" layoutInCell="1" allowOverlap="1">
              <wp:simplePos x="0" y="0"/>
              <wp:positionH relativeFrom="page">
                <wp:posOffset>733425</wp:posOffset>
              </wp:positionH>
              <wp:positionV relativeFrom="page">
                <wp:posOffset>704215</wp:posOffset>
              </wp:positionV>
              <wp:extent cx="1012190" cy="283210"/>
              <wp:wrapNone/>
              <wp:docPr id="983" name="Shape 983"/>
              <a:graphic xmlns:a="http://schemas.openxmlformats.org/drawingml/2006/main">
                <a:graphicData uri="http://schemas.microsoft.com/office/word/2010/wordprocessingShape">
                  <wps:wsp>
                    <wps:cNvSpPr txBox="1"/>
                    <wps:spPr>
                      <a:xfrm>
                        <a:ext cx="1012190" cy="2832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204"/>
                            <w:keepNext w:val="0"/>
                            <w:keepLines w:val="0"/>
                            <w:widowControl w:val="0"/>
                            <w:shd w:val="clear" w:color="auto" w:fill="auto"/>
                            <w:bidi w:val="0"/>
                            <w:spacing w:before="0" w:after="0" w:line="240" w:lineRule="auto"/>
                            <w:ind w:left="0" w:right="0" w:firstLine="0"/>
                            <w:jc w:val="left"/>
                          </w:pPr>
                          <w:r>
                            <w:rPr>
                              <w:b/>
                              <w:bCs/>
                              <w:i/>
                              <w:iCs/>
                              <w:color w:val="6DB14A"/>
                              <w:spacing w:val="0"/>
                              <w:w w:val="100"/>
                              <w:position w:val="0"/>
                              <w:sz w:val="18"/>
                              <w:szCs w:val="18"/>
                            </w:rPr>
                            <w:t>、、</w:t>
                          </w:r>
                          <w:r>
                            <w:rPr>
                              <w:b/>
                              <w:bCs/>
                              <w:color w:val="6DB14A"/>
                              <w:spacing w:val="0"/>
                              <w:w w:val="100"/>
                              <w:position w:val="0"/>
                            </w:rPr>
                            <w:t>一^</w:t>
                          </w:r>
                          <w:r>
                            <w:rPr>
                              <w:b/>
                              <w:bCs/>
                              <w:color w:val="5199CB"/>
                              <w:spacing w:val="0"/>
                              <w:w w:val="100"/>
                              <w:position w:val="0"/>
                            </w:rPr>
                            <w:t>神州泰岳</w:t>
                          </w:r>
                        </w:p>
                      </w:txbxContent>
                    </wps:txbx>
                    <wps:bodyPr wrap="none" lIns="0" tIns="0" rIns="0" bIns="0">
                      <a:spAutoFit/>
                    </wps:bodyPr>
                  </wps:wsp>
                </a:graphicData>
              </a:graphic>
            </wp:anchor>
          </w:drawing>
        </mc:Choice>
        <mc:Fallback>
          <w:pict>
            <v:shape id="_x0000_s2009" type="#_x0000_t202" style="position:absolute;margin-left:57.75pt;margin-top:55.450000000000003pt;width:79.700000000000003pt;height:22.300000000000001pt;z-index:-188743417;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204"/>
                      <w:keepNext w:val="0"/>
                      <w:keepLines w:val="0"/>
                      <w:widowControl w:val="0"/>
                      <w:shd w:val="clear" w:color="auto" w:fill="auto"/>
                      <w:bidi w:val="0"/>
                      <w:spacing w:before="0" w:after="0" w:line="240" w:lineRule="auto"/>
                      <w:ind w:left="0" w:right="0" w:firstLine="0"/>
                      <w:jc w:val="left"/>
                    </w:pPr>
                    <w:r>
                      <w:rPr>
                        <w:b/>
                        <w:bCs/>
                        <w:i/>
                        <w:iCs/>
                        <w:color w:val="6DB14A"/>
                        <w:spacing w:val="0"/>
                        <w:w w:val="100"/>
                        <w:position w:val="0"/>
                        <w:sz w:val="18"/>
                        <w:szCs w:val="18"/>
                      </w:rPr>
                      <w:t>、、</w:t>
                    </w:r>
                    <w:r>
                      <w:rPr>
                        <w:b/>
                        <w:bCs/>
                        <w:color w:val="6DB14A"/>
                        <w:spacing w:val="0"/>
                        <w:w w:val="100"/>
                        <w:position w:val="0"/>
                      </w:rPr>
                      <w:t>一^</w:t>
                    </w:r>
                    <w:r>
                      <w:rPr>
                        <w:b/>
                        <w:bCs/>
                        <w:color w:val="5199CB"/>
                        <w:spacing w:val="0"/>
                        <w:w w:val="100"/>
                        <w:position w:val="0"/>
                      </w:rPr>
                      <w:t>神州泰岳</w:t>
                    </w:r>
                  </w:p>
                </w:txbxContent>
              </v:textbox>
              <w10:wrap anchorx="page" anchory="page"/>
            </v:shape>
          </w:pict>
        </mc:Fallback>
      </mc:AlternateContent>
    </w:r>
    <w:r>
      <mc:AlternateContent>
        <mc:Choice Requires="wps">
          <w:drawing>
            <wp:anchor distT="0" distB="0" distL="0" distR="0" simplePos="0" relativeHeight="62915338" behindDoc="1" locked="0" layoutInCell="1" allowOverlap="1">
              <wp:simplePos x="0" y="0"/>
              <wp:positionH relativeFrom="page">
                <wp:posOffset>4156075</wp:posOffset>
              </wp:positionH>
              <wp:positionV relativeFrom="page">
                <wp:posOffset>892810</wp:posOffset>
              </wp:positionV>
              <wp:extent cx="2673350" cy="106680"/>
              <wp:wrapNone/>
              <wp:docPr id="985" name="Shape 985"/>
              <a:graphic xmlns:a="http://schemas.openxmlformats.org/drawingml/2006/main">
                <a:graphicData uri="http://schemas.microsoft.com/office/word/2010/wordprocessingShape">
                  <wps:wsp>
                    <wps:cNvSpPr txBox="1"/>
                    <wps:spPr>
                      <a:xfrm>
                        <a:ext cx="2673350" cy="10668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011" type="#_x0000_t202" style="position:absolute;margin-left:327.25pt;margin-top:70.299999999999997pt;width:210.5pt;height:8.4000000000000004pt;z-index:-188743415;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715010</wp:posOffset>
              </wp:positionH>
              <wp:positionV relativeFrom="page">
                <wp:posOffset>1042035</wp:posOffset>
              </wp:positionV>
              <wp:extent cx="6160135" cy="0"/>
              <wp:wrapNone/>
              <wp:docPr id="987" name="Shape 987"/>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6.300000000000004pt;margin-top:82.049999999999997pt;width:485.05000000000001pt;height:0;z-index:-251658240;mso-position-horizontal-relative:page;mso-position-vertical-relative:page">
              <v:stroke weight="1.pt"/>
            </v:shape>
          </w:pict>
        </mc:Fallback>
      </mc:AlternateContent>
    </w:r>
  </w:p>
</w:hdr>
</file>

<file path=word/header1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42" behindDoc="1" locked="0" layoutInCell="1" allowOverlap="1">
              <wp:simplePos x="0" y="0"/>
              <wp:positionH relativeFrom="page">
                <wp:posOffset>734695</wp:posOffset>
              </wp:positionH>
              <wp:positionV relativeFrom="page">
                <wp:posOffset>705485</wp:posOffset>
              </wp:positionV>
              <wp:extent cx="6096000" cy="295910"/>
              <wp:wrapNone/>
              <wp:docPr id="990" name="Shape 990"/>
              <a:graphic xmlns:a="http://schemas.openxmlformats.org/drawingml/2006/main">
                <a:graphicData uri="http://schemas.microsoft.com/office/word/2010/wordprocessingShape">
                  <wps:wsp>
                    <wps:cNvSpPr txBox="1"/>
                    <wps:spPr>
                      <a:xfrm>
                        <a:ext cx="6096000" cy="2959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tabs>
                              <w:tab w:pos="8707" w:val="right"/>
                            </w:tabs>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1F84C4"/>
                              <w:spacing w:val="0"/>
                              <w:w w:val="100"/>
                              <w:position w:val="0"/>
                            </w:rPr>
                            <w:t>•，</w:t>
                            <w:tab/>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lIns="0" tIns="0" rIns="0" bIns="0">
                      <a:spAutoFit/>
                    </wps:bodyPr>
                  </wps:wsp>
                </a:graphicData>
              </a:graphic>
            </wp:anchor>
          </w:drawing>
        </mc:Choice>
        <mc:Fallback>
          <w:pict>
            <v:shape id="_x0000_s2016" type="#_x0000_t202" style="position:absolute;margin-left:57.850000000000001pt;margin-top:55.550000000000004pt;width:480.pt;height:23.300000000000001pt;z-index:-188743411;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tabs>
                        <w:tab w:pos="8707" w:val="right"/>
                      </w:tabs>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1F84C4"/>
                        <w:spacing w:val="0"/>
                        <w:w w:val="100"/>
                        <w:position w:val="0"/>
                      </w:rPr>
                      <w:t>•，</w:t>
                      <w:tab/>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716280</wp:posOffset>
              </wp:positionH>
              <wp:positionV relativeFrom="page">
                <wp:posOffset>1043305</wp:posOffset>
              </wp:positionV>
              <wp:extent cx="6160135" cy="0"/>
              <wp:wrapNone/>
              <wp:docPr id="992" name="Shape 992"/>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6.399999999999999pt;margin-top:82.150000000000006pt;width:485.05000000000001pt;height:0;z-index:-251658240;mso-position-horizontal-relative:page;mso-position-vertical-relative:page">
              <v:stroke weight="1.pt"/>
            </v:shape>
          </w:pict>
        </mc:Fallback>
      </mc:AlternateContent>
    </w:r>
  </w:p>
</w:hdr>
</file>

<file path=word/header1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46" behindDoc="1" locked="0" layoutInCell="1" allowOverlap="1">
              <wp:simplePos x="0" y="0"/>
              <wp:positionH relativeFrom="page">
                <wp:posOffset>733425</wp:posOffset>
              </wp:positionH>
              <wp:positionV relativeFrom="page">
                <wp:posOffset>704215</wp:posOffset>
              </wp:positionV>
              <wp:extent cx="1012190" cy="283210"/>
              <wp:wrapNone/>
              <wp:docPr id="1003" name="Shape 1003"/>
              <a:graphic xmlns:a="http://schemas.openxmlformats.org/drawingml/2006/main">
                <a:graphicData uri="http://schemas.microsoft.com/office/word/2010/wordprocessingShape">
                  <wps:wsp>
                    <wps:cNvSpPr txBox="1"/>
                    <wps:spPr>
                      <a:xfrm>
                        <a:ext cx="1012190" cy="2832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204"/>
                            <w:keepNext w:val="0"/>
                            <w:keepLines w:val="0"/>
                            <w:widowControl w:val="0"/>
                            <w:shd w:val="clear" w:color="auto" w:fill="auto"/>
                            <w:bidi w:val="0"/>
                            <w:spacing w:before="0" w:after="0" w:line="240" w:lineRule="auto"/>
                            <w:ind w:left="0" w:right="0" w:firstLine="0"/>
                            <w:jc w:val="left"/>
                          </w:pPr>
                          <w:r>
                            <w:rPr>
                              <w:b/>
                              <w:bCs/>
                              <w:i/>
                              <w:iCs/>
                              <w:color w:val="6DB14A"/>
                              <w:spacing w:val="0"/>
                              <w:w w:val="100"/>
                              <w:position w:val="0"/>
                              <w:sz w:val="18"/>
                              <w:szCs w:val="18"/>
                            </w:rPr>
                            <w:t>、、</w:t>
                          </w:r>
                          <w:r>
                            <w:rPr>
                              <w:b/>
                              <w:bCs/>
                              <w:color w:val="6DB14A"/>
                              <w:spacing w:val="0"/>
                              <w:w w:val="100"/>
                              <w:position w:val="0"/>
                            </w:rPr>
                            <w:t>一^</w:t>
                          </w:r>
                          <w:r>
                            <w:rPr>
                              <w:b/>
                              <w:bCs/>
                              <w:color w:val="5199CB"/>
                              <w:spacing w:val="0"/>
                              <w:w w:val="100"/>
                              <w:position w:val="0"/>
                            </w:rPr>
                            <w:t>神州泰岳</w:t>
                          </w:r>
                        </w:p>
                      </w:txbxContent>
                    </wps:txbx>
                    <wps:bodyPr wrap="none" lIns="0" tIns="0" rIns="0" bIns="0">
                      <a:spAutoFit/>
                    </wps:bodyPr>
                  </wps:wsp>
                </a:graphicData>
              </a:graphic>
            </wp:anchor>
          </w:drawing>
        </mc:Choice>
        <mc:Fallback>
          <w:pict>
            <v:shape id="_x0000_s2029" type="#_x0000_t202" style="position:absolute;margin-left:57.75pt;margin-top:55.450000000000003pt;width:79.700000000000003pt;height:22.300000000000001pt;z-index:-188743407;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204"/>
                      <w:keepNext w:val="0"/>
                      <w:keepLines w:val="0"/>
                      <w:widowControl w:val="0"/>
                      <w:shd w:val="clear" w:color="auto" w:fill="auto"/>
                      <w:bidi w:val="0"/>
                      <w:spacing w:before="0" w:after="0" w:line="240" w:lineRule="auto"/>
                      <w:ind w:left="0" w:right="0" w:firstLine="0"/>
                      <w:jc w:val="left"/>
                    </w:pPr>
                    <w:r>
                      <w:rPr>
                        <w:b/>
                        <w:bCs/>
                        <w:i/>
                        <w:iCs/>
                        <w:color w:val="6DB14A"/>
                        <w:spacing w:val="0"/>
                        <w:w w:val="100"/>
                        <w:position w:val="0"/>
                        <w:sz w:val="18"/>
                        <w:szCs w:val="18"/>
                      </w:rPr>
                      <w:t>、、</w:t>
                    </w:r>
                    <w:r>
                      <w:rPr>
                        <w:b/>
                        <w:bCs/>
                        <w:color w:val="6DB14A"/>
                        <w:spacing w:val="0"/>
                        <w:w w:val="100"/>
                        <w:position w:val="0"/>
                      </w:rPr>
                      <w:t>一^</w:t>
                    </w:r>
                    <w:r>
                      <w:rPr>
                        <w:b/>
                        <w:bCs/>
                        <w:color w:val="5199CB"/>
                        <w:spacing w:val="0"/>
                        <w:w w:val="100"/>
                        <w:position w:val="0"/>
                      </w:rPr>
                      <w:t>神州泰岳</w:t>
                    </w:r>
                  </w:p>
                </w:txbxContent>
              </v:textbox>
              <w10:wrap anchorx="page" anchory="page"/>
            </v:shape>
          </w:pict>
        </mc:Fallback>
      </mc:AlternateContent>
    </w:r>
    <w:r>
      <mc:AlternateContent>
        <mc:Choice Requires="wps">
          <w:drawing>
            <wp:anchor distT="0" distB="0" distL="0" distR="0" simplePos="0" relativeHeight="62915348" behindDoc="1" locked="0" layoutInCell="1" allowOverlap="1">
              <wp:simplePos x="0" y="0"/>
              <wp:positionH relativeFrom="page">
                <wp:posOffset>4156075</wp:posOffset>
              </wp:positionH>
              <wp:positionV relativeFrom="page">
                <wp:posOffset>892810</wp:posOffset>
              </wp:positionV>
              <wp:extent cx="2673350" cy="106680"/>
              <wp:wrapNone/>
              <wp:docPr id="1005" name="Shape 1005"/>
              <a:graphic xmlns:a="http://schemas.openxmlformats.org/drawingml/2006/main">
                <a:graphicData uri="http://schemas.microsoft.com/office/word/2010/wordprocessingShape">
                  <wps:wsp>
                    <wps:cNvSpPr txBox="1"/>
                    <wps:spPr>
                      <a:xfrm>
                        <a:ext cx="2673350" cy="10668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031" type="#_x0000_t202" style="position:absolute;margin-left:327.25pt;margin-top:70.299999999999997pt;width:210.5pt;height:8.4000000000000004pt;z-index:-188743405;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715010</wp:posOffset>
              </wp:positionH>
              <wp:positionV relativeFrom="page">
                <wp:posOffset>1042035</wp:posOffset>
              </wp:positionV>
              <wp:extent cx="6160135" cy="0"/>
              <wp:wrapNone/>
              <wp:docPr id="1007" name="Shape 1007"/>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6.300000000000004pt;margin-top:82.049999999999997pt;width:485.05000000000001pt;height:0;z-index:-251658240;mso-position-horizontal-relative:page;mso-position-vertical-relative:page">
              <v:stroke weight="1.pt"/>
            </v:shape>
          </w:pict>
        </mc:Fallback>
      </mc:AlternateContent>
    </w:r>
  </w:p>
</w:hdr>
</file>

<file path=word/header1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52" behindDoc="1" locked="0" layoutInCell="1" allowOverlap="1">
              <wp:simplePos x="0" y="0"/>
              <wp:positionH relativeFrom="page">
                <wp:posOffset>733425</wp:posOffset>
              </wp:positionH>
              <wp:positionV relativeFrom="page">
                <wp:posOffset>704215</wp:posOffset>
              </wp:positionV>
              <wp:extent cx="1012190" cy="283210"/>
              <wp:wrapNone/>
              <wp:docPr id="1010" name="Shape 1010"/>
              <a:graphic xmlns:a="http://schemas.openxmlformats.org/drawingml/2006/main">
                <a:graphicData uri="http://schemas.microsoft.com/office/word/2010/wordprocessingShape">
                  <wps:wsp>
                    <wps:cNvSpPr txBox="1"/>
                    <wps:spPr>
                      <a:xfrm>
                        <a:ext cx="1012190" cy="2832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204"/>
                            <w:keepNext w:val="0"/>
                            <w:keepLines w:val="0"/>
                            <w:widowControl w:val="0"/>
                            <w:shd w:val="clear" w:color="auto" w:fill="auto"/>
                            <w:bidi w:val="0"/>
                            <w:spacing w:before="0" w:after="0" w:line="240" w:lineRule="auto"/>
                            <w:ind w:left="0" w:right="0" w:firstLine="0"/>
                            <w:jc w:val="left"/>
                          </w:pPr>
                          <w:r>
                            <w:rPr>
                              <w:b/>
                              <w:bCs/>
                              <w:i/>
                              <w:iCs/>
                              <w:color w:val="6DB14A"/>
                              <w:spacing w:val="0"/>
                              <w:w w:val="100"/>
                              <w:position w:val="0"/>
                              <w:sz w:val="18"/>
                              <w:szCs w:val="18"/>
                            </w:rPr>
                            <w:t>、、</w:t>
                          </w:r>
                          <w:r>
                            <w:rPr>
                              <w:b/>
                              <w:bCs/>
                              <w:color w:val="6DB14A"/>
                              <w:spacing w:val="0"/>
                              <w:w w:val="100"/>
                              <w:position w:val="0"/>
                            </w:rPr>
                            <w:t>一^</w:t>
                          </w:r>
                          <w:r>
                            <w:rPr>
                              <w:b/>
                              <w:bCs/>
                              <w:color w:val="5199CB"/>
                              <w:spacing w:val="0"/>
                              <w:w w:val="100"/>
                              <w:position w:val="0"/>
                            </w:rPr>
                            <w:t>神州泰岳</w:t>
                          </w:r>
                        </w:p>
                      </w:txbxContent>
                    </wps:txbx>
                    <wps:bodyPr wrap="none" lIns="0" tIns="0" rIns="0" bIns="0">
                      <a:spAutoFit/>
                    </wps:bodyPr>
                  </wps:wsp>
                </a:graphicData>
              </a:graphic>
            </wp:anchor>
          </w:drawing>
        </mc:Choice>
        <mc:Fallback>
          <w:pict>
            <v:shape id="_x0000_s2036" type="#_x0000_t202" style="position:absolute;margin-left:57.75pt;margin-top:55.450000000000003pt;width:79.700000000000003pt;height:22.300000000000001pt;z-index:-188743401;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204"/>
                      <w:keepNext w:val="0"/>
                      <w:keepLines w:val="0"/>
                      <w:widowControl w:val="0"/>
                      <w:shd w:val="clear" w:color="auto" w:fill="auto"/>
                      <w:bidi w:val="0"/>
                      <w:spacing w:before="0" w:after="0" w:line="240" w:lineRule="auto"/>
                      <w:ind w:left="0" w:right="0" w:firstLine="0"/>
                      <w:jc w:val="left"/>
                    </w:pPr>
                    <w:r>
                      <w:rPr>
                        <w:b/>
                        <w:bCs/>
                        <w:i/>
                        <w:iCs/>
                        <w:color w:val="6DB14A"/>
                        <w:spacing w:val="0"/>
                        <w:w w:val="100"/>
                        <w:position w:val="0"/>
                        <w:sz w:val="18"/>
                        <w:szCs w:val="18"/>
                      </w:rPr>
                      <w:t>、、</w:t>
                    </w:r>
                    <w:r>
                      <w:rPr>
                        <w:b/>
                        <w:bCs/>
                        <w:color w:val="6DB14A"/>
                        <w:spacing w:val="0"/>
                        <w:w w:val="100"/>
                        <w:position w:val="0"/>
                      </w:rPr>
                      <w:t>一^</w:t>
                    </w:r>
                    <w:r>
                      <w:rPr>
                        <w:b/>
                        <w:bCs/>
                        <w:color w:val="5199CB"/>
                        <w:spacing w:val="0"/>
                        <w:w w:val="100"/>
                        <w:position w:val="0"/>
                      </w:rPr>
                      <w:t>神州泰岳</w:t>
                    </w:r>
                  </w:p>
                </w:txbxContent>
              </v:textbox>
              <w10:wrap anchorx="page" anchory="page"/>
            </v:shape>
          </w:pict>
        </mc:Fallback>
      </mc:AlternateContent>
    </w:r>
    <w:r>
      <mc:AlternateContent>
        <mc:Choice Requires="wps">
          <w:drawing>
            <wp:anchor distT="0" distB="0" distL="0" distR="0" simplePos="0" relativeHeight="62915354" behindDoc="1" locked="0" layoutInCell="1" allowOverlap="1">
              <wp:simplePos x="0" y="0"/>
              <wp:positionH relativeFrom="page">
                <wp:posOffset>4156075</wp:posOffset>
              </wp:positionH>
              <wp:positionV relativeFrom="page">
                <wp:posOffset>892810</wp:posOffset>
              </wp:positionV>
              <wp:extent cx="2673350" cy="106680"/>
              <wp:wrapNone/>
              <wp:docPr id="1012" name="Shape 1012"/>
              <a:graphic xmlns:a="http://schemas.openxmlformats.org/drawingml/2006/main">
                <a:graphicData uri="http://schemas.microsoft.com/office/word/2010/wordprocessingShape">
                  <wps:wsp>
                    <wps:cNvSpPr txBox="1"/>
                    <wps:spPr>
                      <a:xfrm>
                        <a:ext cx="2673350" cy="10668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038" type="#_x0000_t202" style="position:absolute;margin-left:327.25pt;margin-top:70.299999999999997pt;width:210.5pt;height:8.4000000000000004pt;z-index:-188743399;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715010</wp:posOffset>
              </wp:positionH>
              <wp:positionV relativeFrom="page">
                <wp:posOffset>1042035</wp:posOffset>
              </wp:positionV>
              <wp:extent cx="6160135" cy="0"/>
              <wp:wrapNone/>
              <wp:docPr id="1014" name="Shape 1014"/>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6.300000000000004pt;margin-top:82.049999999999997pt;width:485.05000000000001pt;height:0;z-index:-251658240;mso-position-horizontal-relative:page;mso-position-vertical-relative:page">
              <v:stroke weight="1.pt"/>
            </v:shape>
          </w:pict>
        </mc:Fallback>
      </mc:AlternateContent>
    </w:r>
  </w:p>
</w:hdr>
</file>

<file path=word/header1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58" behindDoc="1" locked="0" layoutInCell="1" allowOverlap="1">
              <wp:simplePos x="0" y="0"/>
              <wp:positionH relativeFrom="page">
                <wp:posOffset>685800</wp:posOffset>
              </wp:positionH>
              <wp:positionV relativeFrom="page">
                <wp:posOffset>705485</wp:posOffset>
              </wp:positionV>
              <wp:extent cx="6096000" cy="295910"/>
              <wp:wrapNone/>
              <wp:docPr id="1017" name="Shape 1017"/>
              <a:graphic xmlns:a="http://schemas.openxmlformats.org/drawingml/2006/main">
                <a:graphicData uri="http://schemas.microsoft.com/office/word/2010/wordprocessingShape">
                  <wps:wsp>
                    <wps:cNvSpPr txBox="1"/>
                    <wps:spPr>
                      <a:xfrm>
                        <a:ext cx="6096000" cy="2959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tabs>
                              <w:tab w:pos="8707" w:val="right"/>
                            </w:tabs>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1F84C4"/>
                              <w:spacing w:val="0"/>
                              <w:w w:val="100"/>
                              <w:position w:val="0"/>
                            </w:rPr>
                            <w:t>•，</w:t>
                            <w:tab/>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lIns="0" tIns="0" rIns="0" bIns="0">
                      <a:spAutoFit/>
                    </wps:bodyPr>
                  </wps:wsp>
                </a:graphicData>
              </a:graphic>
            </wp:anchor>
          </w:drawing>
        </mc:Choice>
        <mc:Fallback>
          <w:pict>
            <v:shape id="_x0000_s2043" type="#_x0000_t202" style="position:absolute;margin-left:54.pt;margin-top:55.550000000000004pt;width:480.pt;height:23.300000000000001pt;z-index:-188743395;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tabs>
                        <w:tab w:pos="8707" w:val="right"/>
                      </w:tabs>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1F84C4"/>
                        <w:spacing w:val="0"/>
                        <w:w w:val="100"/>
                        <w:position w:val="0"/>
                      </w:rPr>
                      <w:t>•，</w:t>
                      <w:tab/>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p>
</w:hdr>
</file>

<file path=word/header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4" behindDoc="1" locked="0" layoutInCell="1" allowOverlap="1">
              <wp:simplePos x="0" y="0"/>
              <wp:positionH relativeFrom="page">
                <wp:posOffset>718820</wp:posOffset>
              </wp:positionH>
              <wp:positionV relativeFrom="page">
                <wp:posOffset>641985</wp:posOffset>
              </wp:positionV>
              <wp:extent cx="1012190" cy="283210"/>
              <wp:wrapNone/>
              <wp:docPr id="179" name="Shape 179"/>
              <a:graphic xmlns:a="http://schemas.openxmlformats.org/drawingml/2006/main">
                <a:graphicData uri="http://schemas.microsoft.com/office/word/2010/wordprocessingShape">
                  <wps:wsp>
                    <wps:cNvSpPr txBox="1"/>
                    <wps:spPr>
                      <a:xfrm>
                        <a:ext cx="1012190" cy="283210"/>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b/>
                              <w:bCs/>
                              <w:i/>
                              <w:iCs/>
                              <w:color w:val="6DB14A"/>
                              <w:spacing w:val="0"/>
                              <w:w w:val="100"/>
                              <w:position w:val="0"/>
                              <w:sz w:val="18"/>
                              <w:szCs w:val="18"/>
                            </w:rPr>
                            <w:t>、、</w:t>
                          </w:r>
                          <w:r>
                            <w:rPr>
                              <w:rFonts w:ascii="SimSun" w:eastAsia="SimSun" w:hAnsi="SimSun" w:cs="SimSun"/>
                              <w:b/>
                              <w:bCs/>
                              <w:color w:val="6DB14A"/>
                              <w:spacing w:val="0"/>
                              <w:w w:val="100"/>
                              <w:position w:val="0"/>
                              <w:sz w:val="17"/>
                              <w:szCs w:val="17"/>
                            </w:rPr>
                            <w:t>一^</w:t>
                          </w:r>
                          <w:r>
                            <w:rPr>
                              <w:rFonts w:ascii="SimSun" w:eastAsia="SimSun" w:hAnsi="SimSun" w:cs="SimSun"/>
                              <w:b/>
                              <w:bCs/>
                              <w:color w:val="5199CB"/>
                              <w:spacing w:val="0"/>
                              <w:w w:val="100"/>
                              <w:position w:val="0"/>
                              <w:sz w:val="17"/>
                              <w:szCs w:val="17"/>
                            </w:rPr>
                            <w:t>神州泰岳</w:t>
                          </w:r>
                        </w:p>
                      </w:txbxContent>
                    </wps:txbx>
                    <wps:bodyPr wrap="none" lIns="0" tIns="0" rIns="0" bIns="0">
                      <a:spAutoFit/>
                    </wps:bodyPr>
                  </wps:wsp>
                </a:graphicData>
              </a:graphic>
            </wp:anchor>
          </w:drawing>
        </mc:Choice>
        <mc:Fallback>
          <w:pict>
            <v:shape id="_x0000_s1205" type="#_x0000_t202" style="position:absolute;margin-left:56.600000000000001pt;margin-top:50.550000000000004pt;width:79.700000000000003pt;height:22.300000000000001pt;z-index:-188743999;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b/>
                        <w:bCs/>
                        <w:i/>
                        <w:iCs/>
                        <w:color w:val="6DB14A"/>
                        <w:spacing w:val="0"/>
                        <w:w w:val="100"/>
                        <w:position w:val="0"/>
                        <w:sz w:val="18"/>
                        <w:szCs w:val="18"/>
                      </w:rPr>
                      <w:t>、、</w:t>
                    </w:r>
                    <w:r>
                      <w:rPr>
                        <w:rFonts w:ascii="SimSun" w:eastAsia="SimSun" w:hAnsi="SimSun" w:cs="SimSun"/>
                        <w:b/>
                        <w:bCs/>
                        <w:color w:val="6DB14A"/>
                        <w:spacing w:val="0"/>
                        <w:w w:val="100"/>
                        <w:position w:val="0"/>
                        <w:sz w:val="17"/>
                        <w:szCs w:val="17"/>
                      </w:rPr>
                      <w:t>一^</w:t>
                    </w:r>
                    <w:r>
                      <w:rPr>
                        <w:rFonts w:ascii="SimSun" w:eastAsia="SimSun" w:hAnsi="SimSun" w:cs="SimSun"/>
                        <w:b/>
                        <w:bCs/>
                        <w:color w:val="5199CB"/>
                        <w:spacing w:val="0"/>
                        <w:w w:val="100"/>
                        <w:position w:val="0"/>
                        <w:sz w:val="17"/>
                        <w:szCs w:val="17"/>
                      </w:rPr>
                      <w:t>神州泰岳</w:t>
                    </w:r>
                  </w:p>
                </w:txbxContent>
              </v:textbox>
              <w10:wrap anchorx="page" anchory="page"/>
            </v:shape>
          </w:pict>
        </mc:Fallback>
      </mc:AlternateContent>
    </w:r>
    <w:r>
      <mc:AlternateContent>
        <mc:Choice Requires="wps">
          <w:drawing>
            <wp:anchor distT="0" distB="0" distL="0" distR="0" simplePos="0" relativeHeight="62914756" behindDoc="1" locked="0" layoutInCell="1" allowOverlap="1">
              <wp:simplePos x="0" y="0"/>
              <wp:positionH relativeFrom="page">
                <wp:posOffset>4141470</wp:posOffset>
              </wp:positionH>
              <wp:positionV relativeFrom="page">
                <wp:posOffset>830580</wp:posOffset>
              </wp:positionV>
              <wp:extent cx="2673350" cy="106680"/>
              <wp:wrapNone/>
              <wp:docPr id="181" name="Shape 181"/>
              <a:graphic xmlns:a="http://schemas.openxmlformats.org/drawingml/2006/main">
                <a:graphicData uri="http://schemas.microsoft.com/office/word/2010/wordprocessingShape">
                  <wps:wsp>
                    <wps:cNvSpPr txBox="1"/>
                    <wps:spPr>
                      <a:xfrm>
                        <a:ext cx="2673350" cy="106680"/>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北京神州泰岳软件股份有限公司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207" type="#_x0000_t202" style="position:absolute;margin-left:326.10000000000002pt;margin-top:65.400000000000006pt;width:210.5pt;height:8.4000000000000004pt;z-index:-188743997;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北京神州泰岳软件股份有限公司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700405</wp:posOffset>
              </wp:positionH>
              <wp:positionV relativeFrom="page">
                <wp:posOffset>979805</wp:posOffset>
              </wp:positionV>
              <wp:extent cx="6160135" cy="0"/>
              <wp:wrapNone/>
              <wp:docPr id="183" name="Shape 183"/>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5.149999999999999pt;margin-top:77.150000000000006pt;width:485.05000000000001pt;height:0;z-index:-251658240;mso-position-horizontal-relative:page;mso-position-vertical-relative:page">
              <v:stroke weight="1.pt"/>
            </v:shape>
          </w:pict>
        </mc:Fallback>
      </mc:AlternateContent>
    </w:r>
  </w:p>
</w:hdr>
</file>

<file path=word/header1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62" behindDoc="1" locked="0" layoutInCell="1" allowOverlap="1">
              <wp:simplePos x="0" y="0"/>
              <wp:positionH relativeFrom="page">
                <wp:posOffset>685800</wp:posOffset>
              </wp:positionH>
              <wp:positionV relativeFrom="page">
                <wp:posOffset>705485</wp:posOffset>
              </wp:positionV>
              <wp:extent cx="6096000" cy="295910"/>
              <wp:wrapNone/>
              <wp:docPr id="1021" name="Shape 1021"/>
              <a:graphic xmlns:a="http://schemas.openxmlformats.org/drawingml/2006/main">
                <a:graphicData uri="http://schemas.microsoft.com/office/word/2010/wordprocessingShape">
                  <wps:wsp>
                    <wps:cNvSpPr txBox="1"/>
                    <wps:spPr>
                      <a:xfrm>
                        <a:ext cx="6096000" cy="2959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tabs>
                              <w:tab w:pos="8707" w:val="right"/>
                            </w:tabs>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1F84C4"/>
                              <w:spacing w:val="0"/>
                              <w:w w:val="100"/>
                              <w:position w:val="0"/>
                            </w:rPr>
                            <w:t>•，</w:t>
                            <w:tab/>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lIns="0" tIns="0" rIns="0" bIns="0">
                      <a:spAutoFit/>
                    </wps:bodyPr>
                  </wps:wsp>
                </a:graphicData>
              </a:graphic>
            </wp:anchor>
          </w:drawing>
        </mc:Choice>
        <mc:Fallback>
          <w:pict>
            <v:shape id="_x0000_s2047" type="#_x0000_t202" style="position:absolute;margin-left:54.pt;margin-top:55.550000000000004pt;width:480.pt;height:23.300000000000001pt;z-index:-188743391;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tabs>
                        <w:tab w:pos="8707" w:val="right"/>
                      </w:tabs>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1F84C4"/>
                        <w:spacing w:val="0"/>
                        <w:w w:val="100"/>
                        <w:position w:val="0"/>
                      </w:rPr>
                      <w:t>•，</w:t>
                      <w:tab/>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p>
</w:hdr>
</file>

<file path=word/header1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66" behindDoc="1" locked="0" layoutInCell="1" allowOverlap="1">
              <wp:simplePos x="0" y="0"/>
              <wp:positionH relativeFrom="page">
                <wp:posOffset>685800</wp:posOffset>
              </wp:positionH>
              <wp:positionV relativeFrom="page">
                <wp:posOffset>705485</wp:posOffset>
              </wp:positionV>
              <wp:extent cx="6096000" cy="295910"/>
              <wp:wrapNone/>
              <wp:docPr id="1025" name="Shape 1025"/>
              <a:graphic xmlns:a="http://schemas.openxmlformats.org/drawingml/2006/main">
                <a:graphicData uri="http://schemas.microsoft.com/office/word/2010/wordprocessingShape">
                  <wps:wsp>
                    <wps:cNvSpPr txBox="1"/>
                    <wps:spPr>
                      <a:xfrm>
                        <a:ext cx="6096000" cy="2959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tabs>
                              <w:tab w:pos="8707" w:val="right"/>
                            </w:tabs>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1F84C4"/>
                              <w:spacing w:val="0"/>
                              <w:w w:val="100"/>
                              <w:position w:val="0"/>
                            </w:rPr>
                            <w:t>•，</w:t>
                            <w:tab/>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lIns="0" tIns="0" rIns="0" bIns="0">
                      <a:spAutoFit/>
                    </wps:bodyPr>
                  </wps:wsp>
                </a:graphicData>
              </a:graphic>
            </wp:anchor>
          </w:drawing>
        </mc:Choice>
        <mc:Fallback>
          <w:pict>
            <v:shape id="_x0000_s2051" type="#_x0000_t202" style="position:absolute;margin-left:54.pt;margin-top:55.550000000000004pt;width:480.pt;height:23.300000000000001pt;z-index:-188743387;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tabs>
                        <w:tab w:pos="8707" w:val="right"/>
                      </w:tabs>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1F84C4"/>
                        <w:spacing w:val="0"/>
                        <w:w w:val="100"/>
                        <w:position w:val="0"/>
                      </w:rPr>
                      <w:t>•，</w:t>
                      <w:tab/>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p>
</w:hdr>
</file>

<file path=word/header1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74" behindDoc="1" locked="0" layoutInCell="1" allowOverlap="1">
              <wp:simplePos x="0" y="0"/>
              <wp:positionH relativeFrom="page">
                <wp:posOffset>733425</wp:posOffset>
              </wp:positionH>
              <wp:positionV relativeFrom="page">
                <wp:posOffset>704215</wp:posOffset>
              </wp:positionV>
              <wp:extent cx="1012190" cy="283210"/>
              <wp:wrapNone/>
              <wp:docPr id="1033" name="Shape 1033"/>
              <a:graphic xmlns:a="http://schemas.openxmlformats.org/drawingml/2006/main">
                <a:graphicData uri="http://schemas.microsoft.com/office/word/2010/wordprocessingShape">
                  <wps:wsp>
                    <wps:cNvSpPr txBox="1"/>
                    <wps:spPr>
                      <a:xfrm>
                        <a:ext cx="1012190" cy="2832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204"/>
                            <w:keepNext w:val="0"/>
                            <w:keepLines w:val="0"/>
                            <w:widowControl w:val="0"/>
                            <w:shd w:val="clear" w:color="auto" w:fill="auto"/>
                            <w:bidi w:val="0"/>
                            <w:spacing w:before="0" w:after="0" w:line="240" w:lineRule="auto"/>
                            <w:ind w:left="0" w:right="0" w:firstLine="0"/>
                            <w:jc w:val="left"/>
                          </w:pPr>
                          <w:r>
                            <w:rPr>
                              <w:b/>
                              <w:bCs/>
                              <w:i/>
                              <w:iCs/>
                              <w:color w:val="6DB14A"/>
                              <w:spacing w:val="0"/>
                              <w:w w:val="100"/>
                              <w:position w:val="0"/>
                              <w:sz w:val="18"/>
                              <w:szCs w:val="18"/>
                            </w:rPr>
                            <w:t>、、</w:t>
                          </w:r>
                          <w:r>
                            <w:rPr>
                              <w:b/>
                              <w:bCs/>
                              <w:color w:val="6DB14A"/>
                              <w:spacing w:val="0"/>
                              <w:w w:val="100"/>
                              <w:position w:val="0"/>
                            </w:rPr>
                            <w:t>一^</w:t>
                          </w:r>
                          <w:r>
                            <w:rPr>
                              <w:b/>
                              <w:bCs/>
                              <w:color w:val="5199CB"/>
                              <w:spacing w:val="0"/>
                              <w:w w:val="100"/>
                              <w:position w:val="0"/>
                            </w:rPr>
                            <w:t>神州泰岳</w:t>
                          </w:r>
                        </w:p>
                      </w:txbxContent>
                    </wps:txbx>
                    <wps:bodyPr wrap="none" lIns="0" tIns="0" rIns="0" bIns="0">
                      <a:spAutoFit/>
                    </wps:bodyPr>
                  </wps:wsp>
                </a:graphicData>
              </a:graphic>
            </wp:anchor>
          </w:drawing>
        </mc:Choice>
        <mc:Fallback>
          <w:pict>
            <v:shape id="_x0000_s2059" type="#_x0000_t202" style="position:absolute;margin-left:57.75pt;margin-top:55.450000000000003pt;width:79.700000000000003pt;height:22.300000000000001pt;z-index:-188743379;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204"/>
                      <w:keepNext w:val="0"/>
                      <w:keepLines w:val="0"/>
                      <w:widowControl w:val="0"/>
                      <w:shd w:val="clear" w:color="auto" w:fill="auto"/>
                      <w:bidi w:val="0"/>
                      <w:spacing w:before="0" w:after="0" w:line="240" w:lineRule="auto"/>
                      <w:ind w:left="0" w:right="0" w:firstLine="0"/>
                      <w:jc w:val="left"/>
                    </w:pPr>
                    <w:r>
                      <w:rPr>
                        <w:b/>
                        <w:bCs/>
                        <w:i/>
                        <w:iCs/>
                        <w:color w:val="6DB14A"/>
                        <w:spacing w:val="0"/>
                        <w:w w:val="100"/>
                        <w:position w:val="0"/>
                        <w:sz w:val="18"/>
                        <w:szCs w:val="18"/>
                      </w:rPr>
                      <w:t>、、</w:t>
                    </w:r>
                    <w:r>
                      <w:rPr>
                        <w:b/>
                        <w:bCs/>
                        <w:color w:val="6DB14A"/>
                        <w:spacing w:val="0"/>
                        <w:w w:val="100"/>
                        <w:position w:val="0"/>
                      </w:rPr>
                      <w:t>一^</w:t>
                    </w:r>
                    <w:r>
                      <w:rPr>
                        <w:b/>
                        <w:bCs/>
                        <w:color w:val="5199CB"/>
                        <w:spacing w:val="0"/>
                        <w:w w:val="100"/>
                        <w:position w:val="0"/>
                      </w:rPr>
                      <w:t>神州泰岳</w:t>
                    </w:r>
                  </w:p>
                </w:txbxContent>
              </v:textbox>
              <w10:wrap anchorx="page" anchory="page"/>
            </v:shape>
          </w:pict>
        </mc:Fallback>
      </mc:AlternateContent>
    </w:r>
    <w:r>
      <mc:AlternateContent>
        <mc:Choice Requires="wps">
          <w:drawing>
            <wp:anchor distT="0" distB="0" distL="0" distR="0" simplePos="0" relativeHeight="62915376" behindDoc="1" locked="0" layoutInCell="1" allowOverlap="1">
              <wp:simplePos x="0" y="0"/>
              <wp:positionH relativeFrom="page">
                <wp:posOffset>4156075</wp:posOffset>
              </wp:positionH>
              <wp:positionV relativeFrom="page">
                <wp:posOffset>892810</wp:posOffset>
              </wp:positionV>
              <wp:extent cx="2673350" cy="106680"/>
              <wp:wrapNone/>
              <wp:docPr id="1035" name="Shape 1035"/>
              <a:graphic xmlns:a="http://schemas.openxmlformats.org/drawingml/2006/main">
                <a:graphicData uri="http://schemas.microsoft.com/office/word/2010/wordprocessingShape">
                  <wps:wsp>
                    <wps:cNvSpPr txBox="1"/>
                    <wps:spPr>
                      <a:xfrm>
                        <a:ext cx="2673350" cy="10668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061" type="#_x0000_t202" style="position:absolute;margin-left:327.25pt;margin-top:70.299999999999997pt;width:210.5pt;height:8.4000000000000004pt;z-index:-188743377;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715010</wp:posOffset>
              </wp:positionH>
              <wp:positionV relativeFrom="page">
                <wp:posOffset>1042035</wp:posOffset>
              </wp:positionV>
              <wp:extent cx="6160135" cy="0"/>
              <wp:wrapNone/>
              <wp:docPr id="1037" name="Shape 1037"/>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6.300000000000004pt;margin-top:82.049999999999997pt;width:485.05000000000001pt;height:0;z-index:-251658240;mso-position-horizontal-relative:page;mso-position-vertical-relative:page">
              <v:stroke weight="1.pt"/>
            </v:shape>
          </w:pict>
        </mc:Fallback>
      </mc:AlternateContent>
    </w:r>
  </w:p>
</w:hdr>
</file>

<file path=word/header1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80" behindDoc="1" locked="0" layoutInCell="1" allowOverlap="1">
              <wp:simplePos x="0" y="0"/>
              <wp:positionH relativeFrom="page">
                <wp:posOffset>733425</wp:posOffset>
              </wp:positionH>
              <wp:positionV relativeFrom="page">
                <wp:posOffset>704215</wp:posOffset>
              </wp:positionV>
              <wp:extent cx="1012190" cy="283210"/>
              <wp:wrapNone/>
              <wp:docPr id="1040" name="Shape 1040"/>
              <a:graphic xmlns:a="http://schemas.openxmlformats.org/drawingml/2006/main">
                <a:graphicData uri="http://schemas.microsoft.com/office/word/2010/wordprocessingShape">
                  <wps:wsp>
                    <wps:cNvSpPr txBox="1"/>
                    <wps:spPr>
                      <a:xfrm>
                        <a:ext cx="1012190" cy="2832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204"/>
                            <w:keepNext w:val="0"/>
                            <w:keepLines w:val="0"/>
                            <w:widowControl w:val="0"/>
                            <w:shd w:val="clear" w:color="auto" w:fill="auto"/>
                            <w:bidi w:val="0"/>
                            <w:spacing w:before="0" w:after="0" w:line="240" w:lineRule="auto"/>
                            <w:ind w:left="0" w:right="0" w:firstLine="0"/>
                            <w:jc w:val="left"/>
                          </w:pPr>
                          <w:r>
                            <w:rPr>
                              <w:b/>
                              <w:bCs/>
                              <w:i/>
                              <w:iCs/>
                              <w:color w:val="6DB14A"/>
                              <w:spacing w:val="0"/>
                              <w:w w:val="100"/>
                              <w:position w:val="0"/>
                              <w:sz w:val="18"/>
                              <w:szCs w:val="18"/>
                            </w:rPr>
                            <w:t>、、</w:t>
                          </w:r>
                          <w:r>
                            <w:rPr>
                              <w:b/>
                              <w:bCs/>
                              <w:color w:val="6DB14A"/>
                              <w:spacing w:val="0"/>
                              <w:w w:val="100"/>
                              <w:position w:val="0"/>
                            </w:rPr>
                            <w:t>一^</w:t>
                          </w:r>
                          <w:r>
                            <w:rPr>
                              <w:b/>
                              <w:bCs/>
                              <w:color w:val="5199CB"/>
                              <w:spacing w:val="0"/>
                              <w:w w:val="100"/>
                              <w:position w:val="0"/>
                            </w:rPr>
                            <w:t>神州泰岳</w:t>
                          </w:r>
                        </w:p>
                      </w:txbxContent>
                    </wps:txbx>
                    <wps:bodyPr wrap="none" lIns="0" tIns="0" rIns="0" bIns="0">
                      <a:spAutoFit/>
                    </wps:bodyPr>
                  </wps:wsp>
                </a:graphicData>
              </a:graphic>
            </wp:anchor>
          </w:drawing>
        </mc:Choice>
        <mc:Fallback>
          <w:pict>
            <v:shape id="_x0000_s2066" type="#_x0000_t202" style="position:absolute;margin-left:57.75pt;margin-top:55.450000000000003pt;width:79.700000000000003pt;height:22.300000000000001pt;z-index:-188743373;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204"/>
                      <w:keepNext w:val="0"/>
                      <w:keepLines w:val="0"/>
                      <w:widowControl w:val="0"/>
                      <w:shd w:val="clear" w:color="auto" w:fill="auto"/>
                      <w:bidi w:val="0"/>
                      <w:spacing w:before="0" w:after="0" w:line="240" w:lineRule="auto"/>
                      <w:ind w:left="0" w:right="0" w:firstLine="0"/>
                      <w:jc w:val="left"/>
                    </w:pPr>
                    <w:r>
                      <w:rPr>
                        <w:b/>
                        <w:bCs/>
                        <w:i/>
                        <w:iCs/>
                        <w:color w:val="6DB14A"/>
                        <w:spacing w:val="0"/>
                        <w:w w:val="100"/>
                        <w:position w:val="0"/>
                        <w:sz w:val="18"/>
                        <w:szCs w:val="18"/>
                      </w:rPr>
                      <w:t>、、</w:t>
                    </w:r>
                    <w:r>
                      <w:rPr>
                        <w:b/>
                        <w:bCs/>
                        <w:color w:val="6DB14A"/>
                        <w:spacing w:val="0"/>
                        <w:w w:val="100"/>
                        <w:position w:val="0"/>
                      </w:rPr>
                      <w:t>一^</w:t>
                    </w:r>
                    <w:r>
                      <w:rPr>
                        <w:b/>
                        <w:bCs/>
                        <w:color w:val="5199CB"/>
                        <w:spacing w:val="0"/>
                        <w:w w:val="100"/>
                        <w:position w:val="0"/>
                      </w:rPr>
                      <w:t>神州泰岳</w:t>
                    </w:r>
                  </w:p>
                </w:txbxContent>
              </v:textbox>
              <w10:wrap anchorx="page" anchory="page"/>
            </v:shape>
          </w:pict>
        </mc:Fallback>
      </mc:AlternateContent>
    </w:r>
    <w:r>
      <mc:AlternateContent>
        <mc:Choice Requires="wps">
          <w:drawing>
            <wp:anchor distT="0" distB="0" distL="0" distR="0" simplePos="0" relativeHeight="62915382" behindDoc="1" locked="0" layoutInCell="1" allowOverlap="1">
              <wp:simplePos x="0" y="0"/>
              <wp:positionH relativeFrom="page">
                <wp:posOffset>4156075</wp:posOffset>
              </wp:positionH>
              <wp:positionV relativeFrom="page">
                <wp:posOffset>892810</wp:posOffset>
              </wp:positionV>
              <wp:extent cx="2673350" cy="106680"/>
              <wp:wrapNone/>
              <wp:docPr id="1042" name="Shape 1042"/>
              <a:graphic xmlns:a="http://schemas.openxmlformats.org/drawingml/2006/main">
                <a:graphicData uri="http://schemas.microsoft.com/office/word/2010/wordprocessingShape">
                  <wps:wsp>
                    <wps:cNvSpPr txBox="1"/>
                    <wps:spPr>
                      <a:xfrm>
                        <a:ext cx="2673350" cy="10668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068" type="#_x0000_t202" style="position:absolute;margin-left:327.25pt;margin-top:70.299999999999997pt;width:210.5pt;height:8.4000000000000004pt;z-index:-188743371;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715010</wp:posOffset>
              </wp:positionH>
              <wp:positionV relativeFrom="page">
                <wp:posOffset>1042035</wp:posOffset>
              </wp:positionV>
              <wp:extent cx="6160135" cy="0"/>
              <wp:wrapNone/>
              <wp:docPr id="1044" name="Shape 1044"/>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6.300000000000004pt;margin-top:82.049999999999997pt;width:485.05000000000001pt;height:0;z-index:-251658240;mso-position-horizontal-relative:page;mso-position-vertical-relative:page">
              <v:stroke weight="1.pt"/>
            </v:shape>
          </w:pict>
        </mc:Fallback>
      </mc:AlternateContent>
    </w:r>
  </w:p>
</w:hdr>
</file>

<file path=word/header1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86" behindDoc="1" locked="0" layoutInCell="1" allowOverlap="1">
              <wp:simplePos x="0" y="0"/>
              <wp:positionH relativeFrom="page">
                <wp:posOffset>713740</wp:posOffset>
              </wp:positionH>
              <wp:positionV relativeFrom="page">
                <wp:posOffset>704850</wp:posOffset>
              </wp:positionV>
              <wp:extent cx="6096000" cy="295910"/>
              <wp:wrapNone/>
              <wp:docPr id="1047" name="Shape 1047"/>
              <a:graphic xmlns:a="http://schemas.openxmlformats.org/drawingml/2006/main">
                <a:graphicData uri="http://schemas.microsoft.com/office/word/2010/wordprocessingShape">
                  <wps:wsp>
                    <wps:cNvSpPr txBox="1"/>
                    <wps:spPr>
                      <a:xfrm>
                        <a:ext cx="6096000" cy="2959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073" type="#_x0000_t202" style="position:absolute;margin-left:56.200000000000003pt;margin-top:55.5pt;width:480.pt;height:23.300000000000001pt;z-index:-188743367;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695325</wp:posOffset>
              </wp:positionH>
              <wp:positionV relativeFrom="page">
                <wp:posOffset>1042670</wp:posOffset>
              </wp:positionV>
              <wp:extent cx="6160135" cy="0"/>
              <wp:wrapNone/>
              <wp:docPr id="1049" name="Shape 1049"/>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75pt;margin-top:82.100000000000009pt;width:485.05000000000001pt;height:0;z-index:-251658240;mso-position-horizontal-relative:page;mso-position-vertical-relative:page">
              <v:stroke weight="1.pt"/>
            </v:shape>
          </w:pict>
        </mc:Fallback>
      </mc:AlternateContent>
    </w:r>
  </w:p>
</w:hdr>
</file>

<file path=word/header1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90" behindDoc="1" locked="0" layoutInCell="1" allowOverlap="1">
              <wp:simplePos x="0" y="0"/>
              <wp:positionH relativeFrom="page">
                <wp:posOffset>733425</wp:posOffset>
              </wp:positionH>
              <wp:positionV relativeFrom="page">
                <wp:posOffset>704215</wp:posOffset>
              </wp:positionV>
              <wp:extent cx="1012190" cy="283210"/>
              <wp:wrapNone/>
              <wp:docPr id="1052" name="Shape 1052"/>
              <a:graphic xmlns:a="http://schemas.openxmlformats.org/drawingml/2006/main">
                <a:graphicData uri="http://schemas.microsoft.com/office/word/2010/wordprocessingShape">
                  <wps:wsp>
                    <wps:cNvSpPr txBox="1"/>
                    <wps:spPr>
                      <a:xfrm>
                        <a:ext cx="1012190" cy="2832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204"/>
                            <w:keepNext w:val="0"/>
                            <w:keepLines w:val="0"/>
                            <w:widowControl w:val="0"/>
                            <w:shd w:val="clear" w:color="auto" w:fill="auto"/>
                            <w:bidi w:val="0"/>
                            <w:spacing w:before="0" w:after="0" w:line="240" w:lineRule="auto"/>
                            <w:ind w:left="0" w:right="0" w:firstLine="0"/>
                            <w:jc w:val="left"/>
                          </w:pPr>
                          <w:r>
                            <w:rPr>
                              <w:b/>
                              <w:bCs/>
                              <w:i/>
                              <w:iCs/>
                              <w:color w:val="6DB14A"/>
                              <w:spacing w:val="0"/>
                              <w:w w:val="100"/>
                              <w:position w:val="0"/>
                              <w:sz w:val="18"/>
                              <w:szCs w:val="18"/>
                            </w:rPr>
                            <w:t>、、</w:t>
                          </w:r>
                          <w:r>
                            <w:rPr>
                              <w:b/>
                              <w:bCs/>
                              <w:color w:val="6DB14A"/>
                              <w:spacing w:val="0"/>
                              <w:w w:val="100"/>
                              <w:position w:val="0"/>
                            </w:rPr>
                            <w:t>一^</w:t>
                          </w:r>
                          <w:r>
                            <w:rPr>
                              <w:b/>
                              <w:bCs/>
                              <w:color w:val="5199CB"/>
                              <w:spacing w:val="0"/>
                              <w:w w:val="100"/>
                              <w:position w:val="0"/>
                            </w:rPr>
                            <w:t>神州泰岳</w:t>
                          </w:r>
                        </w:p>
                      </w:txbxContent>
                    </wps:txbx>
                    <wps:bodyPr wrap="none" lIns="0" tIns="0" rIns="0" bIns="0">
                      <a:spAutoFit/>
                    </wps:bodyPr>
                  </wps:wsp>
                </a:graphicData>
              </a:graphic>
            </wp:anchor>
          </w:drawing>
        </mc:Choice>
        <mc:Fallback>
          <w:pict>
            <v:shape id="_x0000_s2078" type="#_x0000_t202" style="position:absolute;margin-left:57.75pt;margin-top:55.450000000000003pt;width:79.700000000000003pt;height:22.300000000000001pt;z-index:-188743363;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204"/>
                      <w:keepNext w:val="0"/>
                      <w:keepLines w:val="0"/>
                      <w:widowControl w:val="0"/>
                      <w:shd w:val="clear" w:color="auto" w:fill="auto"/>
                      <w:bidi w:val="0"/>
                      <w:spacing w:before="0" w:after="0" w:line="240" w:lineRule="auto"/>
                      <w:ind w:left="0" w:right="0" w:firstLine="0"/>
                      <w:jc w:val="left"/>
                    </w:pPr>
                    <w:r>
                      <w:rPr>
                        <w:b/>
                        <w:bCs/>
                        <w:i/>
                        <w:iCs/>
                        <w:color w:val="6DB14A"/>
                        <w:spacing w:val="0"/>
                        <w:w w:val="100"/>
                        <w:position w:val="0"/>
                        <w:sz w:val="18"/>
                        <w:szCs w:val="18"/>
                      </w:rPr>
                      <w:t>、、</w:t>
                    </w:r>
                    <w:r>
                      <w:rPr>
                        <w:b/>
                        <w:bCs/>
                        <w:color w:val="6DB14A"/>
                        <w:spacing w:val="0"/>
                        <w:w w:val="100"/>
                        <w:position w:val="0"/>
                      </w:rPr>
                      <w:t>一^</w:t>
                    </w:r>
                    <w:r>
                      <w:rPr>
                        <w:b/>
                        <w:bCs/>
                        <w:color w:val="5199CB"/>
                        <w:spacing w:val="0"/>
                        <w:w w:val="100"/>
                        <w:position w:val="0"/>
                      </w:rPr>
                      <w:t>神州泰岳</w:t>
                    </w:r>
                  </w:p>
                </w:txbxContent>
              </v:textbox>
              <w10:wrap anchorx="page" anchory="page"/>
            </v:shape>
          </w:pict>
        </mc:Fallback>
      </mc:AlternateContent>
    </w:r>
    <w:r>
      <mc:AlternateContent>
        <mc:Choice Requires="wps">
          <w:drawing>
            <wp:anchor distT="0" distB="0" distL="0" distR="0" simplePos="0" relativeHeight="62915392" behindDoc="1" locked="0" layoutInCell="1" allowOverlap="1">
              <wp:simplePos x="0" y="0"/>
              <wp:positionH relativeFrom="page">
                <wp:posOffset>4156075</wp:posOffset>
              </wp:positionH>
              <wp:positionV relativeFrom="page">
                <wp:posOffset>892810</wp:posOffset>
              </wp:positionV>
              <wp:extent cx="2673350" cy="106680"/>
              <wp:wrapNone/>
              <wp:docPr id="1054" name="Shape 1054"/>
              <a:graphic xmlns:a="http://schemas.openxmlformats.org/drawingml/2006/main">
                <a:graphicData uri="http://schemas.microsoft.com/office/word/2010/wordprocessingShape">
                  <wps:wsp>
                    <wps:cNvSpPr txBox="1"/>
                    <wps:spPr>
                      <a:xfrm>
                        <a:ext cx="2673350" cy="10668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080" type="#_x0000_t202" style="position:absolute;margin-left:327.25pt;margin-top:70.299999999999997pt;width:210.5pt;height:8.4000000000000004pt;z-index:-188743361;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715010</wp:posOffset>
              </wp:positionH>
              <wp:positionV relativeFrom="page">
                <wp:posOffset>1042035</wp:posOffset>
              </wp:positionV>
              <wp:extent cx="6160135" cy="0"/>
              <wp:wrapNone/>
              <wp:docPr id="1056" name="Shape 1056"/>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6.300000000000004pt;margin-top:82.049999999999997pt;width:485.05000000000001pt;height:0;z-index:-251658240;mso-position-horizontal-relative:page;mso-position-vertical-relative:page">
              <v:stroke weight="1.pt"/>
            </v:shape>
          </w:pict>
        </mc:Fallback>
      </mc:AlternateContent>
    </w:r>
  </w:p>
</w:hdr>
</file>

<file path=word/header1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96" behindDoc="1" locked="0" layoutInCell="1" allowOverlap="1">
              <wp:simplePos x="0" y="0"/>
              <wp:positionH relativeFrom="page">
                <wp:posOffset>733425</wp:posOffset>
              </wp:positionH>
              <wp:positionV relativeFrom="page">
                <wp:posOffset>704215</wp:posOffset>
              </wp:positionV>
              <wp:extent cx="1012190" cy="283210"/>
              <wp:wrapNone/>
              <wp:docPr id="1059" name="Shape 1059"/>
              <a:graphic xmlns:a="http://schemas.openxmlformats.org/drawingml/2006/main">
                <a:graphicData uri="http://schemas.microsoft.com/office/word/2010/wordprocessingShape">
                  <wps:wsp>
                    <wps:cNvSpPr txBox="1"/>
                    <wps:spPr>
                      <a:xfrm>
                        <a:ext cx="1012190" cy="2832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204"/>
                            <w:keepNext w:val="0"/>
                            <w:keepLines w:val="0"/>
                            <w:widowControl w:val="0"/>
                            <w:shd w:val="clear" w:color="auto" w:fill="auto"/>
                            <w:bidi w:val="0"/>
                            <w:spacing w:before="0" w:after="0" w:line="240" w:lineRule="auto"/>
                            <w:ind w:left="0" w:right="0" w:firstLine="0"/>
                            <w:jc w:val="left"/>
                          </w:pPr>
                          <w:r>
                            <w:rPr>
                              <w:b/>
                              <w:bCs/>
                              <w:i/>
                              <w:iCs/>
                              <w:color w:val="6DB14A"/>
                              <w:spacing w:val="0"/>
                              <w:w w:val="100"/>
                              <w:position w:val="0"/>
                              <w:sz w:val="18"/>
                              <w:szCs w:val="18"/>
                            </w:rPr>
                            <w:t>、、</w:t>
                          </w:r>
                          <w:r>
                            <w:rPr>
                              <w:b/>
                              <w:bCs/>
                              <w:color w:val="6DB14A"/>
                              <w:spacing w:val="0"/>
                              <w:w w:val="100"/>
                              <w:position w:val="0"/>
                            </w:rPr>
                            <w:t>一^</w:t>
                          </w:r>
                          <w:r>
                            <w:rPr>
                              <w:b/>
                              <w:bCs/>
                              <w:color w:val="5199CB"/>
                              <w:spacing w:val="0"/>
                              <w:w w:val="100"/>
                              <w:position w:val="0"/>
                            </w:rPr>
                            <w:t>神州泰岳</w:t>
                          </w:r>
                        </w:p>
                      </w:txbxContent>
                    </wps:txbx>
                    <wps:bodyPr wrap="none" lIns="0" tIns="0" rIns="0" bIns="0">
                      <a:spAutoFit/>
                    </wps:bodyPr>
                  </wps:wsp>
                </a:graphicData>
              </a:graphic>
            </wp:anchor>
          </w:drawing>
        </mc:Choice>
        <mc:Fallback>
          <w:pict>
            <v:shape id="_x0000_s2085" type="#_x0000_t202" style="position:absolute;margin-left:57.75pt;margin-top:55.450000000000003pt;width:79.700000000000003pt;height:22.300000000000001pt;z-index:-188743357;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204"/>
                      <w:keepNext w:val="0"/>
                      <w:keepLines w:val="0"/>
                      <w:widowControl w:val="0"/>
                      <w:shd w:val="clear" w:color="auto" w:fill="auto"/>
                      <w:bidi w:val="0"/>
                      <w:spacing w:before="0" w:after="0" w:line="240" w:lineRule="auto"/>
                      <w:ind w:left="0" w:right="0" w:firstLine="0"/>
                      <w:jc w:val="left"/>
                    </w:pPr>
                    <w:r>
                      <w:rPr>
                        <w:b/>
                        <w:bCs/>
                        <w:i/>
                        <w:iCs/>
                        <w:color w:val="6DB14A"/>
                        <w:spacing w:val="0"/>
                        <w:w w:val="100"/>
                        <w:position w:val="0"/>
                        <w:sz w:val="18"/>
                        <w:szCs w:val="18"/>
                      </w:rPr>
                      <w:t>、、</w:t>
                    </w:r>
                    <w:r>
                      <w:rPr>
                        <w:b/>
                        <w:bCs/>
                        <w:color w:val="6DB14A"/>
                        <w:spacing w:val="0"/>
                        <w:w w:val="100"/>
                        <w:position w:val="0"/>
                      </w:rPr>
                      <w:t>一^</w:t>
                    </w:r>
                    <w:r>
                      <w:rPr>
                        <w:b/>
                        <w:bCs/>
                        <w:color w:val="5199CB"/>
                        <w:spacing w:val="0"/>
                        <w:w w:val="100"/>
                        <w:position w:val="0"/>
                      </w:rPr>
                      <w:t>神州泰岳</w:t>
                    </w:r>
                  </w:p>
                </w:txbxContent>
              </v:textbox>
              <w10:wrap anchorx="page" anchory="page"/>
            </v:shape>
          </w:pict>
        </mc:Fallback>
      </mc:AlternateContent>
    </w:r>
    <w:r>
      <mc:AlternateContent>
        <mc:Choice Requires="wps">
          <w:drawing>
            <wp:anchor distT="0" distB="0" distL="0" distR="0" simplePos="0" relativeHeight="62915398" behindDoc="1" locked="0" layoutInCell="1" allowOverlap="1">
              <wp:simplePos x="0" y="0"/>
              <wp:positionH relativeFrom="page">
                <wp:posOffset>4156075</wp:posOffset>
              </wp:positionH>
              <wp:positionV relativeFrom="page">
                <wp:posOffset>892810</wp:posOffset>
              </wp:positionV>
              <wp:extent cx="2673350" cy="106680"/>
              <wp:wrapNone/>
              <wp:docPr id="1061" name="Shape 1061"/>
              <a:graphic xmlns:a="http://schemas.openxmlformats.org/drawingml/2006/main">
                <a:graphicData uri="http://schemas.microsoft.com/office/word/2010/wordprocessingShape">
                  <wps:wsp>
                    <wps:cNvSpPr txBox="1"/>
                    <wps:spPr>
                      <a:xfrm>
                        <a:ext cx="2673350" cy="10668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087" type="#_x0000_t202" style="position:absolute;margin-left:327.25pt;margin-top:70.299999999999997pt;width:210.5pt;height:8.4000000000000004pt;z-index:-188743355;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715010</wp:posOffset>
              </wp:positionH>
              <wp:positionV relativeFrom="page">
                <wp:posOffset>1042035</wp:posOffset>
              </wp:positionV>
              <wp:extent cx="6160135" cy="0"/>
              <wp:wrapNone/>
              <wp:docPr id="1063" name="Shape 1063"/>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6.300000000000004pt;margin-top:82.049999999999997pt;width:485.05000000000001pt;height:0;z-index:-251658240;mso-position-horizontal-relative:page;mso-position-vertical-relative:page">
              <v:stroke weight="1.pt"/>
            </v:shape>
          </w:pict>
        </mc:Fallback>
      </mc:AlternateContent>
    </w:r>
  </w:p>
</w:hdr>
</file>

<file path=word/header1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02" behindDoc="1" locked="0" layoutInCell="1" allowOverlap="1">
              <wp:simplePos x="0" y="0"/>
              <wp:positionH relativeFrom="page">
                <wp:posOffset>741045</wp:posOffset>
              </wp:positionH>
              <wp:positionV relativeFrom="page">
                <wp:posOffset>704850</wp:posOffset>
              </wp:positionV>
              <wp:extent cx="1012190" cy="283210"/>
              <wp:wrapNone/>
              <wp:docPr id="1066" name="Shape 1066"/>
              <a:graphic xmlns:a="http://schemas.openxmlformats.org/drawingml/2006/main">
                <a:graphicData uri="http://schemas.microsoft.com/office/word/2010/wordprocessingShape">
                  <wps:wsp>
                    <wps:cNvSpPr txBox="1"/>
                    <wps:spPr>
                      <a:xfrm>
                        <a:ext cx="1012190" cy="2832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bidi w:val="0"/>
                            <w:spacing w:before="0" w:after="0" w:line="240" w:lineRule="auto"/>
                            <w:ind w:left="0" w:right="0" w:firstLine="0"/>
                            <w:jc w:val="left"/>
                          </w:pPr>
                          <w:r>
                            <w:rPr>
                              <w:b/>
                              <w:bCs/>
                              <w:i/>
                              <w:iCs/>
                              <w:color w:val="6DB14A"/>
                              <w:spacing w:val="0"/>
                              <w:w w:val="100"/>
                              <w:position w:val="0"/>
                              <w:sz w:val="18"/>
                              <w:szCs w:val="18"/>
                            </w:rPr>
                            <w:t>、</w:t>
                          </w:r>
                          <w:r>
                            <w:rPr>
                              <w:b/>
                              <w:bCs/>
                              <w:color w:val="6DB14A"/>
                              <w:spacing w:val="0"/>
                              <w:w w:val="100"/>
                              <w:position w:val="0"/>
                            </w:rPr>
                            <w:t>/</w:t>
                          </w:r>
                          <w:r>
                            <w:rPr>
                              <w:b/>
                              <w:bCs/>
                              <w:color w:val="5199CB"/>
                              <w:spacing w:val="0"/>
                              <w:w w:val="100"/>
                              <w:position w:val="0"/>
                            </w:rPr>
                            <w:t>神州泰岳</w:t>
                          </w:r>
                        </w:p>
                      </w:txbxContent>
                    </wps:txbx>
                    <wps:bodyPr wrap="none" lIns="0" tIns="0" rIns="0" bIns="0">
                      <a:spAutoFit/>
                    </wps:bodyPr>
                  </wps:wsp>
                </a:graphicData>
              </a:graphic>
            </wp:anchor>
          </w:drawing>
        </mc:Choice>
        <mc:Fallback>
          <w:pict>
            <v:shape id="_x0000_s2092" type="#_x0000_t202" style="position:absolute;margin-left:58.350000000000001pt;margin-top:55.5pt;width:79.700000000000003pt;height:22.300000000000001pt;z-index:-188743351;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bidi w:val="0"/>
                      <w:spacing w:before="0" w:after="0" w:line="240" w:lineRule="auto"/>
                      <w:ind w:left="0" w:right="0" w:firstLine="0"/>
                      <w:jc w:val="left"/>
                    </w:pPr>
                    <w:r>
                      <w:rPr>
                        <w:b/>
                        <w:bCs/>
                        <w:i/>
                        <w:iCs/>
                        <w:color w:val="6DB14A"/>
                        <w:spacing w:val="0"/>
                        <w:w w:val="100"/>
                        <w:position w:val="0"/>
                        <w:sz w:val="18"/>
                        <w:szCs w:val="18"/>
                      </w:rPr>
                      <w:t>、</w:t>
                    </w:r>
                    <w:r>
                      <w:rPr>
                        <w:b/>
                        <w:bCs/>
                        <w:color w:val="6DB14A"/>
                        <w:spacing w:val="0"/>
                        <w:w w:val="100"/>
                        <w:position w:val="0"/>
                      </w:rPr>
                      <w:t>/</w:t>
                    </w:r>
                    <w:r>
                      <w:rPr>
                        <w:b/>
                        <w:bCs/>
                        <w:color w:val="5199CB"/>
                        <w:spacing w:val="0"/>
                        <w:w w:val="100"/>
                        <w:position w:val="0"/>
                      </w:rPr>
                      <w:t>神州泰岳</w:t>
                    </w:r>
                  </w:p>
                </w:txbxContent>
              </v:textbox>
              <w10:wrap anchorx="page" anchory="page"/>
            </v:shape>
          </w:pict>
        </mc:Fallback>
      </mc:AlternateContent>
    </w:r>
    <w:r>
      <mc:AlternateContent>
        <mc:Choice Requires="wps">
          <w:drawing>
            <wp:anchor distT="0" distB="0" distL="0" distR="0" simplePos="0" relativeHeight="62915404" behindDoc="1" locked="0" layoutInCell="1" allowOverlap="1">
              <wp:simplePos x="0" y="0"/>
              <wp:positionH relativeFrom="page">
                <wp:posOffset>4163695</wp:posOffset>
              </wp:positionH>
              <wp:positionV relativeFrom="page">
                <wp:posOffset>894080</wp:posOffset>
              </wp:positionV>
              <wp:extent cx="2673350" cy="106680"/>
              <wp:wrapNone/>
              <wp:docPr id="1068" name="Shape 1068"/>
              <a:graphic xmlns:a="http://schemas.openxmlformats.org/drawingml/2006/main">
                <a:graphicData uri="http://schemas.microsoft.com/office/word/2010/wordprocessingShape">
                  <wps:wsp>
                    <wps:cNvSpPr txBox="1"/>
                    <wps:spPr>
                      <a:xfrm>
                        <a:ext cx="2673350" cy="10668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094" type="#_x0000_t202" style="position:absolute;margin-left:327.85000000000002pt;margin-top:70.400000000000006pt;width:210.5pt;height:8.4000000000000004pt;z-index:-188743349;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722630</wp:posOffset>
              </wp:positionH>
              <wp:positionV relativeFrom="page">
                <wp:posOffset>1042670</wp:posOffset>
              </wp:positionV>
              <wp:extent cx="6160135" cy="0"/>
              <wp:wrapNone/>
              <wp:docPr id="1070" name="Shape 1070"/>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6.899999999999999pt;margin-top:82.100000000000009pt;width:485.05000000000001pt;height:0;z-index:-251658240;mso-position-horizontal-relative:page;mso-position-vertical-relative:page">
              <v:stroke weight="1.pt"/>
            </v:shape>
          </w:pict>
        </mc:Fallback>
      </mc:AlternateContent>
    </w:r>
  </w:p>
</w:hdr>
</file>

<file path=word/header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0" behindDoc="1" locked="0" layoutInCell="1" allowOverlap="1">
              <wp:simplePos x="0" y="0"/>
              <wp:positionH relativeFrom="page">
                <wp:posOffset>718820</wp:posOffset>
              </wp:positionH>
              <wp:positionV relativeFrom="page">
                <wp:posOffset>641985</wp:posOffset>
              </wp:positionV>
              <wp:extent cx="1012190" cy="283210"/>
              <wp:wrapNone/>
              <wp:docPr id="211" name="Shape 211"/>
              <a:graphic xmlns:a="http://schemas.openxmlformats.org/drawingml/2006/main">
                <a:graphicData uri="http://schemas.microsoft.com/office/word/2010/wordprocessingShape">
                  <wps:wsp>
                    <wps:cNvSpPr txBox="1"/>
                    <wps:spPr>
                      <a:xfrm>
                        <a:ext cx="1012190" cy="283210"/>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b/>
                              <w:bCs/>
                              <w:i/>
                              <w:iCs/>
                              <w:color w:val="6DB14A"/>
                              <w:spacing w:val="0"/>
                              <w:w w:val="100"/>
                              <w:position w:val="0"/>
                              <w:sz w:val="18"/>
                              <w:szCs w:val="18"/>
                            </w:rPr>
                            <w:t>、、</w:t>
                          </w:r>
                          <w:r>
                            <w:rPr>
                              <w:rFonts w:ascii="SimSun" w:eastAsia="SimSun" w:hAnsi="SimSun" w:cs="SimSun"/>
                              <w:b/>
                              <w:bCs/>
                              <w:color w:val="6DB14A"/>
                              <w:spacing w:val="0"/>
                              <w:w w:val="100"/>
                              <w:position w:val="0"/>
                              <w:sz w:val="17"/>
                              <w:szCs w:val="17"/>
                            </w:rPr>
                            <w:t>一^</w:t>
                          </w:r>
                          <w:r>
                            <w:rPr>
                              <w:rFonts w:ascii="SimSun" w:eastAsia="SimSun" w:hAnsi="SimSun" w:cs="SimSun"/>
                              <w:b/>
                              <w:bCs/>
                              <w:color w:val="5199CB"/>
                              <w:spacing w:val="0"/>
                              <w:w w:val="100"/>
                              <w:position w:val="0"/>
                              <w:sz w:val="17"/>
                              <w:szCs w:val="17"/>
                            </w:rPr>
                            <w:t>神州泰岳</w:t>
                          </w:r>
                        </w:p>
                      </w:txbxContent>
                    </wps:txbx>
                    <wps:bodyPr wrap="none" lIns="0" tIns="0" rIns="0" bIns="0">
                      <a:spAutoFit/>
                    </wps:bodyPr>
                  </wps:wsp>
                </a:graphicData>
              </a:graphic>
            </wp:anchor>
          </w:drawing>
        </mc:Choice>
        <mc:Fallback>
          <w:pict>
            <v:shape id="_x0000_s1237" type="#_x0000_t202" style="position:absolute;margin-left:56.600000000000001pt;margin-top:50.550000000000004pt;width:79.700000000000003pt;height:22.300000000000001pt;z-index:-188743993;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b/>
                        <w:bCs/>
                        <w:i/>
                        <w:iCs/>
                        <w:color w:val="6DB14A"/>
                        <w:spacing w:val="0"/>
                        <w:w w:val="100"/>
                        <w:position w:val="0"/>
                        <w:sz w:val="18"/>
                        <w:szCs w:val="18"/>
                      </w:rPr>
                      <w:t>、、</w:t>
                    </w:r>
                    <w:r>
                      <w:rPr>
                        <w:rFonts w:ascii="SimSun" w:eastAsia="SimSun" w:hAnsi="SimSun" w:cs="SimSun"/>
                        <w:b/>
                        <w:bCs/>
                        <w:color w:val="6DB14A"/>
                        <w:spacing w:val="0"/>
                        <w:w w:val="100"/>
                        <w:position w:val="0"/>
                        <w:sz w:val="17"/>
                        <w:szCs w:val="17"/>
                      </w:rPr>
                      <w:t>一^</w:t>
                    </w:r>
                    <w:r>
                      <w:rPr>
                        <w:rFonts w:ascii="SimSun" w:eastAsia="SimSun" w:hAnsi="SimSun" w:cs="SimSun"/>
                        <w:b/>
                        <w:bCs/>
                        <w:color w:val="5199CB"/>
                        <w:spacing w:val="0"/>
                        <w:w w:val="100"/>
                        <w:position w:val="0"/>
                        <w:sz w:val="17"/>
                        <w:szCs w:val="17"/>
                      </w:rPr>
                      <w:t>神州泰岳</w:t>
                    </w:r>
                  </w:p>
                </w:txbxContent>
              </v:textbox>
              <w10:wrap anchorx="page" anchory="page"/>
            </v:shape>
          </w:pict>
        </mc:Fallback>
      </mc:AlternateContent>
    </w:r>
    <w:r>
      <mc:AlternateContent>
        <mc:Choice Requires="wps">
          <w:drawing>
            <wp:anchor distT="0" distB="0" distL="0" distR="0" simplePos="0" relativeHeight="62914762" behindDoc="1" locked="0" layoutInCell="1" allowOverlap="1">
              <wp:simplePos x="0" y="0"/>
              <wp:positionH relativeFrom="page">
                <wp:posOffset>4141470</wp:posOffset>
              </wp:positionH>
              <wp:positionV relativeFrom="page">
                <wp:posOffset>830580</wp:posOffset>
              </wp:positionV>
              <wp:extent cx="2673350" cy="106680"/>
              <wp:wrapNone/>
              <wp:docPr id="213" name="Shape 213"/>
              <a:graphic xmlns:a="http://schemas.openxmlformats.org/drawingml/2006/main">
                <a:graphicData uri="http://schemas.microsoft.com/office/word/2010/wordprocessingShape">
                  <wps:wsp>
                    <wps:cNvSpPr txBox="1"/>
                    <wps:spPr>
                      <a:xfrm>
                        <a:ext cx="2673350" cy="106680"/>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北京神州泰岳软件股份有限公司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239" type="#_x0000_t202" style="position:absolute;margin-left:326.10000000000002pt;margin-top:65.400000000000006pt;width:210.5pt;height:8.4000000000000004pt;z-index:-188743991;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北京神州泰岳软件股份有限公司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700405</wp:posOffset>
              </wp:positionH>
              <wp:positionV relativeFrom="page">
                <wp:posOffset>979805</wp:posOffset>
              </wp:positionV>
              <wp:extent cx="6160135" cy="0"/>
              <wp:wrapNone/>
              <wp:docPr id="215" name="Shape 215"/>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5.149999999999999pt;margin-top:77.150000000000006pt;width:485.05000000000001pt;height:0;z-index:-251658240;mso-position-horizontal-relative:page;mso-position-vertical-relative:page">
              <v:stroke weight="1.pt"/>
            </v:shape>
          </w:pict>
        </mc:Fallback>
      </mc:AlternateContent>
    </w:r>
  </w:p>
</w:hdr>
</file>

<file path=word/header1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08" behindDoc="1" locked="0" layoutInCell="1" allowOverlap="1">
              <wp:simplePos x="0" y="0"/>
              <wp:positionH relativeFrom="page">
                <wp:posOffset>733425</wp:posOffset>
              </wp:positionH>
              <wp:positionV relativeFrom="page">
                <wp:posOffset>704215</wp:posOffset>
              </wp:positionV>
              <wp:extent cx="1012190" cy="283210"/>
              <wp:wrapNone/>
              <wp:docPr id="1073" name="Shape 1073"/>
              <a:graphic xmlns:a="http://schemas.openxmlformats.org/drawingml/2006/main">
                <a:graphicData uri="http://schemas.microsoft.com/office/word/2010/wordprocessingShape">
                  <wps:wsp>
                    <wps:cNvSpPr txBox="1"/>
                    <wps:spPr>
                      <a:xfrm>
                        <a:ext cx="1012190" cy="2832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204"/>
                            <w:keepNext w:val="0"/>
                            <w:keepLines w:val="0"/>
                            <w:widowControl w:val="0"/>
                            <w:shd w:val="clear" w:color="auto" w:fill="auto"/>
                            <w:bidi w:val="0"/>
                            <w:spacing w:before="0" w:after="0" w:line="240" w:lineRule="auto"/>
                            <w:ind w:left="0" w:right="0" w:firstLine="0"/>
                            <w:jc w:val="left"/>
                          </w:pPr>
                          <w:r>
                            <w:rPr>
                              <w:b/>
                              <w:bCs/>
                              <w:i/>
                              <w:iCs/>
                              <w:color w:val="6DB14A"/>
                              <w:spacing w:val="0"/>
                              <w:w w:val="100"/>
                              <w:position w:val="0"/>
                              <w:sz w:val="18"/>
                              <w:szCs w:val="18"/>
                            </w:rPr>
                            <w:t>、、</w:t>
                          </w:r>
                          <w:r>
                            <w:rPr>
                              <w:b/>
                              <w:bCs/>
                              <w:color w:val="6DB14A"/>
                              <w:spacing w:val="0"/>
                              <w:w w:val="100"/>
                              <w:position w:val="0"/>
                            </w:rPr>
                            <w:t>一^</w:t>
                          </w:r>
                          <w:r>
                            <w:rPr>
                              <w:b/>
                              <w:bCs/>
                              <w:color w:val="5199CB"/>
                              <w:spacing w:val="0"/>
                              <w:w w:val="100"/>
                              <w:position w:val="0"/>
                            </w:rPr>
                            <w:t>神州泰岳</w:t>
                          </w:r>
                        </w:p>
                      </w:txbxContent>
                    </wps:txbx>
                    <wps:bodyPr wrap="none" lIns="0" tIns="0" rIns="0" bIns="0">
                      <a:spAutoFit/>
                    </wps:bodyPr>
                  </wps:wsp>
                </a:graphicData>
              </a:graphic>
            </wp:anchor>
          </w:drawing>
        </mc:Choice>
        <mc:Fallback>
          <w:pict>
            <v:shape id="_x0000_s2099" type="#_x0000_t202" style="position:absolute;margin-left:57.75pt;margin-top:55.450000000000003pt;width:79.700000000000003pt;height:22.300000000000001pt;z-index:-188743345;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204"/>
                      <w:keepNext w:val="0"/>
                      <w:keepLines w:val="0"/>
                      <w:widowControl w:val="0"/>
                      <w:shd w:val="clear" w:color="auto" w:fill="auto"/>
                      <w:bidi w:val="0"/>
                      <w:spacing w:before="0" w:after="0" w:line="240" w:lineRule="auto"/>
                      <w:ind w:left="0" w:right="0" w:firstLine="0"/>
                      <w:jc w:val="left"/>
                    </w:pPr>
                    <w:r>
                      <w:rPr>
                        <w:b/>
                        <w:bCs/>
                        <w:i/>
                        <w:iCs/>
                        <w:color w:val="6DB14A"/>
                        <w:spacing w:val="0"/>
                        <w:w w:val="100"/>
                        <w:position w:val="0"/>
                        <w:sz w:val="18"/>
                        <w:szCs w:val="18"/>
                      </w:rPr>
                      <w:t>、、</w:t>
                    </w:r>
                    <w:r>
                      <w:rPr>
                        <w:b/>
                        <w:bCs/>
                        <w:color w:val="6DB14A"/>
                        <w:spacing w:val="0"/>
                        <w:w w:val="100"/>
                        <w:position w:val="0"/>
                      </w:rPr>
                      <w:t>一^</w:t>
                    </w:r>
                    <w:r>
                      <w:rPr>
                        <w:b/>
                        <w:bCs/>
                        <w:color w:val="5199CB"/>
                        <w:spacing w:val="0"/>
                        <w:w w:val="100"/>
                        <w:position w:val="0"/>
                      </w:rPr>
                      <w:t>神州泰岳</w:t>
                    </w:r>
                  </w:p>
                </w:txbxContent>
              </v:textbox>
              <w10:wrap anchorx="page" anchory="page"/>
            </v:shape>
          </w:pict>
        </mc:Fallback>
      </mc:AlternateContent>
    </w:r>
    <w:r>
      <mc:AlternateContent>
        <mc:Choice Requires="wps">
          <w:drawing>
            <wp:anchor distT="0" distB="0" distL="0" distR="0" simplePos="0" relativeHeight="62915410" behindDoc="1" locked="0" layoutInCell="1" allowOverlap="1">
              <wp:simplePos x="0" y="0"/>
              <wp:positionH relativeFrom="page">
                <wp:posOffset>4156075</wp:posOffset>
              </wp:positionH>
              <wp:positionV relativeFrom="page">
                <wp:posOffset>892810</wp:posOffset>
              </wp:positionV>
              <wp:extent cx="2673350" cy="106680"/>
              <wp:wrapNone/>
              <wp:docPr id="1075" name="Shape 1075"/>
              <a:graphic xmlns:a="http://schemas.openxmlformats.org/drawingml/2006/main">
                <a:graphicData uri="http://schemas.microsoft.com/office/word/2010/wordprocessingShape">
                  <wps:wsp>
                    <wps:cNvSpPr txBox="1"/>
                    <wps:spPr>
                      <a:xfrm>
                        <a:ext cx="2673350" cy="10668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101" type="#_x0000_t202" style="position:absolute;margin-left:327.25pt;margin-top:70.299999999999997pt;width:210.5pt;height:8.4000000000000004pt;z-index:-188743343;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715010</wp:posOffset>
              </wp:positionH>
              <wp:positionV relativeFrom="page">
                <wp:posOffset>1042035</wp:posOffset>
              </wp:positionV>
              <wp:extent cx="6160135" cy="0"/>
              <wp:wrapNone/>
              <wp:docPr id="1077" name="Shape 1077"/>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6.300000000000004pt;margin-top:82.049999999999997pt;width:485.05000000000001pt;height:0;z-index:-251658240;mso-position-horizontal-relative:page;mso-position-vertical-relative:page">
              <v:stroke weight="1.pt"/>
            </v:shape>
          </w:pict>
        </mc:Fallback>
      </mc:AlternateContent>
    </w:r>
  </w:p>
</w:hdr>
</file>

<file path=word/header1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14" behindDoc="1" locked="0" layoutInCell="1" allowOverlap="1">
              <wp:simplePos x="0" y="0"/>
              <wp:positionH relativeFrom="page">
                <wp:posOffset>733425</wp:posOffset>
              </wp:positionH>
              <wp:positionV relativeFrom="page">
                <wp:posOffset>704215</wp:posOffset>
              </wp:positionV>
              <wp:extent cx="1012190" cy="283210"/>
              <wp:wrapNone/>
              <wp:docPr id="1080" name="Shape 1080"/>
              <a:graphic xmlns:a="http://schemas.openxmlformats.org/drawingml/2006/main">
                <a:graphicData uri="http://schemas.microsoft.com/office/word/2010/wordprocessingShape">
                  <wps:wsp>
                    <wps:cNvSpPr txBox="1"/>
                    <wps:spPr>
                      <a:xfrm>
                        <a:ext cx="1012190" cy="2832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204"/>
                            <w:keepNext w:val="0"/>
                            <w:keepLines w:val="0"/>
                            <w:widowControl w:val="0"/>
                            <w:shd w:val="clear" w:color="auto" w:fill="auto"/>
                            <w:bidi w:val="0"/>
                            <w:spacing w:before="0" w:after="0" w:line="240" w:lineRule="auto"/>
                            <w:ind w:left="0" w:right="0" w:firstLine="0"/>
                            <w:jc w:val="left"/>
                          </w:pPr>
                          <w:r>
                            <w:rPr>
                              <w:b/>
                              <w:bCs/>
                              <w:i/>
                              <w:iCs/>
                              <w:color w:val="6DB14A"/>
                              <w:spacing w:val="0"/>
                              <w:w w:val="100"/>
                              <w:position w:val="0"/>
                              <w:sz w:val="18"/>
                              <w:szCs w:val="18"/>
                            </w:rPr>
                            <w:t>、、</w:t>
                          </w:r>
                          <w:r>
                            <w:rPr>
                              <w:b/>
                              <w:bCs/>
                              <w:color w:val="6DB14A"/>
                              <w:spacing w:val="0"/>
                              <w:w w:val="100"/>
                              <w:position w:val="0"/>
                            </w:rPr>
                            <w:t>一^</w:t>
                          </w:r>
                          <w:r>
                            <w:rPr>
                              <w:b/>
                              <w:bCs/>
                              <w:color w:val="5199CB"/>
                              <w:spacing w:val="0"/>
                              <w:w w:val="100"/>
                              <w:position w:val="0"/>
                            </w:rPr>
                            <w:t>神州泰岳</w:t>
                          </w:r>
                        </w:p>
                      </w:txbxContent>
                    </wps:txbx>
                    <wps:bodyPr wrap="none" lIns="0" tIns="0" rIns="0" bIns="0">
                      <a:spAutoFit/>
                    </wps:bodyPr>
                  </wps:wsp>
                </a:graphicData>
              </a:graphic>
            </wp:anchor>
          </w:drawing>
        </mc:Choice>
        <mc:Fallback>
          <w:pict>
            <v:shape id="_x0000_s2106" type="#_x0000_t202" style="position:absolute;margin-left:57.75pt;margin-top:55.450000000000003pt;width:79.700000000000003pt;height:22.300000000000001pt;z-index:-188743339;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204"/>
                      <w:keepNext w:val="0"/>
                      <w:keepLines w:val="0"/>
                      <w:widowControl w:val="0"/>
                      <w:shd w:val="clear" w:color="auto" w:fill="auto"/>
                      <w:bidi w:val="0"/>
                      <w:spacing w:before="0" w:after="0" w:line="240" w:lineRule="auto"/>
                      <w:ind w:left="0" w:right="0" w:firstLine="0"/>
                      <w:jc w:val="left"/>
                    </w:pPr>
                    <w:r>
                      <w:rPr>
                        <w:b/>
                        <w:bCs/>
                        <w:i/>
                        <w:iCs/>
                        <w:color w:val="6DB14A"/>
                        <w:spacing w:val="0"/>
                        <w:w w:val="100"/>
                        <w:position w:val="0"/>
                        <w:sz w:val="18"/>
                        <w:szCs w:val="18"/>
                      </w:rPr>
                      <w:t>、、</w:t>
                    </w:r>
                    <w:r>
                      <w:rPr>
                        <w:b/>
                        <w:bCs/>
                        <w:color w:val="6DB14A"/>
                        <w:spacing w:val="0"/>
                        <w:w w:val="100"/>
                        <w:position w:val="0"/>
                      </w:rPr>
                      <w:t>一^</w:t>
                    </w:r>
                    <w:r>
                      <w:rPr>
                        <w:b/>
                        <w:bCs/>
                        <w:color w:val="5199CB"/>
                        <w:spacing w:val="0"/>
                        <w:w w:val="100"/>
                        <w:position w:val="0"/>
                      </w:rPr>
                      <w:t>神州泰岳</w:t>
                    </w:r>
                  </w:p>
                </w:txbxContent>
              </v:textbox>
              <w10:wrap anchorx="page" anchory="page"/>
            </v:shape>
          </w:pict>
        </mc:Fallback>
      </mc:AlternateContent>
    </w:r>
    <w:r>
      <mc:AlternateContent>
        <mc:Choice Requires="wps">
          <w:drawing>
            <wp:anchor distT="0" distB="0" distL="0" distR="0" simplePos="0" relativeHeight="62915416" behindDoc="1" locked="0" layoutInCell="1" allowOverlap="1">
              <wp:simplePos x="0" y="0"/>
              <wp:positionH relativeFrom="page">
                <wp:posOffset>4156075</wp:posOffset>
              </wp:positionH>
              <wp:positionV relativeFrom="page">
                <wp:posOffset>892810</wp:posOffset>
              </wp:positionV>
              <wp:extent cx="2673350" cy="106680"/>
              <wp:wrapNone/>
              <wp:docPr id="1082" name="Shape 1082"/>
              <a:graphic xmlns:a="http://schemas.openxmlformats.org/drawingml/2006/main">
                <a:graphicData uri="http://schemas.microsoft.com/office/word/2010/wordprocessingShape">
                  <wps:wsp>
                    <wps:cNvSpPr txBox="1"/>
                    <wps:spPr>
                      <a:xfrm>
                        <a:ext cx="2673350" cy="10668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108" type="#_x0000_t202" style="position:absolute;margin-left:327.25pt;margin-top:70.299999999999997pt;width:210.5pt;height:8.4000000000000004pt;z-index:-188743337;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715010</wp:posOffset>
              </wp:positionH>
              <wp:positionV relativeFrom="page">
                <wp:posOffset>1042035</wp:posOffset>
              </wp:positionV>
              <wp:extent cx="6160135" cy="0"/>
              <wp:wrapNone/>
              <wp:docPr id="1084" name="Shape 1084"/>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6.300000000000004pt;margin-top:82.049999999999997pt;width:485.05000000000001pt;height:0;z-index:-251658240;mso-position-horizontal-relative:page;mso-position-vertical-relative:page">
              <v:stroke weight="1.pt"/>
            </v:shape>
          </w:pict>
        </mc:Fallback>
      </mc:AlternateContent>
    </w:r>
  </w:p>
</w:hdr>
</file>

<file path=word/header1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20" behindDoc="1" locked="0" layoutInCell="1" allowOverlap="1">
              <wp:simplePos x="0" y="0"/>
              <wp:positionH relativeFrom="page">
                <wp:posOffset>711835</wp:posOffset>
              </wp:positionH>
              <wp:positionV relativeFrom="page">
                <wp:posOffset>704850</wp:posOffset>
              </wp:positionV>
              <wp:extent cx="6096000" cy="295910"/>
              <wp:wrapNone/>
              <wp:docPr id="1087" name="Shape 1087"/>
              <a:graphic xmlns:a="http://schemas.openxmlformats.org/drawingml/2006/main">
                <a:graphicData uri="http://schemas.microsoft.com/office/word/2010/wordprocessingShape">
                  <wps:wsp>
                    <wps:cNvSpPr txBox="1"/>
                    <wps:spPr>
                      <a:xfrm>
                        <a:ext cx="6096000" cy="2959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tabs>
                              <w:tab w:pos="8707" w:val="right"/>
                            </w:tabs>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1F84C4"/>
                              <w:spacing w:val="0"/>
                              <w:w w:val="100"/>
                              <w:position w:val="0"/>
                            </w:rPr>
                            <w:t>•，</w:t>
                            <w:tab/>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lIns="0" tIns="0" rIns="0" bIns="0">
                      <a:spAutoFit/>
                    </wps:bodyPr>
                  </wps:wsp>
                </a:graphicData>
              </a:graphic>
            </wp:anchor>
          </w:drawing>
        </mc:Choice>
        <mc:Fallback>
          <w:pict>
            <v:shape id="_x0000_s2113" type="#_x0000_t202" style="position:absolute;margin-left:56.050000000000004pt;margin-top:55.5pt;width:480.pt;height:23.300000000000001pt;z-index:-188743333;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tabs>
                        <w:tab w:pos="8707" w:val="right"/>
                      </w:tabs>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1F84C4"/>
                        <w:spacing w:val="0"/>
                        <w:w w:val="100"/>
                        <w:position w:val="0"/>
                      </w:rPr>
                      <w:t>•，</w:t>
                      <w:tab/>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693420</wp:posOffset>
              </wp:positionH>
              <wp:positionV relativeFrom="page">
                <wp:posOffset>1042670</wp:posOffset>
              </wp:positionV>
              <wp:extent cx="6160135" cy="0"/>
              <wp:wrapNone/>
              <wp:docPr id="1089" name="Shape 1089"/>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600000000000001pt;margin-top:82.100000000000009pt;width:485.05000000000001pt;height:0;z-index:-251658240;mso-position-horizontal-relative:page;mso-position-vertical-relative:page">
              <v:stroke weight="1.pt"/>
            </v:shape>
          </w:pict>
        </mc:Fallback>
      </mc:AlternateContent>
    </w:r>
  </w:p>
</w:hdr>
</file>

<file path=word/header1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24" behindDoc="1" locked="0" layoutInCell="1" allowOverlap="1">
              <wp:simplePos x="0" y="0"/>
              <wp:positionH relativeFrom="page">
                <wp:posOffset>733425</wp:posOffset>
              </wp:positionH>
              <wp:positionV relativeFrom="page">
                <wp:posOffset>704215</wp:posOffset>
              </wp:positionV>
              <wp:extent cx="1012190" cy="283210"/>
              <wp:wrapNone/>
              <wp:docPr id="1092" name="Shape 1092"/>
              <a:graphic xmlns:a="http://schemas.openxmlformats.org/drawingml/2006/main">
                <a:graphicData uri="http://schemas.microsoft.com/office/word/2010/wordprocessingShape">
                  <wps:wsp>
                    <wps:cNvSpPr txBox="1"/>
                    <wps:spPr>
                      <a:xfrm>
                        <a:ext cx="1012190" cy="2832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204"/>
                            <w:keepNext w:val="0"/>
                            <w:keepLines w:val="0"/>
                            <w:widowControl w:val="0"/>
                            <w:shd w:val="clear" w:color="auto" w:fill="auto"/>
                            <w:bidi w:val="0"/>
                            <w:spacing w:before="0" w:after="0" w:line="240" w:lineRule="auto"/>
                            <w:ind w:left="0" w:right="0" w:firstLine="0"/>
                            <w:jc w:val="left"/>
                          </w:pPr>
                          <w:r>
                            <w:rPr>
                              <w:b/>
                              <w:bCs/>
                              <w:i/>
                              <w:iCs/>
                              <w:color w:val="6DB14A"/>
                              <w:spacing w:val="0"/>
                              <w:w w:val="100"/>
                              <w:position w:val="0"/>
                              <w:sz w:val="18"/>
                              <w:szCs w:val="18"/>
                            </w:rPr>
                            <w:t>、、</w:t>
                          </w:r>
                          <w:r>
                            <w:rPr>
                              <w:b/>
                              <w:bCs/>
                              <w:color w:val="6DB14A"/>
                              <w:spacing w:val="0"/>
                              <w:w w:val="100"/>
                              <w:position w:val="0"/>
                            </w:rPr>
                            <w:t>一^</w:t>
                          </w:r>
                          <w:r>
                            <w:rPr>
                              <w:b/>
                              <w:bCs/>
                              <w:color w:val="5199CB"/>
                              <w:spacing w:val="0"/>
                              <w:w w:val="100"/>
                              <w:position w:val="0"/>
                            </w:rPr>
                            <w:t>神州泰岳</w:t>
                          </w:r>
                        </w:p>
                      </w:txbxContent>
                    </wps:txbx>
                    <wps:bodyPr wrap="none" lIns="0" tIns="0" rIns="0" bIns="0">
                      <a:spAutoFit/>
                    </wps:bodyPr>
                  </wps:wsp>
                </a:graphicData>
              </a:graphic>
            </wp:anchor>
          </w:drawing>
        </mc:Choice>
        <mc:Fallback>
          <w:pict>
            <v:shape id="_x0000_s2118" type="#_x0000_t202" style="position:absolute;margin-left:57.75pt;margin-top:55.450000000000003pt;width:79.700000000000003pt;height:22.300000000000001pt;z-index:-188743329;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204"/>
                      <w:keepNext w:val="0"/>
                      <w:keepLines w:val="0"/>
                      <w:widowControl w:val="0"/>
                      <w:shd w:val="clear" w:color="auto" w:fill="auto"/>
                      <w:bidi w:val="0"/>
                      <w:spacing w:before="0" w:after="0" w:line="240" w:lineRule="auto"/>
                      <w:ind w:left="0" w:right="0" w:firstLine="0"/>
                      <w:jc w:val="left"/>
                    </w:pPr>
                    <w:r>
                      <w:rPr>
                        <w:b/>
                        <w:bCs/>
                        <w:i/>
                        <w:iCs/>
                        <w:color w:val="6DB14A"/>
                        <w:spacing w:val="0"/>
                        <w:w w:val="100"/>
                        <w:position w:val="0"/>
                        <w:sz w:val="18"/>
                        <w:szCs w:val="18"/>
                      </w:rPr>
                      <w:t>、、</w:t>
                    </w:r>
                    <w:r>
                      <w:rPr>
                        <w:b/>
                        <w:bCs/>
                        <w:color w:val="6DB14A"/>
                        <w:spacing w:val="0"/>
                        <w:w w:val="100"/>
                        <w:position w:val="0"/>
                      </w:rPr>
                      <w:t>一^</w:t>
                    </w:r>
                    <w:r>
                      <w:rPr>
                        <w:b/>
                        <w:bCs/>
                        <w:color w:val="5199CB"/>
                        <w:spacing w:val="0"/>
                        <w:w w:val="100"/>
                        <w:position w:val="0"/>
                      </w:rPr>
                      <w:t>神州泰岳</w:t>
                    </w:r>
                  </w:p>
                </w:txbxContent>
              </v:textbox>
              <w10:wrap anchorx="page" anchory="page"/>
            </v:shape>
          </w:pict>
        </mc:Fallback>
      </mc:AlternateContent>
    </w:r>
    <w:r>
      <mc:AlternateContent>
        <mc:Choice Requires="wps">
          <w:drawing>
            <wp:anchor distT="0" distB="0" distL="0" distR="0" simplePos="0" relativeHeight="62915426" behindDoc="1" locked="0" layoutInCell="1" allowOverlap="1">
              <wp:simplePos x="0" y="0"/>
              <wp:positionH relativeFrom="page">
                <wp:posOffset>4156075</wp:posOffset>
              </wp:positionH>
              <wp:positionV relativeFrom="page">
                <wp:posOffset>892810</wp:posOffset>
              </wp:positionV>
              <wp:extent cx="2673350" cy="106680"/>
              <wp:wrapNone/>
              <wp:docPr id="1094" name="Shape 1094"/>
              <a:graphic xmlns:a="http://schemas.openxmlformats.org/drawingml/2006/main">
                <a:graphicData uri="http://schemas.microsoft.com/office/word/2010/wordprocessingShape">
                  <wps:wsp>
                    <wps:cNvSpPr txBox="1"/>
                    <wps:spPr>
                      <a:xfrm>
                        <a:ext cx="2673350" cy="10668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120" type="#_x0000_t202" style="position:absolute;margin-left:327.25pt;margin-top:70.299999999999997pt;width:210.5pt;height:8.4000000000000004pt;z-index:-188743327;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715010</wp:posOffset>
              </wp:positionH>
              <wp:positionV relativeFrom="page">
                <wp:posOffset>1042035</wp:posOffset>
              </wp:positionV>
              <wp:extent cx="6160135" cy="0"/>
              <wp:wrapNone/>
              <wp:docPr id="1096" name="Shape 1096"/>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6.300000000000004pt;margin-top:82.049999999999997pt;width:485.05000000000001pt;height:0;z-index:-251658240;mso-position-horizontal-relative:page;mso-position-vertical-relative:page">
              <v:stroke weight="1.pt"/>
            </v:shape>
          </w:pict>
        </mc:Fallback>
      </mc:AlternateContent>
    </w:r>
  </w:p>
</w:hdr>
</file>

<file path=word/header1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30" behindDoc="1" locked="0" layoutInCell="1" allowOverlap="1">
              <wp:simplePos x="0" y="0"/>
              <wp:positionH relativeFrom="page">
                <wp:posOffset>733425</wp:posOffset>
              </wp:positionH>
              <wp:positionV relativeFrom="page">
                <wp:posOffset>704215</wp:posOffset>
              </wp:positionV>
              <wp:extent cx="1012190" cy="283210"/>
              <wp:wrapNone/>
              <wp:docPr id="1099" name="Shape 1099"/>
              <a:graphic xmlns:a="http://schemas.openxmlformats.org/drawingml/2006/main">
                <a:graphicData uri="http://schemas.microsoft.com/office/word/2010/wordprocessingShape">
                  <wps:wsp>
                    <wps:cNvSpPr txBox="1"/>
                    <wps:spPr>
                      <a:xfrm>
                        <a:ext cx="1012190" cy="2832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204"/>
                            <w:keepNext w:val="0"/>
                            <w:keepLines w:val="0"/>
                            <w:widowControl w:val="0"/>
                            <w:shd w:val="clear" w:color="auto" w:fill="auto"/>
                            <w:bidi w:val="0"/>
                            <w:spacing w:before="0" w:after="0" w:line="240" w:lineRule="auto"/>
                            <w:ind w:left="0" w:right="0" w:firstLine="0"/>
                            <w:jc w:val="left"/>
                          </w:pPr>
                          <w:r>
                            <w:rPr>
                              <w:b/>
                              <w:bCs/>
                              <w:i/>
                              <w:iCs/>
                              <w:color w:val="6DB14A"/>
                              <w:spacing w:val="0"/>
                              <w:w w:val="100"/>
                              <w:position w:val="0"/>
                              <w:sz w:val="18"/>
                              <w:szCs w:val="18"/>
                            </w:rPr>
                            <w:t>、、</w:t>
                          </w:r>
                          <w:r>
                            <w:rPr>
                              <w:b/>
                              <w:bCs/>
                              <w:color w:val="6DB14A"/>
                              <w:spacing w:val="0"/>
                              <w:w w:val="100"/>
                              <w:position w:val="0"/>
                            </w:rPr>
                            <w:t>一^</w:t>
                          </w:r>
                          <w:r>
                            <w:rPr>
                              <w:b/>
                              <w:bCs/>
                              <w:color w:val="5199CB"/>
                              <w:spacing w:val="0"/>
                              <w:w w:val="100"/>
                              <w:position w:val="0"/>
                            </w:rPr>
                            <w:t>神州泰岳</w:t>
                          </w:r>
                        </w:p>
                      </w:txbxContent>
                    </wps:txbx>
                    <wps:bodyPr wrap="none" lIns="0" tIns="0" rIns="0" bIns="0">
                      <a:spAutoFit/>
                    </wps:bodyPr>
                  </wps:wsp>
                </a:graphicData>
              </a:graphic>
            </wp:anchor>
          </w:drawing>
        </mc:Choice>
        <mc:Fallback>
          <w:pict>
            <v:shape id="_x0000_s2125" type="#_x0000_t202" style="position:absolute;margin-left:57.75pt;margin-top:55.450000000000003pt;width:79.700000000000003pt;height:22.300000000000001pt;z-index:-188743323;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204"/>
                      <w:keepNext w:val="0"/>
                      <w:keepLines w:val="0"/>
                      <w:widowControl w:val="0"/>
                      <w:shd w:val="clear" w:color="auto" w:fill="auto"/>
                      <w:bidi w:val="0"/>
                      <w:spacing w:before="0" w:after="0" w:line="240" w:lineRule="auto"/>
                      <w:ind w:left="0" w:right="0" w:firstLine="0"/>
                      <w:jc w:val="left"/>
                    </w:pPr>
                    <w:r>
                      <w:rPr>
                        <w:b/>
                        <w:bCs/>
                        <w:i/>
                        <w:iCs/>
                        <w:color w:val="6DB14A"/>
                        <w:spacing w:val="0"/>
                        <w:w w:val="100"/>
                        <w:position w:val="0"/>
                        <w:sz w:val="18"/>
                        <w:szCs w:val="18"/>
                      </w:rPr>
                      <w:t>、、</w:t>
                    </w:r>
                    <w:r>
                      <w:rPr>
                        <w:b/>
                        <w:bCs/>
                        <w:color w:val="6DB14A"/>
                        <w:spacing w:val="0"/>
                        <w:w w:val="100"/>
                        <w:position w:val="0"/>
                      </w:rPr>
                      <w:t>一^</w:t>
                    </w:r>
                    <w:r>
                      <w:rPr>
                        <w:b/>
                        <w:bCs/>
                        <w:color w:val="5199CB"/>
                        <w:spacing w:val="0"/>
                        <w:w w:val="100"/>
                        <w:position w:val="0"/>
                      </w:rPr>
                      <w:t>神州泰岳</w:t>
                    </w:r>
                  </w:p>
                </w:txbxContent>
              </v:textbox>
              <w10:wrap anchorx="page" anchory="page"/>
            </v:shape>
          </w:pict>
        </mc:Fallback>
      </mc:AlternateContent>
    </w:r>
    <w:r>
      <mc:AlternateContent>
        <mc:Choice Requires="wps">
          <w:drawing>
            <wp:anchor distT="0" distB="0" distL="0" distR="0" simplePos="0" relativeHeight="62915432" behindDoc="1" locked="0" layoutInCell="1" allowOverlap="1">
              <wp:simplePos x="0" y="0"/>
              <wp:positionH relativeFrom="page">
                <wp:posOffset>4156075</wp:posOffset>
              </wp:positionH>
              <wp:positionV relativeFrom="page">
                <wp:posOffset>892810</wp:posOffset>
              </wp:positionV>
              <wp:extent cx="2673350" cy="106680"/>
              <wp:wrapNone/>
              <wp:docPr id="1101" name="Shape 1101"/>
              <a:graphic xmlns:a="http://schemas.openxmlformats.org/drawingml/2006/main">
                <a:graphicData uri="http://schemas.microsoft.com/office/word/2010/wordprocessingShape">
                  <wps:wsp>
                    <wps:cNvSpPr txBox="1"/>
                    <wps:spPr>
                      <a:xfrm>
                        <a:ext cx="2673350" cy="10668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127" type="#_x0000_t202" style="position:absolute;margin-left:327.25pt;margin-top:70.299999999999997pt;width:210.5pt;height:8.4000000000000004pt;z-index:-188743321;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715010</wp:posOffset>
              </wp:positionH>
              <wp:positionV relativeFrom="page">
                <wp:posOffset>1042035</wp:posOffset>
              </wp:positionV>
              <wp:extent cx="6160135" cy="0"/>
              <wp:wrapNone/>
              <wp:docPr id="1103" name="Shape 1103"/>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6.300000000000004pt;margin-top:82.049999999999997pt;width:485.05000000000001pt;height:0;z-index:-251658240;mso-position-horizontal-relative:page;mso-position-vertical-relative:page">
              <v:stroke weight="1.pt"/>
            </v:shape>
          </w:pict>
        </mc:Fallback>
      </mc:AlternateContent>
    </w:r>
  </w:p>
</w:hdr>
</file>

<file path=word/header1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36" behindDoc="1" locked="0" layoutInCell="1" allowOverlap="1">
              <wp:simplePos x="0" y="0"/>
              <wp:positionH relativeFrom="page">
                <wp:posOffset>711835</wp:posOffset>
              </wp:positionH>
              <wp:positionV relativeFrom="page">
                <wp:posOffset>704850</wp:posOffset>
              </wp:positionV>
              <wp:extent cx="6096000" cy="295910"/>
              <wp:wrapNone/>
              <wp:docPr id="1106" name="Shape 1106"/>
              <a:graphic xmlns:a="http://schemas.openxmlformats.org/drawingml/2006/main">
                <a:graphicData uri="http://schemas.microsoft.com/office/word/2010/wordprocessingShape">
                  <wps:wsp>
                    <wps:cNvSpPr txBox="1"/>
                    <wps:spPr>
                      <a:xfrm>
                        <a:ext cx="6096000" cy="2959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tabs>
                              <w:tab w:pos="8707" w:val="right"/>
                            </w:tabs>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1F84C4"/>
                              <w:spacing w:val="0"/>
                              <w:w w:val="100"/>
                              <w:position w:val="0"/>
                            </w:rPr>
                            <w:t>•，</w:t>
                            <w:tab/>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lIns="0" tIns="0" rIns="0" bIns="0">
                      <a:spAutoFit/>
                    </wps:bodyPr>
                  </wps:wsp>
                </a:graphicData>
              </a:graphic>
            </wp:anchor>
          </w:drawing>
        </mc:Choice>
        <mc:Fallback>
          <w:pict>
            <v:shape id="_x0000_s2132" type="#_x0000_t202" style="position:absolute;margin-left:56.050000000000004pt;margin-top:55.5pt;width:480.pt;height:23.300000000000001pt;z-index:-188743317;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tabs>
                        <w:tab w:pos="8707" w:val="right"/>
                      </w:tabs>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1F84C4"/>
                        <w:spacing w:val="0"/>
                        <w:w w:val="100"/>
                        <w:position w:val="0"/>
                      </w:rPr>
                      <w:t>•，</w:t>
                      <w:tab/>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693420</wp:posOffset>
              </wp:positionH>
              <wp:positionV relativeFrom="page">
                <wp:posOffset>1042670</wp:posOffset>
              </wp:positionV>
              <wp:extent cx="6160135" cy="0"/>
              <wp:wrapNone/>
              <wp:docPr id="1108" name="Shape 1108"/>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600000000000001pt;margin-top:82.100000000000009pt;width:485.05000000000001pt;height:0;z-index:-251658240;mso-position-horizontal-relative:page;mso-position-vertical-relative:page">
              <v:stroke weight="1.pt"/>
            </v:shape>
          </w:pict>
        </mc:Fallback>
      </mc:AlternateContent>
    </w:r>
  </w:p>
</w:hdr>
</file>

<file path=word/header1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40" behindDoc="1" locked="0" layoutInCell="1" allowOverlap="1">
              <wp:simplePos x="0" y="0"/>
              <wp:positionH relativeFrom="page">
                <wp:posOffset>733425</wp:posOffset>
              </wp:positionH>
              <wp:positionV relativeFrom="page">
                <wp:posOffset>704215</wp:posOffset>
              </wp:positionV>
              <wp:extent cx="1012190" cy="283210"/>
              <wp:wrapNone/>
              <wp:docPr id="1117" name="Shape 1117"/>
              <a:graphic xmlns:a="http://schemas.openxmlformats.org/drawingml/2006/main">
                <a:graphicData uri="http://schemas.microsoft.com/office/word/2010/wordprocessingShape">
                  <wps:wsp>
                    <wps:cNvSpPr txBox="1"/>
                    <wps:spPr>
                      <a:xfrm>
                        <a:ext cx="1012190" cy="2832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204"/>
                            <w:keepNext w:val="0"/>
                            <w:keepLines w:val="0"/>
                            <w:widowControl w:val="0"/>
                            <w:shd w:val="clear" w:color="auto" w:fill="auto"/>
                            <w:bidi w:val="0"/>
                            <w:spacing w:before="0" w:after="0" w:line="240" w:lineRule="auto"/>
                            <w:ind w:left="0" w:right="0" w:firstLine="0"/>
                            <w:jc w:val="left"/>
                          </w:pPr>
                          <w:r>
                            <w:rPr>
                              <w:b/>
                              <w:bCs/>
                              <w:i/>
                              <w:iCs/>
                              <w:color w:val="6DB14A"/>
                              <w:spacing w:val="0"/>
                              <w:w w:val="100"/>
                              <w:position w:val="0"/>
                              <w:sz w:val="18"/>
                              <w:szCs w:val="18"/>
                            </w:rPr>
                            <w:t>、、</w:t>
                          </w:r>
                          <w:r>
                            <w:rPr>
                              <w:b/>
                              <w:bCs/>
                              <w:color w:val="6DB14A"/>
                              <w:spacing w:val="0"/>
                              <w:w w:val="100"/>
                              <w:position w:val="0"/>
                            </w:rPr>
                            <w:t>一^</w:t>
                          </w:r>
                          <w:r>
                            <w:rPr>
                              <w:b/>
                              <w:bCs/>
                              <w:color w:val="5199CB"/>
                              <w:spacing w:val="0"/>
                              <w:w w:val="100"/>
                              <w:position w:val="0"/>
                            </w:rPr>
                            <w:t>神州泰岳</w:t>
                          </w:r>
                        </w:p>
                      </w:txbxContent>
                    </wps:txbx>
                    <wps:bodyPr wrap="none" lIns="0" tIns="0" rIns="0" bIns="0">
                      <a:spAutoFit/>
                    </wps:bodyPr>
                  </wps:wsp>
                </a:graphicData>
              </a:graphic>
            </wp:anchor>
          </w:drawing>
        </mc:Choice>
        <mc:Fallback>
          <w:pict>
            <v:shape id="_x0000_s2143" type="#_x0000_t202" style="position:absolute;margin-left:57.75pt;margin-top:55.450000000000003pt;width:79.700000000000003pt;height:22.300000000000001pt;z-index:-188743313;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204"/>
                      <w:keepNext w:val="0"/>
                      <w:keepLines w:val="0"/>
                      <w:widowControl w:val="0"/>
                      <w:shd w:val="clear" w:color="auto" w:fill="auto"/>
                      <w:bidi w:val="0"/>
                      <w:spacing w:before="0" w:after="0" w:line="240" w:lineRule="auto"/>
                      <w:ind w:left="0" w:right="0" w:firstLine="0"/>
                      <w:jc w:val="left"/>
                    </w:pPr>
                    <w:r>
                      <w:rPr>
                        <w:b/>
                        <w:bCs/>
                        <w:i/>
                        <w:iCs/>
                        <w:color w:val="6DB14A"/>
                        <w:spacing w:val="0"/>
                        <w:w w:val="100"/>
                        <w:position w:val="0"/>
                        <w:sz w:val="18"/>
                        <w:szCs w:val="18"/>
                      </w:rPr>
                      <w:t>、、</w:t>
                    </w:r>
                    <w:r>
                      <w:rPr>
                        <w:b/>
                        <w:bCs/>
                        <w:color w:val="6DB14A"/>
                        <w:spacing w:val="0"/>
                        <w:w w:val="100"/>
                        <w:position w:val="0"/>
                      </w:rPr>
                      <w:t>一^</w:t>
                    </w:r>
                    <w:r>
                      <w:rPr>
                        <w:b/>
                        <w:bCs/>
                        <w:color w:val="5199CB"/>
                        <w:spacing w:val="0"/>
                        <w:w w:val="100"/>
                        <w:position w:val="0"/>
                      </w:rPr>
                      <w:t>神州泰岳</w:t>
                    </w:r>
                  </w:p>
                </w:txbxContent>
              </v:textbox>
              <w10:wrap anchorx="page" anchory="page"/>
            </v:shape>
          </w:pict>
        </mc:Fallback>
      </mc:AlternateContent>
    </w:r>
    <w:r>
      <mc:AlternateContent>
        <mc:Choice Requires="wps">
          <w:drawing>
            <wp:anchor distT="0" distB="0" distL="0" distR="0" simplePos="0" relativeHeight="62915442" behindDoc="1" locked="0" layoutInCell="1" allowOverlap="1">
              <wp:simplePos x="0" y="0"/>
              <wp:positionH relativeFrom="page">
                <wp:posOffset>4156075</wp:posOffset>
              </wp:positionH>
              <wp:positionV relativeFrom="page">
                <wp:posOffset>892810</wp:posOffset>
              </wp:positionV>
              <wp:extent cx="2673350" cy="106680"/>
              <wp:wrapNone/>
              <wp:docPr id="1119" name="Shape 1119"/>
              <a:graphic xmlns:a="http://schemas.openxmlformats.org/drawingml/2006/main">
                <a:graphicData uri="http://schemas.microsoft.com/office/word/2010/wordprocessingShape">
                  <wps:wsp>
                    <wps:cNvSpPr txBox="1"/>
                    <wps:spPr>
                      <a:xfrm>
                        <a:ext cx="2673350" cy="10668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145" type="#_x0000_t202" style="position:absolute;margin-left:327.25pt;margin-top:70.299999999999997pt;width:210.5pt;height:8.4000000000000004pt;z-index:-188743311;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715010</wp:posOffset>
              </wp:positionH>
              <wp:positionV relativeFrom="page">
                <wp:posOffset>1042035</wp:posOffset>
              </wp:positionV>
              <wp:extent cx="6160135" cy="0"/>
              <wp:wrapNone/>
              <wp:docPr id="1121" name="Shape 1121"/>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6.300000000000004pt;margin-top:82.049999999999997pt;width:485.05000000000001pt;height:0;z-index:-251658240;mso-position-horizontal-relative:page;mso-position-vertical-relative:page">
              <v:stroke weight="1.pt"/>
            </v:shape>
          </w:pict>
        </mc:Fallback>
      </mc:AlternateContent>
    </w:r>
  </w:p>
</w:hdr>
</file>

<file path=word/header1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46" behindDoc="1" locked="0" layoutInCell="1" allowOverlap="1">
              <wp:simplePos x="0" y="0"/>
              <wp:positionH relativeFrom="page">
                <wp:posOffset>733425</wp:posOffset>
              </wp:positionH>
              <wp:positionV relativeFrom="page">
                <wp:posOffset>704215</wp:posOffset>
              </wp:positionV>
              <wp:extent cx="1012190" cy="283210"/>
              <wp:wrapNone/>
              <wp:docPr id="1124" name="Shape 1124"/>
              <a:graphic xmlns:a="http://schemas.openxmlformats.org/drawingml/2006/main">
                <a:graphicData uri="http://schemas.microsoft.com/office/word/2010/wordprocessingShape">
                  <wps:wsp>
                    <wps:cNvSpPr txBox="1"/>
                    <wps:spPr>
                      <a:xfrm>
                        <a:ext cx="1012190" cy="2832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204"/>
                            <w:keepNext w:val="0"/>
                            <w:keepLines w:val="0"/>
                            <w:widowControl w:val="0"/>
                            <w:shd w:val="clear" w:color="auto" w:fill="auto"/>
                            <w:bidi w:val="0"/>
                            <w:spacing w:before="0" w:after="0" w:line="240" w:lineRule="auto"/>
                            <w:ind w:left="0" w:right="0" w:firstLine="0"/>
                            <w:jc w:val="left"/>
                          </w:pPr>
                          <w:r>
                            <w:rPr>
                              <w:b/>
                              <w:bCs/>
                              <w:i/>
                              <w:iCs/>
                              <w:color w:val="6DB14A"/>
                              <w:spacing w:val="0"/>
                              <w:w w:val="100"/>
                              <w:position w:val="0"/>
                              <w:sz w:val="18"/>
                              <w:szCs w:val="18"/>
                            </w:rPr>
                            <w:t>、、</w:t>
                          </w:r>
                          <w:r>
                            <w:rPr>
                              <w:b/>
                              <w:bCs/>
                              <w:color w:val="6DB14A"/>
                              <w:spacing w:val="0"/>
                              <w:w w:val="100"/>
                              <w:position w:val="0"/>
                            </w:rPr>
                            <w:t>一^</w:t>
                          </w:r>
                          <w:r>
                            <w:rPr>
                              <w:b/>
                              <w:bCs/>
                              <w:color w:val="5199CB"/>
                              <w:spacing w:val="0"/>
                              <w:w w:val="100"/>
                              <w:position w:val="0"/>
                            </w:rPr>
                            <w:t>神州泰岳</w:t>
                          </w:r>
                        </w:p>
                      </w:txbxContent>
                    </wps:txbx>
                    <wps:bodyPr wrap="none" lIns="0" tIns="0" rIns="0" bIns="0">
                      <a:spAutoFit/>
                    </wps:bodyPr>
                  </wps:wsp>
                </a:graphicData>
              </a:graphic>
            </wp:anchor>
          </w:drawing>
        </mc:Choice>
        <mc:Fallback>
          <w:pict>
            <v:shape id="_x0000_s2150" type="#_x0000_t202" style="position:absolute;margin-left:57.75pt;margin-top:55.450000000000003pt;width:79.700000000000003pt;height:22.300000000000001pt;z-index:-188743307;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204"/>
                      <w:keepNext w:val="0"/>
                      <w:keepLines w:val="0"/>
                      <w:widowControl w:val="0"/>
                      <w:shd w:val="clear" w:color="auto" w:fill="auto"/>
                      <w:bidi w:val="0"/>
                      <w:spacing w:before="0" w:after="0" w:line="240" w:lineRule="auto"/>
                      <w:ind w:left="0" w:right="0" w:firstLine="0"/>
                      <w:jc w:val="left"/>
                    </w:pPr>
                    <w:r>
                      <w:rPr>
                        <w:b/>
                        <w:bCs/>
                        <w:i/>
                        <w:iCs/>
                        <w:color w:val="6DB14A"/>
                        <w:spacing w:val="0"/>
                        <w:w w:val="100"/>
                        <w:position w:val="0"/>
                        <w:sz w:val="18"/>
                        <w:szCs w:val="18"/>
                      </w:rPr>
                      <w:t>、、</w:t>
                    </w:r>
                    <w:r>
                      <w:rPr>
                        <w:b/>
                        <w:bCs/>
                        <w:color w:val="6DB14A"/>
                        <w:spacing w:val="0"/>
                        <w:w w:val="100"/>
                        <w:position w:val="0"/>
                      </w:rPr>
                      <w:t>一^</w:t>
                    </w:r>
                    <w:r>
                      <w:rPr>
                        <w:b/>
                        <w:bCs/>
                        <w:color w:val="5199CB"/>
                        <w:spacing w:val="0"/>
                        <w:w w:val="100"/>
                        <w:position w:val="0"/>
                      </w:rPr>
                      <w:t>神州泰岳</w:t>
                    </w:r>
                  </w:p>
                </w:txbxContent>
              </v:textbox>
              <w10:wrap anchorx="page" anchory="page"/>
            </v:shape>
          </w:pict>
        </mc:Fallback>
      </mc:AlternateContent>
    </w:r>
    <w:r>
      <mc:AlternateContent>
        <mc:Choice Requires="wps">
          <w:drawing>
            <wp:anchor distT="0" distB="0" distL="0" distR="0" simplePos="0" relativeHeight="62915448" behindDoc="1" locked="0" layoutInCell="1" allowOverlap="1">
              <wp:simplePos x="0" y="0"/>
              <wp:positionH relativeFrom="page">
                <wp:posOffset>4156075</wp:posOffset>
              </wp:positionH>
              <wp:positionV relativeFrom="page">
                <wp:posOffset>892810</wp:posOffset>
              </wp:positionV>
              <wp:extent cx="2673350" cy="106680"/>
              <wp:wrapNone/>
              <wp:docPr id="1126" name="Shape 1126"/>
              <a:graphic xmlns:a="http://schemas.openxmlformats.org/drawingml/2006/main">
                <a:graphicData uri="http://schemas.microsoft.com/office/word/2010/wordprocessingShape">
                  <wps:wsp>
                    <wps:cNvSpPr txBox="1"/>
                    <wps:spPr>
                      <a:xfrm>
                        <a:ext cx="2673350" cy="10668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152" type="#_x0000_t202" style="position:absolute;margin-left:327.25pt;margin-top:70.299999999999997pt;width:210.5pt;height:8.4000000000000004pt;z-index:-188743305;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715010</wp:posOffset>
              </wp:positionH>
              <wp:positionV relativeFrom="page">
                <wp:posOffset>1042035</wp:posOffset>
              </wp:positionV>
              <wp:extent cx="6160135" cy="0"/>
              <wp:wrapNone/>
              <wp:docPr id="1128" name="Shape 1128"/>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6.300000000000004pt;margin-top:82.049999999999997pt;width:485.05000000000001pt;height:0;z-index:-251658240;mso-position-horizontal-relative:page;mso-position-vertical-relative:page">
              <v:stroke weight="1.pt"/>
            </v:shape>
          </w:pict>
        </mc:Fallback>
      </mc:AlternateContent>
    </w:r>
  </w:p>
</w:hdr>
</file>

<file path=word/header1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52" behindDoc="1" locked="0" layoutInCell="1" allowOverlap="1">
              <wp:simplePos x="0" y="0"/>
              <wp:positionH relativeFrom="page">
                <wp:posOffset>711835</wp:posOffset>
              </wp:positionH>
              <wp:positionV relativeFrom="page">
                <wp:posOffset>704850</wp:posOffset>
              </wp:positionV>
              <wp:extent cx="6096000" cy="295910"/>
              <wp:wrapNone/>
              <wp:docPr id="1131" name="Shape 1131"/>
              <a:graphic xmlns:a="http://schemas.openxmlformats.org/drawingml/2006/main">
                <a:graphicData uri="http://schemas.microsoft.com/office/word/2010/wordprocessingShape">
                  <wps:wsp>
                    <wps:cNvSpPr txBox="1"/>
                    <wps:spPr>
                      <a:xfrm>
                        <a:ext cx="6096000" cy="2959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tabs>
                              <w:tab w:pos="8707" w:val="right"/>
                            </w:tabs>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1F84C4"/>
                              <w:spacing w:val="0"/>
                              <w:w w:val="100"/>
                              <w:position w:val="0"/>
                            </w:rPr>
                            <w:t>•，</w:t>
                            <w:tab/>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lIns="0" tIns="0" rIns="0" bIns="0">
                      <a:spAutoFit/>
                    </wps:bodyPr>
                  </wps:wsp>
                </a:graphicData>
              </a:graphic>
            </wp:anchor>
          </w:drawing>
        </mc:Choice>
        <mc:Fallback>
          <w:pict>
            <v:shape id="_x0000_s2157" type="#_x0000_t202" style="position:absolute;margin-left:56.050000000000004pt;margin-top:55.5pt;width:480.pt;height:23.300000000000001pt;z-index:-188743301;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tabs>
                        <w:tab w:pos="8707" w:val="right"/>
                      </w:tabs>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1F84C4"/>
                        <w:spacing w:val="0"/>
                        <w:w w:val="100"/>
                        <w:position w:val="0"/>
                      </w:rPr>
                      <w:t>•，</w:t>
                      <w:tab/>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693420</wp:posOffset>
              </wp:positionH>
              <wp:positionV relativeFrom="page">
                <wp:posOffset>1042670</wp:posOffset>
              </wp:positionV>
              <wp:extent cx="6160135" cy="0"/>
              <wp:wrapNone/>
              <wp:docPr id="1133" name="Shape 1133"/>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600000000000001pt;margin-top:82.100000000000009pt;width:485.05000000000001pt;height:0;z-index:-251658240;mso-position-horizontal-relative:page;mso-position-vertical-relative:page">
              <v:stroke weight="1.pt"/>
            </v:shape>
          </w:pict>
        </mc:Fallback>
      </mc:AlternateContent>
    </w:r>
  </w:p>
</w:hdr>
</file>

<file path=word/header1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56" behindDoc="1" locked="0" layoutInCell="1" allowOverlap="1">
              <wp:simplePos x="0" y="0"/>
              <wp:positionH relativeFrom="page">
                <wp:posOffset>711835</wp:posOffset>
              </wp:positionH>
              <wp:positionV relativeFrom="page">
                <wp:posOffset>704850</wp:posOffset>
              </wp:positionV>
              <wp:extent cx="6096000" cy="295910"/>
              <wp:wrapNone/>
              <wp:docPr id="1136" name="Shape 1136"/>
              <a:graphic xmlns:a="http://schemas.openxmlformats.org/drawingml/2006/main">
                <a:graphicData uri="http://schemas.microsoft.com/office/word/2010/wordprocessingShape">
                  <wps:wsp>
                    <wps:cNvSpPr txBox="1"/>
                    <wps:spPr>
                      <a:xfrm>
                        <a:ext cx="6096000" cy="2959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tabs>
                              <w:tab w:pos="8707" w:val="right"/>
                            </w:tabs>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1F84C4"/>
                              <w:spacing w:val="0"/>
                              <w:w w:val="100"/>
                              <w:position w:val="0"/>
                            </w:rPr>
                            <w:t>•，</w:t>
                            <w:tab/>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lIns="0" tIns="0" rIns="0" bIns="0">
                      <a:spAutoFit/>
                    </wps:bodyPr>
                  </wps:wsp>
                </a:graphicData>
              </a:graphic>
            </wp:anchor>
          </w:drawing>
        </mc:Choice>
        <mc:Fallback>
          <w:pict>
            <v:shape id="_x0000_s2162" type="#_x0000_t202" style="position:absolute;margin-left:56.050000000000004pt;margin-top:55.5pt;width:480.pt;height:23.300000000000001pt;z-index:-188743297;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tabs>
                        <w:tab w:pos="8707" w:val="right"/>
                      </w:tabs>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1F84C4"/>
                        <w:spacing w:val="0"/>
                        <w:w w:val="100"/>
                        <w:position w:val="0"/>
                      </w:rPr>
                      <w:t>•，</w:t>
                      <w:tab/>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693420</wp:posOffset>
              </wp:positionH>
              <wp:positionV relativeFrom="page">
                <wp:posOffset>1042670</wp:posOffset>
              </wp:positionV>
              <wp:extent cx="6160135" cy="0"/>
              <wp:wrapNone/>
              <wp:docPr id="1138" name="Shape 1138"/>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600000000000001pt;margin-top:82.100000000000009pt;width:485.05000000000001pt;height:0;z-index:-251658240;mso-position-horizontal-relative:page;mso-position-vertical-relative:page">
              <v:stroke weight="1.pt"/>
            </v:shape>
          </w:pict>
        </mc:Fallback>
      </mc:AlternateContent>
    </w:r>
  </w:p>
</w:hdr>
</file>

<file path=word/header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6" behindDoc="1" locked="0" layoutInCell="1" allowOverlap="1">
              <wp:simplePos x="0" y="0"/>
              <wp:positionH relativeFrom="page">
                <wp:posOffset>718820</wp:posOffset>
              </wp:positionH>
              <wp:positionV relativeFrom="page">
                <wp:posOffset>641985</wp:posOffset>
              </wp:positionV>
              <wp:extent cx="1012190" cy="283210"/>
              <wp:wrapNone/>
              <wp:docPr id="218" name="Shape 218"/>
              <a:graphic xmlns:a="http://schemas.openxmlformats.org/drawingml/2006/main">
                <a:graphicData uri="http://schemas.microsoft.com/office/word/2010/wordprocessingShape">
                  <wps:wsp>
                    <wps:cNvSpPr txBox="1"/>
                    <wps:spPr>
                      <a:xfrm>
                        <a:ext cx="1012190" cy="283210"/>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b/>
                              <w:bCs/>
                              <w:i/>
                              <w:iCs/>
                              <w:color w:val="6DB14A"/>
                              <w:spacing w:val="0"/>
                              <w:w w:val="100"/>
                              <w:position w:val="0"/>
                              <w:sz w:val="18"/>
                              <w:szCs w:val="18"/>
                            </w:rPr>
                            <w:t>、、</w:t>
                          </w:r>
                          <w:r>
                            <w:rPr>
                              <w:rFonts w:ascii="SimSun" w:eastAsia="SimSun" w:hAnsi="SimSun" w:cs="SimSun"/>
                              <w:b/>
                              <w:bCs/>
                              <w:color w:val="6DB14A"/>
                              <w:spacing w:val="0"/>
                              <w:w w:val="100"/>
                              <w:position w:val="0"/>
                              <w:sz w:val="17"/>
                              <w:szCs w:val="17"/>
                            </w:rPr>
                            <w:t>一^</w:t>
                          </w:r>
                          <w:r>
                            <w:rPr>
                              <w:rFonts w:ascii="SimSun" w:eastAsia="SimSun" w:hAnsi="SimSun" w:cs="SimSun"/>
                              <w:b/>
                              <w:bCs/>
                              <w:color w:val="5199CB"/>
                              <w:spacing w:val="0"/>
                              <w:w w:val="100"/>
                              <w:position w:val="0"/>
                              <w:sz w:val="17"/>
                              <w:szCs w:val="17"/>
                            </w:rPr>
                            <w:t>神州泰岳</w:t>
                          </w:r>
                        </w:p>
                      </w:txbxContent>
                    </wps:txbx>
                    <wps:bodyPr wrap="none" lIns="0" tIns="0" rIns="0" bIns="0">
                      <a:spAutoFit/>
                    </wps:bodyPr>
                  </wps:wsp>
                </a:graphicData>
              </a:graphic>
            </wp:anchor>
          </w:drawing>
        </mc:Choice>
        <mc:Fallback>
          <w:pict>
            <v:shape id="_x0000_s1244" type="#_x0000_t202" style="position:absolute;margin-left:56.600000000000001pt;margin-top:50.550000000000004pt;width:79.700000000000003pt;height:22.300000000000001pt;z-index:-188743987;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b/>
                        <w:bCs/>
                        <w:i/>
                        <w:iCs/>
                        <w:color w:val="6DB14A"/>
                        <w:spacing w:val="0"/>
                        <w:w w:val="100"/>
                        <w:position w:val="0"/>
                        <w:sz w:val="18"/>
                        <w:szCs w:val="18"/>
                      </w:rPr>
                      <w:t>、、</w:t>
                    </w:r>
                    <w:r>
                      <w:rPr>
                        <w:rFonts w:ascii="SimSun" w:eastAsia="SimSun" w:hAnsi="SimSun" w:cs="SimSun"/>
                        <w:b/>
                        <w:bCs/>
                        <w:color w:val="6DB14A"/>
                        <w:spacing w:val="0"/>
                        <w:w w:val="100"/>
                        <w:position w:val="0"/>
                        <w:sz w:val="17"/>
                        <w:szCs w:val="17"/>
                      </w:rPr>
                      <w:t>一^</w:t>
                    </w:r>
                    <w:r>
                      <w:rPr>
                        <w:rFonts w:ascii="SimSun" w:eastAsia="SimSun" w:hAnsi="SimSun" w:cs="SimSun"/>
                        <w:b/>
                        <w:bCs/>
                        <w:color w:val="5199CB"/>
                        <w:spacing w:val="0"/>
                        <w:w w:val="100"/>
                        <w:position w:val="0"/>
                        <w:sz w:val="17"/>
                        <w:szCs w:val="17"/>
                      </w:rPr>
                      <w:t>神州泰岳</w:t>
                    </w:r>
                  </w:p>
                </w:txbxContent>
              </v:textbox>
              <w10:wrap anchorx="page" anchory="page"/>
            </v:shape>
          </w:pict>
        </mc:Fallback>
      </mc:AlternateContent>
    </w:r>
    <w:r>
      <mc:AlternateContent>
        <mc:Choice Requires="wps">
          <w:drawing>
            <wp:anchor distT="0" distB="0" distL="0" distR="0" simplePos="0" relativeHeight="62914768" behindDoc="1" locked="0" layoutInCell="1" allowOverlap="1">
              <wp:simplePos x="0" y="0"/>
              <wp:positionH relativeFrom="page">
                <wp:posOffset>4141470</wp:posOffset>
              </wp:positionH>
              <wp:positionV relativeFrom="page">
                <wp:posOffset>830580</wp:posOffset>
              </wp:positionV>
              <wp:extent cx="2673350" cy="106680"/>
              <wp:wrapNone/>
              <wp:docPr id="220" name="Shape 220"/>
              <a:graphic xmlns:a="http://schemas.openxmlformats.org/drawingml/2006/main">
                <a:graphicData uri="http://schemas.microsoft.com/office/word/2010/wordprocessingShape">
                  <wps:wsp>
                    <wps:cNvSpPr txBox="1"/>
                    <wps:spPr>
                      <a:xfrm>
                        <a:ext cx="2673350" cy="106680"/>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北京神州泰岳软件股份有限公司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246" type="#_x0000_t202" style="position:absolute;margin-left:326.10000000000002pt;margin-top:65.400000000000006pt;width:210.5pt;height:8.4000000000000004pt;z-index:-188743985;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北京神州泰岳软件股份有限公司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700405</wp:posOffset>
              </wp:positionH>
              <wp:positionV relativeFrom="page">
                <wp:posOffset>979805</wp:posOffset>
              </wp:positionV>
              <wp:extent cx="6160135" cy="0"/>
              <wp:wrapNone/>
              <wp:docPr id="222" name="Shape 222"/>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5.149999999999999pt;margin-top:77.150000000000006pt;width:485.05000000000001pt;height:0;z-index:-251658240;mso-position-horizontal-relative:page;mso-position-vertical-relative:page">
              <v:stroke weight="1.pt"/>
            </v:shape>
          </w:pict>
        </mc:Fallback>
      </mc:AlternateContent>
    </w:r>
  </w:p>
</w:hdr>
</file>

<file path=word/header1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60" behindDoc="1" locked="0" layoutInCell="1" allowOverlap="1">
              <wp:simplePos x="0" y="0"/>
              <wp:positionH relativeFrom="page">
                <wp:posOffset>733425</wp:posOffset>
              </wp:positionH>
              <wp:positionV relativeFrom="page">
                <wp:posOffset>704215</wp:posOffset>
              </wp:positionV>
              <wp:extent cx="1012190" cy="283210"/>
              <wp:wrapNone/>
              <wp:docPr id="1141" name="Shape 1141"/>
              <a:graphic xmlns:a="http://schemas.openxmlformats.org/drawingml/2006/main">
                <a:graphicData uri="http://schemas.microsoft.com/office/word/2010/wordprocessingShape">
                  <wps:wsp>
                    <wps:cNvSpPr txBox="1"/>
                    <wps:spPr>
                      <a:xfrm>
                        <a:ext cx="1012190" cy="2832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204"/>
                            <w:keepNext w:val="0"/>
                            <w:keepLines w:val="0"/>
                            <w:widowControl w:val="0"/>
                            <w:shd w:val="clear" w:color="auto" w:fill="auto"/>
                            <w:bidi w:val="0"/>
                            <w:spacing w:before="0" w:after="0" w:line="240" w:lineRule="auto"/>
                            <w:ind w:left="0" w:right="0" w:firstLine="0"/>
                            <w:jc w:val="left"/>
                          </w:pPr>
                          <w:r>
                            <w:rPr>
                              <w:b/>
                              <w:bCs/>
                              <w:i/>
                              <w:iCs/>
                              <w:color w:val="6DB14A"/>
                              <w:spacing w:val="0"/>
                              <w:w w:val="100"/>
                              <w:position w:val="0"/>
                              <w:sz w:val="18"/>
                              <w:szCs w:val="18"/>
                            </w:rPr>
                            <w:t>、、</w:t>
                          </w:r>
                          <w:r>
                            <w:rPr>
                              <w:b/>
                              <w:bCs/>
                              <w:color w:val="6DB14A"/>
                              <w:spacing w:val="0"/>
                              <w:w w:val="100"/>
                              <w:position w:val="0"/>
                            </w:rPr>
                            <w:t>一^</w:t>
                          </w:r>
                          <w:r>
                            <w:rPr>
                              <w:b/>
                              <w:bCs/>
                              <w:color w:val="5199CB"/>
                              <w:spacing w:val="0"/>
                              <w:w w:val="100"/>
                              <w:position w:val="0"/>
                            </w:rPr>
                            <w:t>神州泰岳</w:t>
                          </w:r>
                        </w:p>
                      </w:txbxContent>
                    </wps:txbx>
                    <wps:bodyPr wrap="none" lIns="0" tIns="0" rIns="0" bIns="0">
                      <a:spAutoFit/>
                    </wps:bodyPr>
                  </wps:wsp>
                </a:graphicData>
              </a:graphic>
            </wp:anchor>
          </w:drawing>
        </mc:Choice>
        <mc:Fallback>
          <w:pict>
            <v:shape id="_x0000_s2167" type="#_x0000_t202" style="position:absolute;margin-left:57.75pt;margin-top:55.450000000000003pt;width:79.700000000000003pt;height:22.300000000000001pt;z-index:-188743293;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204"/>
                      <w:keepNext w:val="0"/>
                      <w:keepLines w:val="0"/>
                      <w:widowControl w:val="0"/>
                      <w:shd w:val="clear" w:color="auto" w:fill="auto"/>
                      <w:bidi w:val="0"/>
                      <w:spacing w:before="0" w:after="0" w:line="240" w:lineRule="auto"/>
                      <w:ind w:left="0" w:right="0" w:firstLine="0"/>
                      <w:jc w:val="left"/>
                    </w:pPr>
                    <w:r>
                      <w:rPr>
                        <w:b/>
                        <w:bCs/>
                        <w:i/>
                        <w:iCs/>
                        <w:color w:val="6DB14A"/>
                        <w:spacing w:val="0"/>
                        <w:w w:val="100"/>
                        <w:position w:val="0"/>
                        <w:sz w:val="18"/>
                        <w:szCs w:val="18"/>
                      </w:rPr>
                      <w:t>、、</w:t>
                    </w:r>
                    <w:r>
                      <w:rPr>
                        <w:b/>
                        <w:bCs/>
                        <w:color w:val="6DB14A"/>
                        <w:spacing w:val="0"/>
                        <w:w w:val="100"/>
                        <w:position w:val="0"/>
                      </w:rPr>
                      <w:t>一^</w:t>
                    </w:r>
                    <w:r>
                      <w:rPr>
                        <w:b/>
                        <w:bCs/>
                        <w:color w:val="5199CB"/>
                        <w:spacing w:val="0"/>
                        <w:w w:val="100"/>
                        <w:position w:val="0"/>
                      </w:rPr>
                      <w:t>神州泰岳</w:t>
                    </w:r>
                  </w:p>
                </w:txbxContent>
              </v:textbox>
              <w10:wrap anchorx="page" anchory="page"/>
            </v:shape>
          </w:pict>
        </mc:Fallback>
      </mc:AlternateContent>
    </w:r>
    <w:r>
      <mc:AlternateContent>
        <mc:Choice Requires="wps">
          <w:drawing>
            <wp:anchor distT="0" distB="0" distL="0" distR="0" simplePos="0" relativeHeight="62915462" behindDoc="1" locked="0" layoutInCell="1" allowOverlap="1">
              <wp:simplePos x="0" y="0"/>
              <wp:positionH relativeFrom="page">
                <wp:posOffset>4156075</wp:posOffset>
              </wp:positionH>
              <wp:positionV relativeFrom="page">
                <wp:posOffset>892810</wp:posOffset>
              </wp:positionV>
              <wp:extent cx="2673350" cy="106680"/>
              <wp:wrapNone/>
              <wp:docPr id="1143" name="Shape 1143"/>
              <a:graphic xmlns:a="http://schemas.openxmlformats.org/drawingml/2006/main">
                <a:graphicData uri="http://schemas.microsoft.com/office/word/2010/wordprocessingShape">
                  <wps:wsp>
                    <wps:cNvSpPr txBox="1"/>
                    <wps:spPr>
                      <a:xfrm>
                        <a:ext cx="2673350" cy="10668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169" type="#_x0000_t202" style="position:absolute;margin-left:327.25pt;margin-top:70.299999999999997pt;width:210.5pt;height:8.4000000000000004pt;z-index:-188743291;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715010</wp:posOffset>
              </wp:positionH>
              <wp:positionV relativeFrom="page">
                <wp:posOffset>1042035</wp:posOffset>
              </wp:positionV>
              <wp:extent cx="6160135" cy="0"/>
              <wp:wrapNone/>
              <wp:docPr id="1145" name="Shape 1145"/>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6.300000000000004pt;margin-top:82.049999999999997pt;width:485.05000000000001pt;height:0;z-index:-251658240;mso-position-horizontal-relative:page;mso-position-vertical-relative:page">
              <v:stroke weight="1.pt"/>
            </v:shape>
          </w:pict>
        </mc:Fallback>
      </mc:AlternateContent>
    </w:r>
  </w:p>
</w:hdr>
</file>

<file path=word/header1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66" behindDoc="1" locked="0" layoutInCell="1" allowOverlap="1">
              <wp:simplePos x="0" y="0"/>
              <wp:positionH relativeFrom="page">
                <wp:posOffset>711835</wp:posOffset>
              </wp:positionH>
              <wp:positionV relativeFrom="page">
                <wp:posOffset>704850</wp:posOffset>
              </wp:positionV>
              <wp:extent cx="6096000" cy="295910"/>
              <wp:wrapNone/>
              <wp:docPr id="1148" name="Shape 1148"/>
              <a:graphic xmlns:a="http://schemas.openxmlformats.org/drawingml/2006/main">
                <a:graphicData uri="http://schemas.microsoft.com/office/word/2010/wordprocessingShape">
                  <wps:wsp>
                    <wps:cNvSpPr txBox="1"/>
                    <wps:spPr>
                      <a:xfrm>
                        <a:ext cx="6096000" cy="2959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tabs>
                              <w:tab w:pos="8707" w:val="right"/>
                            </w:tabs>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1F84C4"/>
                              <w:spacing w:val="0"/>
                              <w:w w:val="100"/>
                              <w:position w:val="0"/>
                            </w:rPr>
                            <w:t>•，</w:t>
                            <w:tab/>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lIns="0" tIns="0" rIns="0" bIns="0">
                      <a:spAutoFit/>
                    </wps:bodyPr>
                  </wps:wsp>
                </a:graphicData>
              </a:graphic>
            </wp:anchor>
          </w:drawing>
        </mc:Choice>
        <mc:Fallback>
          <w:pict>
            <v:shape id="_x0000_s2174" type="#_x0000_t202" style="position:absolute;margin-left:56.050000000000004pt;margin-top:55.5pt;width:480.pt;height:23.300000000000001pt;z-index:-188743287;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tabs>
                        <w:tab w:pos="8707" w:val="right"/>
                      </w:tabs>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1F84C4"/>
                        <w:spacing w:val="0"/>
                        <w:w w:val="100"/>
                        <w:position w:val="0"/>
                      </w:rPr>
                      <w:t>•，</w:t>
                      <w:tab/>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693420</wp:posOffset>
              </wp:positionH>
              <wp:positionV relativeFrom="page">
                <wp:posOffset>1042670</wp:posOffset>
              </wp:positionV>
              <wp:extent cx="6160135" cy="0"/>
              <wp:wrapNone/>
              <wp:docPr id="1150" name="Shape 1150"/>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600000000000001pt;margin-top:82.100000000000009pt;width:485.05000000000001pt;height:0;z-index:-251658240;mso-position-horizontal-relative:page;mso-position-vertical-relative:page">
              <v:stroke weight="1.pt"/>
            </v:shape>
          </w:pict>
        </mc:Fallback>
      </mc:AlternateContent>
    </w:r>
  </w:p>
</w:hdr>
</file>

<file path=word/header1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70" behindDoc="1" locked="0" layoutInCell="1" allowOverlap="1">
              <wp:simplePos x="0" y="0"/>
              <wp:positionH relativeFrom="page">
                <wp:posOffset>711835</wp:posOffset>
              </wp:positionH>
              <wp:positionV relativeFrom="page">
                <wp:posOffset>704850</wp:posOffset>
              </wp:positionV>
              <wp:extent cx="6096000" cy="295910"/>
              <wp:wrapNone/>
              <wp:docPr id="1153" name="Shape 1153"/>
              <a:graphic xmlns:a="http://schemas.openxmlformats.org/drawingml/2006/main">
                <a:graphicData uri="http://schemas.microsoft.com/office/word/2010/wordprocessingShape">
                  <wps:wsp>
                    <wps:cNvSpPr txBox="1"/>
                    <wps:spPr>
                      <a:xfrm>
                        <a:ext cx="6096000" cy="2959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tabs>
                              <w:tab w:pos="8707" w:val="right"/>
                            </w:tabs>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1F84C4"/>
                              <w:spacing w:val="0"/>
                              <w:w w:val="100"/>
                              <w:position w:val="0"/>
                            </w:rPr>
                            <w:t>•，</w:t>
                            <w:tab/>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lIns="0" tIns="0" rIns="0" bIns="0">
                      <a:spAutoFit/>
                    </wps:bodyPr>
                  </wps:wsp>
                </a:graphicData>
              </a:graphic>
            </wp:anchor>
          </w:drawing>
        </mc:Choice>
        <mc:Fallback>
          <w:pict>
            <v:shape id="_x0000_s2179" type="#_x0000_t202" style="position:absolute;margin-left:56.050000000000004pt;margin-top:55.5pt;width:480.pt;height:23.300000000000001pt;z-index:-188743283;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tabs>
                        <w:tab w:pos="8707" w:val="right"/>
                      </w:tabs>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1F84C4"/>
                        <w:spacing w:val="0"/>
                        <w:w w:val="100"/>
                        <w:position w:val="0"/>
                      </w:rPr>
                      <w:t>•，</w:t>
                      <w:tab/>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693420</wp:posOffset>
              </wp:positionH>
              <wp:positionV relativeFrom="page">
                <wp:posOffset>1042670</wp:posOffset>
              </wp:positionV>
              <wp:extent cx="6160135" cy="0"/>
              <wp:wrapNone/>
              <wp:docPr id="1155" name="Shape 1155"/>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600000000000001pt;margin-top:82.100000000000009pt;width:485.05000000000001pt;height:0;z-index:-251658240;mso-position-horizontal-relative:page;mso-position-vertical-relative:page">
              <v:stroke weight="1.pt"/>
            </v:shape>
          </w:pict>
        </mc:Fallback>
      </mc:AlternateContent>
    </w:r>
  </w:p>
</w:hdr>
</file>

<file path=word/header1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74" behindDoc="1" locked="0" layoutInCell="1" allowOverlap="1">
              <wp:simplePos x="0" y="0"/>
              <wp:positionH relativeFrom="page">
                <wp:posOffset>688975</wp:posOffset>
              </wp:positionH>
              <wp:positionV relativeFrom="page">
                <wp:posOffset>704850</wp:posOffset>
              </wp:positionV>
              <wp:extent cx="6096000" cy="295910"/>
              <wp:wrapNone/>
              <wp:docPr id="1158" name="Shape 1158"/>
              <a:graphic xmlns:a="http://schemas.openxmlformats.org/drawingml/2006/main">
                <a:graphicData uri="http://schemas.microsoft.com/office/word/2010/wordprocessingShape">
                  <wps:wsp>
                    <wps:cNvSpPr txBox="1"/>
                    <wps:spPr>
                      <a:xfrm>
                        <a:ext cx="6096000" cy="2959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184" type="#_x0000_t202" style="position:absolute;margin-left:54.25pt;margin-top:55.5pt;width:480.pt;height:23.300000000000001pt;z-index:-188743279;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670560</wp:posOffset>
              </wp:positionH>
              <wp:positionV relativeFrom="page">
                <wp:posOffset>1042670</wp:posOffset>
              </wp:positionV>
              <wp:extent cx="6160135" cy="0"/>
              <wp:wrapNone/>
              <wp:docPr id="1160" name="Shape 1160"/>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2.800000000000004pt;margin-top:82.100000000000009pt;width:485.05000000000001pt;height:0;z-index:-251658240;mso-position-horizontal-relative:page;mso-position-vertical-relative:page">
              <v:stroke weight="1.pt"/>
            </v:shape>
          </w:pict>
        </mc:Fallback>
      </mc:AlternateContent>
    </w:r>
  </w:p>
</w:hdr>
</file>

<file path=word/header1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82" behindDoc="1" locked="0" layoutInCell="1" allowOverlap="1">
              <wp:simplePos x="0" y="0"/>
              <wp:positionH relativeFrom="page">
                <wp:posOffset>688975</wp:posOffset>
              </wp:positionH>
              <wp:positionV relativeFrom="page">
                <wp:posOffset>704850</wp:posOffset>
              </wp:positionV>
              <wp:extent cx="6096000" cy="295910"/>
              <wp:wrapNone/>
              <wp:docPr id="1167" name="Shape 1167"/>
              <a:graphic xmlns:a="http://schemas.openxmlformats.org/drawingml/2006/main">
                <a:graphicData uri="http://schemas.microsoft.com/office/word/2010/wordprocessingShape">
                  <wps:wsp>
                    <wps:cNvSpPr txBox="1"/>
                    <wps:spPr>
                      <a:xfrm>
                        <a:ext cx="6096000" cy="2959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193" type="#_x0000_t202" style="position:absolute;margin-left:54.25pt;margin-top:55.5pt;width:480.pt;height:23.300000000000001pt;z-index:-188743271;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670560</wp:posOffset>
              </wp:positionH>
              <wp:positionV relativeFrom="page">
                <wp:posOffset>1042670</wp:posOffset>
              </wp:positionV>
              <wp:extent cx="6160135" cy="0"/>
              <wp:wrapNone/>
              <wp:docPr id="1169" name="Shape 1169"/>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2.800000000000004pt;margin-top:82.100000000000009pt;width:485.05000000000001pt;height:0;z-index:-251658240;mso-position-horizontal-relative:page;mso-position-vertical-relative:page">
              <v:stroke weight="1.pt"/>
            </v:shape>
          </w:pict>
        </mc:Fallback>
      </mc:AlternateContent>
    </w:r>
  </w:p>
</w:hdr>
</file>

<file path=word/header1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86" behindDoc="1" locked="0" layoutInCell="1" allowOverlap="1">
              <wp:simplePos x="0" y="0"/>
              <wp:positionH relativeFrom="page">
                <wp:posOffset>688975</wp:posOffset>
              </wp:positionH>
              <wp:positionV relativeFrom="page">
                <wp:posOffset>704850</wp:posOffset>
              </wp:positionV>
              <wp:extent cx="6096000" cy="295910"/>
              <wp:wrapNone/>
              <wp:docPr id="1172" name="Shape 1172"/>
              <a:graphic xmlns:a="http://schemas.openxmlformats.org/drawingml/2006/main">
                <a:graphicData uri="http://schemas.microsoft.com/office/word/2010/wordprocessingShape">
                  <wps:wsp>
                    <wps:cNvSpPr txBox="1"/>
                    <wps:spPr>
                      <a:xfrm>
                        <a:ext cx="6096000" cy="2959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198" type="#_x0000_t202" style="position:absolute;margin-left:54.25pt;margin-top:55.5pt;width:480.pt;height:23.300000000000001pt;z-index:-188743267;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670560</wp:posOffset>
              </wp:positionH>
              <wp:positionV relativeFrom="page">
                <wp:posOffset>1042670</wp:posOffset>
              </wp:positionV>
              <wp:extent cx="6160135" cy="0"/>
              <wp:wrapNone/>
              <wp:docPr id="1174" name="Shape 1174"/>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2.800000000000004pt;margin-top:82.100000000000009pt;width:485.05000000000001pt;height:0;z-index:-251658240;mso-position-horizontal-relative:page;mso-position-vertical-relative:page">
              <v:stroke weight="1.pt"/>
            </v:shape>
          </w:pict>
        </mc:Fallback>
      </mc:AlternateContent>
    </w:r>
  </w:p>
</w:hdr>
</file>

<file path=word/header1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90" behindDoc="1" locked="0" layoutInCell="1" allowOverlap="1">
              <wp:simplePos x="0" y="0"/>
              <wp:positionH relativeFrom="page">
                <wp:posOffset>733425</wp:posOffset>
              </wp:positionH>
              <wp:positionV relativeFrom="page">
                <wp:posOffset>704215</wp:posOffset>
              </wp:positionV>
              <wp:extent cx="1012190" cy="283210"/>
              <wp:wrapNone/>
              <wp:docPr id="1177" name="Shape 1177"/>
              <a:graphic xmlns:a="http://schemas.openxmlformats.org/drawingml/2006/main">
                <a:graphicData uri="http://schemas.microsoft.com/office/word/2010/wordprocessingShape">
                  <wps:wsp>
                    <wps:cNvSpPr txBox="1"/>
                    <wps:spPr>
                      <a:xfrm>
                        <a:ext cx="1012190" cy="2832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204"/>
                            <w:keepNext w:val="0"/>
                            <w:keepLines w:val="0"/>
                            <w:widowControl w:val="0"/>
                            <w:shd w:val="clear" w:color="auto" w:fill="auto"/>
                            <w:bidi w:val="0"/>
                            <w:spacing w:before="0" w:after="0" w:line="240" w:lineRule="auto"/>
                            <w:ind w:left="0" w:right="0" w:firstLine="0"/>
                            <w:jc w:val="left"/>
                          </w:pPr>
                          <w:r>
                            <w:rPr>
                              <w:b/>
                              <w:bCs/>
                              <w:i/>
                              <w:iCs/>
                              <w:color w:val="6DB14A"/>
                              <w:spacing w:val="0"/>
                              <w:w w:val="100"/>
                              <w:position w:val="0"/>
                              <w:sz w:val="18"/>
                              <w:szCs w:val="18"/>
                            </w:rPr>
                            <w:t>、、</w:t>
                          </w:r>
                          <w:r>
                            <w:rPr>
                              <w:b/>
                              <w:bCs/>
                              <w:color w:val="6DB14A"/>
                              <w:spacing w:val="0"/>
                              <w:w w:val="100"/>
                              <w:position w:val="0"/>
                            </w:rPr>
                            <w:t>一^</w:t>
                          </w:r>
                          <w:r>
                            <w:rPr>
                              <w:b/>
                              <w:bCs/>
                              <w:color w:val="5199CB"/>
                              <w:spacing w:val="0"/>
                              <w:w w:val="100"/>
                              <w:position w:val="0"/>
                            </w:rPr>
                            <w:t>神州泰岳</w:t>
                          </w:r>
                        </w:p>
                      </w:txbxContent>
                    </wps:txbx>
                    <wps:bodyPr wrap="none" lIns="0" tIns="0" rIns="0" bIns="0">
                      <a:spAutoFit/>
                    </wps:bodyPr>
                  </wps:wsp>
                </a:graphicData>
              </a:graphic>
            </wp:anchor>
          </w:drawing>
        </mc:Choice>
        <mc:Fallback>
          <w:pict>
            <v:shape id="_x0000_s2203" type="#_x0000_t202" style="position:absolute;margin-left:57.75pt;margin-top:55.450000000000003pt;width:79.700000000000003pt;height:22.300000000000001pt;z-index:-188743263;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204"/>
                      <w:keepNext w:val="0"/>
                      <w:keepLines w:val="0"/>
                      <w:widowControl w:val="0"/>
                      <w:shd w:val="clear" w:color="auto" w:fill="auto"/>
                      <w:bidi w:val="0"/>
                      <w:spacing w:before="0" w:after="0" w:line="240" w:lineRule="auto"/>
                      <w:ind w:left="0" w:right="0" w:firstLine="0"/>
                      <w:jc w:val="left"/>
                    </w:pPr>
                    <w:r>
                      <w:rPr>
                        <w:b/>
                        <w:bCs/>
                        <w:i/>
                        <w:iCs/>
                        <w:color w:val="6DB14A"/>
                        <w:spacing w:val="0"/>
                        <w:w w:val="100"/>
                        <w:position w:val="0"/>
                        <w:sz w:val="18"/>
                        <w:szCs w:val="18"/>
                      </w:rPr>
                      <w:t>、、</w:t>
                    </w:r>
                    <w:r>
                      <w:rPr>
                        <w:b/>
                        <w:bCs/>
                        <w:color w:val="6DB14A"/>
                        <w:spacing w:val="0"/>
                        <w:w w:val="100"/>
                        <w:position w:val="0"/>
                      </w:rPr>
                      <w:t>一^</w:t>
                    </w:r>
                    <w:r>
                      <w:rPr>
                        <w:b/>
                        <w:bCs/>
                        <w:color w:val="5199CB"/>
                        <w:spacing w:val="0"/>
                        <w:w w:val="100"/>
                        <w:position w:val="0"/>
                      </w:rPr>
                      <w:t>神州泰岳</w:t>
                    </w:r>
                  </w:p>
                </w:txbxContent>
              </v:textbox>
              <w10:wrap anchorx="page" anchory="page"/>
            </v:shape>
          </w:pict>
        </mc:Fallback>
      </mc:AlternateContent>
    </w:r>
    <w:r>
      <mc:AlternateContent>
        <mc:Choice Requires="wps">
          <w:drawing>
            <wp:anchor distT="0" distB="0" distL="0" distR="0" simplePos="0" relativeHeight="62915492" behindDoc="1" locked="0" layoutInCell="1" allowOverlap="1">
              <wp:simplePos x="0" y="0"/>
              <wp:positionH relativeFrom="page">
                <wp:posOffset>4156075</wp:posOffset>
              </wp:positionH>
              <wp:positionV relativeFrom="page">
                <wp:posOffset>892810</wp:posOffset>
              </wp:positionV>
              <wp:extent cx="2673350" cy="106680"/>
              <wp:wrapNone/>
              <wp:docPr id="1179" name="Shape 1179"/>
              <a:graphic xmlns:a="http://schemas.openxmlformats.org/drawingml/2006/main">
                <a:graphicData uri="http://schemas.microsoft.com/office/word/2010/wordprocessingShape">
                  <wps:wsp>
                    <wps:cNvSpPr txBox="1"/>
                    <wps:spPr>
                      <a:xfrm>
                        <a:ext cx="2673350" cy="10668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205" type="#_x0000_t202" style="position:absolute;margin-left:327.25pt;margin-top:70.299999999999997pt;width:210.5pt;height:8.4000000000000004pt;z-index:-188743261;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715010</wp:posOffset>
              </wp:positionH>
              <wp:positionV relativeFrom="page">
                <wp:posOffset>1042035</wp:posOffset>
              </wp:positionV>
              <wp:extent cx="6160135" cy="0"/>
              <wp:wrapNone/>
              <wp:docPr id="1181" name="Shape 1181"/>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6.300000000000004pt;margin-top:82.049999999999997pt;width:485.05000000000001pt;height:0;z-index:-251658240;mso-position-horizontal-relative:page;mso-position-vertical-relative:page">
              <v:stroke weight="1.pt"/>
            </v:shape>
          </w:pict>
        </mc:Fallback>
      </mc:AlternateContent>
    </w:r>
  </w:p>
</w:hdr>
</file>

<file path=word/header1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96" behindDoc="1" locked="0" layoutInCell="1" allowOverlap="1">
              <wp:simplePos x="0" y="0"/>
              <wp:positionH relativeFrom="page">
                <wp:posOffset>733425</wp:posOffset>
              </wp:positionH>
              <wp:positionV relativeFrom="page">
                <wp:posOffset>704215</wp:posOffset>
              </wp:positionV>
              <wp:extent cx="1012190" cy="283210"/>
              <wp:wrapNone/>
              <wp:docPr id="1184" name="Shape 1184"/>
              <a:graphic xmlns:a="http://schemas.openxmlformats.org/drawingml/2006/main">
                <a:graphicData uri="http://schemas.microsoft.com/office/word/2010/wordprocessingShape">
                  <wps:wsp>
                    <wps:cNvSpPr txBox="1"/>
                    <wps:spPr>
                      <a:xfrm>
                        <a:ext cx="1012190" cy="2832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204"/>
                            <w:keepNext w:val="0"/>
                            <w:keepLines w:val="0"/>
                            <w:widowControl w:val="0"/>
                            <w:shd w:val="clear" w:color="auto" w:fill="auto"/>
                            <w:bidi w:val="0"/>
                            <w:spacing w:before="0" w:after="0" w:line="240" w:lineRule="auto"/>
                            <w:ind w:left="0" w:right="0" w:firstLine="0"/>
                            <w:jc w:val="left"/>
                          </w:pPr>
                          <w:r>
                            <w:rPr>
                              <w:b/>
                              <w:bCs/>
                              <w:i/>
                              <w:iCs/>
                              <w:color w:val="6DB14A"/>
                              <w:spacing w:val="0"/>
                              <w:w w:val="100"/>
                              <w:position w:val="0"/>
                              <w:sz w:val="18"/>
                              <w:szCs w:val="18"/>
                            </w:rPr>
                            <w:t>、、</w:t>
                          </w:r>
                          <w:r>
                            <w:rPr>
                              <w:b/>
                              <w:bCs/>
                              <w:color w:val="6DB14A"/>
                              <w:spacing w:val="0"/>
                              <w:w w:val="100"/>
                              <w:position w:val="0"/>
                            </w:rPr>
                            <w:t>一^</w:t>
                          </w:r>
                          <w:r>
                            <w:rPr>
                              <w:b/>
                              <w:bCs/>
                              <w:color w:val="5199CB"/>
                              <w:spacing w:val="0"/>
                              <w:w w:val="100"/>
                              <w:position w:val="0"/>
                            </w:rPr>
                            <w:t>神州泰岳</w:t>
                          </w:r>
                        </w:p>
                      </w:txbxContent>
                    </wps:txbx>
                    <wps:bodyPr wrap="none" lIns="0" tIns="0" rIns="0" bIns="0">
                      <a:spAutoFit/>
                    </wps:bodyPr>
                  </wps:wsp>
                </a:graphicData>
              </a:graphic>
            </wp:anchor>
          </w:drawing>
        </mc:Choice>
        <mc:Fallback>
          <w:pict>
            <v:shape id="_x0000_s2210" type="#_x0000_t202" style="position:absolute;margin-left:57.75pt;margin-top:55.450000000000003pt;width:79.700000000000003pt;height:22.300000000000001pt;z-index:-188743257;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204"/>
                      <w:keepNext w:val="0"/>
                      <w:keepLines w:val="0"/>
                      <w:widowControl w:val="0"/>
                      <w:shd w:val="clear" w:color="auto" w:fill="auto"/>
                      <w:bidi w:val="0"/>
                      <w:spacing w:before="0" w:after="0" w:line="240" w:lineRule="auto"/>
                      <w:ind w:left="0" w:right="0" w:firstLine="0"/>
                      <w:jc w:val="left"/>
                    </w:pPr>
                    <w:r>
                      <w:rPr>
                        <w:b/>
                        <w:bCs/>
                        <w:i/>
                        <w:iCs/>
                        <w:color w:val="6DB14A"/>
                        <w:spacing w:val="0"/>
                        <w:w w:val="100"/>
                        <w:position w:val="0"/>
                        <w:sz w:val="18"/>
                        <w:szCs w:val="18"/>
                      </w:rPr>
                      <w:t>、、</w:t>
                    </w:r>
                    <w:r>
                      <w:rPr>
                        <w:b/>
                        <w:bCs/>
                        <w:color w:val="6DB14A"/>
                        <w:spacing w:val="0"/>
                        <w:w w:val="100"/>
                        <w:position w:val="0"/>
                      </w:rPr>
                      <w:t>一^</w:t>
                    </w:r>
                    <w:r>
                      <w:rPr>
                        <w:b/>
                        <w:bCs/>
                        <w:color w:val="5199CB"/>
                        <w:spacing w:val="0"/>
                        <w:w w:val="100"/>
                        <w:position w:val="0"/>
                      </w:rPr>
                      <w:t>神州泰岳</w:t>
                    </w:r>
                  </w:p>
                </w:txbxContent>
              </v:textbox>
              <w10:wrap anchorx="page" anchory="page"/>
            </v:shape>
          </w:pict>
        </mc:Fallback>
      </mc:AlternateContent>
    </w:r>
    <w:r>
      <mc:AlternateContent>
        <mc:Choice Requires="wps">
          <w:drawing>
            <wp:anchor distT="0" distB="0" distL="0" distR="0" simplePos="0" relativeHeight="62915498" behindDoc="1" locked="0" layoutInCell="1" allowOverlap="1">
              <wp:simplePos x="0" y="0"/>
              <wp:positionH relativeFrom="page">
                <wp:posOffset>4156075</wp:posOffset>
              </wp:positionH>
              <wp:positionV relativeFrom="page">
                <wp:posOffset>892810</wp:posOffset>
              </wp:positionV>
              <wp:extent cx="2673350" cy="106680"/>
              <wp:wrapNone/>
              <wp:docPr id="1186" name="Shape 1186"/>
              <a:graphic xmlns:a="http://schemas.openxmlformats.org/drawingml/2006/main">
                <a:graphicData uri="http://schemas.microsoft.com/office/word/2010/wordprocessingShape">
                  <wps:wsp>
                    <wps:cNvSpPr txBox="1"/>
                    <wps:spPr>
                      <a:xfrm>
                        <a:ext cx="2673350" cy="10668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212" type="#_x0000_t202" style="position:absolute;margin-left:327.25pt;margin-top:70.299999999999997pt;width:210.5pt;height:8.4000000000000004pt;z-index:-188743255;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715010</wp:posOffset>
              </wp:positionH>
              <wp:positionV relativeFrom="page">
                <wp:posOffset>1042035</wp:posOffset>
              </wp:positionV>
              <wp:extent cx="6160135" cy="0"/>
              <wp:wrapNone/>
              <wp:docPr id="1188" name="Shape 1188"/>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6.300000000000004pt;margin-top:82.049999999999997pt;width:485.05000000000001pt;height:0;z-index:-251658240;mso-position-horizontal-relative:page;mso-position-vertical-relative:page">
              <v:stroke weight="1.pt"/>
            </v:shape>
          </w:pict>
        </mc:Fallback>
      </mc:AlternateContent>
    </w:r>
  </w:p>
</w:hdr>
</file>

<file path=word/header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4" behindDoc="1" locked="0" layoutInCell="1" allowOverlap="1">
              <wp:simplePos x="0" y="0"/>
              <wp:positionH relativeFrom="page">
                <wp:posOffset>719455</wp:posOffset>
              </wp:positionH>
              <wp:positionV relativeFrom="page">
                <wp:posOffset>706755</wp:posOffset>
              </wp:positionV>
              <wp:extent cx="6096000" cy="295910"/>
              <wp:wrapNone/>
              <wp:docPr id="8" name="Shape 8"/>
              <a:graphic xmlns:a="http://schemas.openxmlformats.org/drawingml/2006/main">
                <a:graphicData uri="http://schemas.microsoft.com/office/word/2010/wordprocessingShape">
                  <wps:wsp>
                    <wps:cNvSpPr txBox="1"/>
                    <wps:spPr>
                      <a:xfrm>
                        <a:ext cx="6096000" cy="295910"/>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9"/>
                            <w:keepNext w:val="0"/>
                            <w:keepLines w:val="0"/>
                            <w:widowControl w:val="0"/>
                            <w:shd w:val="clear" w:color="auto" w:fill="auto"/>
                            <w:tabs>
                              <w:tab w:pos="8707" w:val="right"/>
                            </w:tabs>
                            <w:bidi w:val="0"/>
                            <w:spacing w:before="0" w:after="0" w:line="240" w:lineRule="auto"/>
                            <w:ind w:left="0" w:right="0" w:firstLine="0"/>
                            <w:jc w:val="left"/>
                            <w:rPr>
                              <w:sz w:val="17"/>
                              <w:szCs w:val="17"/>
                            </w:rPr>
                          </w:pPr>
                          <w:r>
                            <w:rPr>
                              <w:rFonts w:ascii="SimSun" w:eastAsia="SimSun" w:hAnsi="SimSun" w:cs="SimSun"/>
                              <w:color w:val="1F84C4"/>
                              <w:spacing w:val="0"/>
                              <w:w w:val="100"/>
                              <w:position w:val="0"/>
                              <w:sz w:val="17"/>
                              <w:szCs w:val="17"/>
                            </w:rPr>
                            <w:t>斗卜</w:t>
                          </w:r>
                          <w:r>
                            <w:rPr>
                              <w:color w:val="1F84C4"/>
                              <w:spacing w:val="0"/>
                              <w:w w:val="100"/>
                              <w:position w:val="0"/>
                              <w:sz w:val="18"/>
                              <w:szCs w:val="18"/>
                            </w:rPr>
                            <w:t>I</w:t>
                          </w:r>
                          <w:r>
                            <w:rPr>
                              <w:rFonts w:ascii="SimSun" w:eastAsia="SimSun" w:hAnsi="SimSun" w:cs="SimSun"/>
                              <w:color w:val="1F84C4"/>
                              <w:spacing w:val="0"/>
                              <w:w w:val="100"/>
                              <w:position w:val="0"/>
                              <w:sz w:val="17"/>
                              <w:szCs w:val="17"/>
                            </w:rPr>
                            <w:t>•.泰</w:t>
                          </w:r>
                          <w:r>
                            <w:rPr>
                              <w:rFonts w:ascii="SimSun" w:eastAsia="SimSun" w:hAnsi="SimSun" w:cs="SimSun"/>
                              <w:color w:val="1F84C4"/>
                              <w:spacing w:val="0"/>
                              <w:w w:val="100"/>
                              <w:position w:val="0"/>
                              <w:sz w:val="17"/>
                              <w:szCs w:val="17"/>
                            </w:rPr>
                            <w:t>•，</w:t>
                            <w:tab/>
                          </w:r>
                          <w:r>
                            <w:rPr>
                              <w:rFonts w:ascii="SimSun" w:eastAsia="SimSun" w:hAnsi="SimSun" w:cs="SimSun"/>
                              <w:color w:val="000000"/>
                              <w:spacing w:val="0"/>
                              <w:w w:val="100"/>
                              <w:position w:val="0"/>
                              <w:sz w:val="17"/>
                              <w:szCs w:val="17"/>
                            </w:rPr>
                            <w:t>北京神州泰岳软件股份有限公司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lIns="0" tIns="0" rIns="0" bIns="0">
                      <a:spAutoFit/>
                    </wps:bodyPr>
                  </wps:wsp>
                </a:graphicData>
              </a:graphic>
            </wp:anchor>
          </w:drawing>
        </mc:Choice>
        <mc:Fallback>
          <w:pict>
            <v:shape id="_x0000_s1034" type="#_x0000_t202" style="position:absolute;margin-left:56.649999999999999pt;margin-top:55.649999999999999pt;width:480.pt;height:23.300000000000001pt;z-index:-188744059;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9"/>
                      <w:keepNext w:val="0"/>
                      <w:keepLines w:val="0"/>
                      <w:widowControl w:val="0"/>
                      <w:shd w:val="clear" w:color="auto" w:fill="auto"/>
                      <w:tabs>
                        <w:tab w:pos="8707" w:val="right"/>
                      </w:tabs>
                      <w:bidi w:val="0"/>
                      <w:spacing w:before="0" w:after="0" w:line="240" w:lineRule="auto"/>
                      <w:ind w:left="0" w:right="0" w:firstLine="0"/>
                      <w:jc w:val="left"/>
                      <w:rPr>
                        <w:sz w:val="17"/>
                        <w:szCs w:val="17"/>
                      </w:rPr>
                    </w:pPr>
                    <w:r>
                      <w:rPr>
                        <w:rFonts w:ascii="SimSun" w:eastAsia="SimSun" w:hAnsi="SimSun" w:cs="SimSun"/>
                        <w:color w:val="1F84C4"/>
                        <w:spacing w:val="0"/>
                        <w:w w:val="100"/>
                        <w:position w:val="0"/>
                        <w:sz w:val="17"/>
                        <w:szCs w:val="17"/>
                      </w:rPr>
                      <w:t>斗卜</w:t>
                    </w:r>
                    <w:r>
                      <w:rPr>
                        <w:color w:val="1F84C4"/>
                        <w:spacing w:val="0"/>
                        <w:w w:val="100"/>
                        <w:position w:val="0"/>
                        <w:sz w:val="18"/>
                        <w:szCs w:val="18"/>
                      </w:rPr>
                      <w:t>I</w:t>
                    </w:r>
                    <w:r>
                      <w:rPr>
                        <w:rFonts w:ascii="SimSun" w:eastAsia="SimSun" w:hAnsi="SimSun" w:cs="SimSun"/>
                        <w:color w:val="1F84C4"/>
                        <w:spacing w:val="0"/>
                        <w:w w:val="100"/>
                        <w:position w:val="0"/>
                        <w:sz w:val="17"/>
                        <w:szCs w:val="17"/>
                      </w:rPr>
                      <w:t>•.泰</w:t>
                    </w:r>
                    <w:r>
                      <w:rPr>
                        <w:rFonts w:ascii="SimSun" w:eastAsia="SimSun" w:hAnsi="SimSun" w:cs="SimSun"/>
                        <w:color w:val="1F84C4"/>
                        <w:spacing w:val="0"/>
                        <w:w w:val="100"/>
                        <w:position w:val="0"/>
                        <w:sz w:val="17"/>
                        <w:szCs w:val="17"/>
                      </w:rPr>
                      <w:t>•，</w:t>
                      <w:tab/>
                    </w:r>
                    <w:r>
                      <w:rPr>
                        <w:rFonts w:ascii="SimSun" w:eastAsia="SimSun" w:hAnsi="SimSun" w:cs="SimSun"/>
                        <w:color w:val="000000"/>
                        <w:spacing w:val="0"/>
                        <w:w w:val="100"/>
                        <w:position w:val="0"/>
                        <w:sz w:val="17"/>
                        <w:szCs w:val="17"/>
                      </w:rPr>
                      <w:t>北京神州泰岳软件股份有限公司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701040</wp:posOffset>
              </wp:positionH>
              <wp:positionV relativeFrom="page">
                <wp:posOffset>1044575</wp:posOffset>
              </wp:positionV>
              <wp:extent cx="6160135" cy="0"/>
              <wp:wrapNone/>
              <wp:docPr id="10" name="Shape 10"/>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5.200000000000003pt;margin-top:82.25pt;width:485.05000000000001pt;height:0;z-index:-251658240;mso-position-horizontal-relative:page;mso-position-vertical-relative:page">
              <v:stroke weight="1.pt"/>
            </v:shape>
          </w:pict>
        </mc:Fallback>
      </mc:AlternateContent>
    </w:r>
  </w:p>
</w:hdr>
</file>

<file path=word/header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2" behindDoc="1" locked="0" layoutInCell="1" allowOverlap="1">
              <wp:simplePos x="0" y="0"/>
              <wp:positionH relativeFrom="page">
                <wp:posOffset>719455</wp:posOffset>
              </wp:positionH>
              <wp:positionV relativeFrom="page">
                <wp:posOffset>641985</wp:posOffset>
              </wp:positionV>
              <wp:extent cx="6096000" cy="295910"/>
              <wp:wrapNone/>
              <wp:docPr id="225" name="Shape 225"/>
              <a:graphic xmlns:a="http://schemas.openxmlformats.org/drawingml/2006/main">
                <a:graphicData uri="http://schemas.microsoft.com/office/word/2010/wordprocessingShape">
                  <wps:wsp>
                    <wps:cNvSpPr txBox="1"/>
                    <wps:spPr>
                      <a:xfrm>
                        <a:ext cx="6096000" cy="295910"/>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1F84C4"/>
                              <w:spacing w:val="0"/>
                              <w:w w:val="100"/>
                              <w:position w:val="0"/>
                              <w:sz w:val="17"/>
                              <w:szCs w:val="17"/>
                            </w:rPr>
                            <w:t>斗卜</w:t>
                          </w:r>
                          <w:r>
                            <w:rPr>
                              <w:color w:val="1F84C4"/>
                              <w:spacing w:val="0"/>
                              <w:w w:val="100"/>
                              <w:position w:val="0"/>
                              <w:sz w:val="18"/>
                              <w:szCs w:val="18"/>
                            </w:rPr>
                            <w:t>I</w:t>
                          </w:r>
                          <w:r>
                            <w:rPr>
                              <w:rFonts w:ascii="SimSun" w:eastAsia="SimSun" w:hAnsi="SimSun" w:cs="SimSun"/>
                              <w:color w:val="1F84C4"/>
                              <w:spacing w:val="0"/>
                              <w:w w:val="100"/>
                              <w:position w:val="0"/>
                              <w:sz w:val="17"/>
                              <w:szCs w:val="17"/>
                            </w:rPr>
                            <w:t>..泰</w:t>
                          </w:r>
                          <w:r>
                            <w:rPr>
                              <w:rFonts w:ascii="SimSun" w:eastAsia="SimSun" w:hAnsi="SimSun" w:cs="SimSun"/>
                              <w:color w:val="000000"/>
                              <w:spacing w:val="0"/>
                              <w:w w:val="100"/>
                              <w:position w:val="0"/>
                              <w:sz w:val="17"/>
                              <w:szCs w:val="17"/>
                            </w:rPr>
                            <w:t>北京神州泰岳软件股份有限公司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251" type="#_x0000_t202" style="position:absolute;margin-left:56.649999999999999pt;margin-top:50.550000000000004pt;width:480.pt;height:23.300000000000001pt;z-index:-188743981;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1F84C4"/>
                        <w:spacing w:val="0"/>
                        <w:w w:val="100"/>
                        <w:position w:val="0"/>
                        <w:sz w:val="17"/>
                        <w:szCs w:val="17"/>
                      </w:rPr>
                      <w:t>斗卜</w:t>
                    </w:r>
                    <w:r>
                      <w:rPr>
                        <w:color w:val="1F84C4"/>
                        <w:spacing w:val="0"/>
                        <w:w w:val="100"/>
                        <w:position w:val="0"/>
                        <w:sz w:val="18"/>
                        <w:szCs w:val="18"/>
                      </w:rPr>
                      <w:t>I</w:t>
                    </w:r>
                    <w:r>
                      <w:rPr>
                        <w:rFonts w:ascii="SimSun" w:eastAsia="SimSun" w:hAnsi="SimSun" w:cs="SimSun"/>
                        <w:color w:val="1F84C4"/>
                        <w:spacing w:val="0"/>
                        <w:w w:val="100"/>
                        <w:position w:val="0"/>
                        <w:sz w:val="17"/>
                        <w:szCs w:val="17"/>
                      </w:rPr>
                      <w:t>..泰</w:t>
                    </w:r>
                    <w:r>
                      <w:rPr>
                        <w:rFonts w:ascii="SimSun" w:eastAsia="SimSun" w:hAnsi="SimSun" w:cs="SimSun"/>
                        <w:color w:val="000000"/>
                        <w:spacing w:val="0"/>
                        <w:w w:val="100"/>
                        <w:position w:val="0"/>
                        <w:sz w:val="17"/>
                        <w:szCs w:val="17"/>
                      </w:rPr>
                      <w:t>北京神州泰岳软件股份有限公司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701040</wp:posOffset>
              </wp:positionH>
              <wp:positionV relativeFrom="page">
                <wp:posOffset>1044575</wp:posOffset>
              </wp:positionV>
              <wp:extent cx="6160135" cy="0"/>
              <wp:wrapNone/>
              <wp:docPr id="227" name="Shape 227"/>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5.200000000000003pt;margin-top:82.25pt;width:485.05000000000001pt;height:0;z-index:-251658240;mso-position-horizontal-relative:page;mso-position-vertical-relative:page">
              <v:stroke weight="1.pt"/>
            </v:shape>
          </w:pict>
        </mc:Fallback>
      </mc:AlternateContent>
    </w:r>
  </w:p>
</w:hdr>
</file>

<file path=word/header2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02" behindDoc="1" locked="0" layoutInCell="1" allowOverlap="1">
              <wp:simplePos x="0" y="0"/>
              <wp:positionH relativeFrom="page">
                <wp:posOffset>733425</wp:posOffset>
              </wp:positionH>
              <wp:positionV relativeFrom="page">
                <wp:posOffset>704215</wp:posOffset>
              </wp:positionV>
              <wp:extent cx="1012190" cy="283210"/>
              <wp:wrapNone/>
              <wp:docPr id="1191" name="Shape 1191"/>
              <a:graphic xmlns:a="http://schemas.openxmlformats.org/drawingml/2006/main">
                <a:graphicData uri="http://schemas.microsoft.com/office/word/2010/wordprocessingShape">
                  <wps:wsp>
                    <wps:cNvSpPr txBox="1"/>
                    <wps:spPr>
                      <a:xfrm>
                        <a:ext cx="1012190" cy="2832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204"/>
                            <w:keepNext w:val="0"/>
                            <w:keepLines w:val="0"/>
                            <w:widowControl w:val="0"/>
                            <w:shd w:val="clear" w:color="auto" w:fill="auto"/>
                            <w:bidi w:val="0"/>
                            <w:spacing w:before="0" w:after="0" w:line="240" w:lineRule="auto"/>
                            <w:ind w:left="0" w:right="0" w:firstLine="0"/>
                            <w:jc w:val="left"/>
                          </w:pPr>
                          <w:r>
                            <w:rPr>
                              <w:b/>
                              <w:bCs/>
                              <w:i/>
                              <w:iCs/>
                              <w:color w:val="6DB14A"/>
                              <w:spacing w:val="0"/>
                              <w:w w:val="100"/>
                              <w:position w:val="0"/>
                              <w:sz w:val="18"/>
                              <w:szCs w:val="18"/>
                            </w:rPr>
                            <w:t>、、</w:t>
                          </w:r>
                          <w:r>
                            <w:rPr>
                              <w:b/>
                              <w:bCs/>
                              <w:color w:val="6DB14A"/>
                              <w:spacing w:val="0"/>
                              <w:w w:val="100"/>
                              <w:position w:val="0"/>
                            </w:rPr>
                            <w:t>一^</w:t>
                          </w:r>
                          <w:r>
                            <w:rPr>
                              <w:b/>
                              <w:bCs/>
                              <w:color w:val="5199CB"/>
                              <w:spacing w:val="0"/>
                              <w:w w:val="100"/>
                              <w:position w:val="0"/>
                            </w:rPr>
                            <w:t>神州泰岳</w:t>
                          </w:r>
                        </w:p>
                      </w:txbxContent>
                    </wps:txbx>
                    <wps:bodyPr wrap="none" lIns="0" tIns="0" rIns="0" bIns="0">
                      <a:spAutoFit/>
                    </wps:bodyPr>
                  </wps:wsp>
                </a:graphicData>
              </a:graphic>
            </wp:anchor>
          </w:drawing>
        </mc:Choice>
        <mc:Fallback>
          <w:pict>
            <v:shape id="_x0000_s2217" type="#_x0000_t202" style="position:absolute;margin-left:57.75pt;margin-top:55.450000000000003pt;width:79.700000000000003pt;height:22.300000000000001pt;z-index:-188743251;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204"/>
                      <w:keepNext w:val="0"/>
                      <w:keepLines w:val="0"/>
                      <w:widowControl w:val="0"/>
                      <w:shd w:val="clear" w:color="auto" w:fill="auto"/>
                      <w:bidi w:val="0"/>
                      <w:spacing w:before="0" w:after="0" w:line="240" w:lineRule="auto"/>
                      <w:ind w:left="0" w:right="0" w:firstLine="0"/>
                      <w:jc w:val="left"/>
                    </w:pPr>
                    <w:r>
                      <w:rPr>
                        <w:b/>
                        <w:bCs/>
                        <w:i/>
                        <w:iCs/>
                        <w:color w:val="6DB14A"/>
                        <w:spacing w:val="0"/>
                        <w:w w:val="100"/>
                        <w:position w:val="0"/>
                        <w:sz w:val="18"/>
                        <w:szCs w:val="18"/>
                      </w:rPr>
                      <w:t>、、</w:t>
                    </w:r>
                    <w:r>
                      <w:rPr>
                        <w:b/>
                        <w:bCs/>
                        <w:color w:val="6DB14A"/>
                        <w:spacing w:val="0"/>
                        <w:w w:val="100"/>
                        <w:position w:val="0"/>
                      </w:rPr>
                      <w:t>一^</w:t>
                    </w:r>
                    <w:r>
                      <w:rPr>
                        <w:b/>
                        <w:bCs/>
                        <w:color w:val="5199CB"/>
                        <w:spacing w:val="0"/>
                        <w:w w:val="100"/>
                        <w:position w:val="0"/>
                      </w:rPr>
                      <w:t>神州泰岳</w:t>
                    </w:r>
                  </w:p>
                </w:txbxContent>
              </v:textbox>
              <w10:wrap anchorx="page" anchory="page"/>
            </v:shape>
          </w:pict>
        </mc:Fallback>
      </mc:AlternateContent>
    </w:r>
    <w:r>
      <mc:AlternateContent>
        <mc:Choice Requires="wps">
          <w:drawing>
            <wp:anchor distT="0" distB="0" distL="0" distR="0" simplePos="0" relativeHeight="62915504" behindDoc="1" locked="0" layoutInCell="1" allowOverlap="1">
              <wp:simplePos x="0" y="0"/>
              <wp:positionH relativeFrom="page">
                <wp:posOffset>4156075</wp:posOffset>
              </wp:positionH>
              <wp:positionV relativeFrom="page">
                <wp:posOffset>892810</wp:posOffset>
              </wp:positionV>
              <wp:extent cx="2673350" cy="106680"/>
              <wp:wrapNone/>
              <wp:docPr id="1193" name="Shape 1193"/>
              <a:graphic xmlns:a="http://schemas.openxmlformats.org/drawingml/2006/main">
                <a:graphicData uri="http://schemas.microsoft.com/office/word/2010/wordprocessingShape">
                  <wps:wsp>
                    <wps:cNvSpPr txBox="1"/>
                    <wps:spPr>
                      <a:xfrm>
                        <a:ext cx="2673350" cy="10668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219" type="#_x0000_t202" style="position:absolute;margin-left:327.25pt;margin-top:70.299999999999997pt;width:210.5pt;height:8.4000000000000004pt;z-index:-188743249;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715010</wp:posOffset>
              </wp:positionH>
              <wp:positionV relativeFrom="page">
                <wp:posOffset>1042035</wp:posOffset>
              </wp:positionV>
              <wp:extent cx="6160135" cy="0"/>
              <wp:wrapNone/>
              <wp:docPr id="1195" name="Shape 1195"/>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6.300000000000004pt;margin-top:82.049999999999997pt;width:485.05000000000001pt;height:0;z-index:-251658240;mso-position-horizontal-relative:page;mso-position-vertical-relative:page">
              <v:stroke weight="1.pt"/>
            </v:shape>
          </w:pict>
        </mc:Fallback>
      </mc:AlternateContent>
    </w:r>
  </w:p>
</w:hdr>
</file>

<file path=word/header2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08" behindDoc="1" locked="0" layoutInCell="1" allowOverlap="1">
              <wp:simplePos x="0" y="0"/>
              <wp:positionH relativeFrom="page">
                <wp:posOffset>688975</wp:posOffset>
              </wp:positionH>
              <wp:positionV relativeFrom="page">
                <wp:posOffset>704850</wp:posOffset>
              </wp:positionV>
              <wp:extent cx="6096000" cy="295910"/>
              <wp:wrapNone/>
              <wp:docPr id="1198" name="Shape 1198"/>
              <a:graphic xmlns:a="http://schemas.openxmlformats.org/drawingml/2006/main">
                <a:graphicData uri="http://schemas.microsoft.com/office/word/2010/wordprocessingShape">
                  <wps:wsp>
                    <wps:cNvSpPr txBox="1"/>
                    <wps:spPr>
                      <a:xfrm>
                        <a:ext cx="6096000" cy="2959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224" type="#_x0000_t202" style="position:absolute;margin-left:54.25pt;margin-top:55.5pt;width:480.pt;height:23.300000000000001pt;z-index:-188743245;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670560</wp:posOffset>
              </wp:positionH>
              <wp:positionV relativeFrom="page">
                <wp:posOffset>1042670</wp:posOffset>
              </wp:positionV>
              <wp:extent cx="6160135" cy="0"/>
              <wp:wrapNone/>
              <wp:docPr id="1200" name="Shape 1200"/>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2.800000000000004pt;margin-top:82.100000000000009pt;width:485.05000000000001pt;height:0;z-index:-251658240;mso-position-horizontal-relative:page;mso-position-vertical-relative:page">
              <v:stroke weight="1.pt"/>
            </v:shape>
          </w:pict>
        </mc:Fallback>
      </mc:AlternateContent>
    </w:r>
  </w:p>
</w:hdr>
</file>

<file path=word/header2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12" behindDoc="1" locked="0" layoutInCell="1" allowOverlap="1">
              <wp:simplePos x="0" y="0"/>
              <wp:positionH relativeFrom="page">
                <wp:posOffset>688975</wp:posOffset>
              </wp:positionH>
              <wp:positionV relativeFrom="page">
                <wp:posOffset>704850</wp:posOffset>
              </wp:positionV>
              <wp:extent cx="6096000" cy="295910"/>
              <wp:wrapNone/>
              <wp:docPr id="1203" name="Shape 1203"/>
              <a:graphic xmlns:a="http://schemas.openxmlformats.org/drawingml/2006/main">
                <a:graphicData uri="http://schemas.microsoft.com/office/word/2010/wordprocessingShape">
                  <wps:wsp>
                    <wps:cNvSpPr txBox="1"/>
                    <wps:spPr>
                      <a:xfrm>
                        <a:ext cx="6096000" cy="2959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229" type="#_x0000_t202" style="position:absolute;margin-left:54.25pt;margin-top:55.5pt;width:480.pt;height:23.300000000000001pt;z-index:-188743241;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670560</wp:posOffset>
              </wp:positionH>
              <wp:positionV relativeFrom="page">
                <wp:posOffset>1042670</wp:posOffset>
              </wp:positionV>
              <wp:extent cx="6160135" cy="0"/>
              <wp:wrapNone/>
              <wp:docPr id="1205" name="Shape 1205"/>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2.800000000000004pt;margin-top:82.100000000000009pt;width:485.05000000000001pt;height:0;z-index:-251658240;mso-position-horizontal-relative:page;mso-position-vertical-relative:page">
              <v:stroke weight="1.pt"/>
            </v:shape>
          </w:pict>
        </mc:Fallback>
      </mc:AlternateContent>
    </w:r>
  </w:p>
</w:hdr>
</file>

<file path=word/header2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16" behindDoc="1" locked="0" layoutInCell="1" allowOverlap="1">
              <wp:simplePos x="0" y="0"/>
              <wp:positionH relativeFrom="page">
                <wp:posOffset>733425</wp:posOffset>
              </wp:positionH>
              <wp:positionV relativeFrom="page">
                <wp:posOffset>704215</wp:posOffset>
              </wp:positionV>
              <wp:extent cx="1012190" cy="283210"/>
              <wp:wrapNone/>
              <wp:docPr id="1208" name="Shape 1208"/>
              <a:graphic xmlns:a="http://schemas.openxmlformats.org/drawingml/2006/main">
                <a:graphicData uri="http://schemas.microsoft.com/office/word/2010/wordprocessingShape">
                  <wps:wsp>
                    <wps:cNvSpPr txBox="1"/>
                    <wps:spPr>
                      <a:xfrm>
                        <a:ext cx="1012190" cy="2832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204"/>
                            <w:keepNext w:val="0"/>
                            <w:keepLines w:val="0"/>
                            <w:widowControl w:val="0"/>
                            <w:shd w:val="clear" w:color="auto" w:fill="auto"/>
                            <w:bidi w:val="0"/>
                            <w:spacing w:before="0" w:after="0" w:line="240" w:lineRule="auto"/>
                            <w:ind w:left="0" w:right="0" w:firstLine="0"/>
                            <w:jc w:val="left"/>
                          </w:pPr>
                          <w:r>
                            <w:rPr>
                              <w:b/>
                              <w:bCs/>
                              <w:i/>
                              <w:iCs/>
                              <w:color w:val="6DB14A"/>
                              <w:spacing w:val="0"/>
                              <w:w w:val="100"/>
                              <w:position w:val="0"/>
                              <w:sz w:val="18"/>
                              <w:szCs w:val="18"/>
                            </w:rPr>
                            <w:t>、、</w:t>
                          </w:r>
                          <w:r>
                            <w:rPr>
                              <w:b/>
                              <w:bCs/>
                              <w:color w:val="6DB14A"/>
                              <w:spacing w:val="0"/>
                              <w:w w:val="100"/>
                              <w:position w:val="0"/>
                            </w:rPr>
                            <w:t>一^</w:t>
                          </w:r>
                          <w:r>
                            <w:rPr>
                              <w:b/>
                              <w:bCs/>
                              <w:color w:val="5199CB"/>
                              <w:spacing w:val="0"/>
                              <w:w w:val="100"/>
                              <w:position w:val="0"/>
                            </w:rPr>
                            <w:t>神州泰岳</w:t>
                          </w:r>
                        </w:p>
                      </w:txbxContent>
                    </wps:txbx>
                    <wps:bodyPr wrap="none" lIns="0" tIns="0" rIns="0" bIns="0">
                      <a:spAutoFit/>
                    </wps:bodyPr>
                  </wps:wsp>
                </a:graphicData>
              </a:graphic>
            </wp:anchor>
          </w:drawing>
        </mc:Choice>
        <mc:Fallback>
          <w:pict>
            <v:shape id="_x0000_s2234" type="#_x0000_t202" style="position:absolute;margin-left:57.75pt;margin-top:55.450000000000003pt;width:79.700000000000003pt;height:22.300000000000001pt;z-index:-188743237;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204"/>
                      <w:keepNext w:val="0"/>
                      <w:keepLines w:val="0"/>
                      <w:widowControl w:val="0"/>
                      <w:shd w:val="clear" w:color="auto" w:fill="auto"/>
                      <w:bidi w:val="0"/>
                      <w:spacing w:before="0" w:after="0" w:line="240" w:lineRule="auto"/>
                      <w:ind w:left="0" w:right="0" w:firstLine="0"/>
                      <w:jc w:val="left"/>
                    </w:pPr>
                    <w:r>
                      <w:rPr>
                        <w:b/>
                        <w:bCs/>
                        <w:i/>
                        <w:iCs/>
                        <w:color w:val="6DB14A"/>
                        <w:spacing w:val="0"/>
                        <w:w w:val="100"/>
                        <w:position w:val="0"/>
                        <w:sz w:val="18"/>
                        <w:szCs w:val="18"/>
                      </w:rPr>
                      <w:t>、、</w:t>
                    </w:r>
                    <w:r>
                      <w:rPr>
                        <w:b/>
                        <w:bCs/>
                        <w:color w:val="6DB14A"/>
                        <w:spacing w:val="0"/>
                        <w:w w:val="100"/>
                        <w:position w:val="0"/>
                      </w:rPr>
                      <w:t>一^</w:t>
                    </w:r>
                    <w:r>
                      <w:rPr>
                        <w:b/>
                        <w:bCs/>
                        <w:color w:val="5199CB"/>
                        <w:spacing w:val="0"/>
                        <w:w w:val="100"/>
                        <w:position w:val="0"/>
                      </w:rPr>
                      <w:t>神州泰岳</w:t>
                    </w:r>
                  </w:p>
                </w:txbxContent>
              </v:textbox>
              <w10:wrap anchorx="page" anchory="page"/>
            </v:shape>
          </w:pict>
        </mc:Fallback>
      </mc:AlternateContent>
    </w:r>
    <w:r>
      <mc:AlternateContent>
        <mc:Choice Requires="wps">
          <w:drawing>
            <wp:anchor distT="0" distB="0" distL="0" distR="0" simplePos="0" relativeHeight="62915518" behindDoc="1" locked="0" layoutInCell="1" allowOverlap="1">
              <wp:simplePos x="0" y="0"/>
              <wp:positionH relativeFrom="page">
                <wp:posOffset>4156075</wp:posOffset>
              </wp:positionH>
              <wp:positionV relativeFrom="page">
                <wp:posOffset>892810</wp:posOffset>
              </wp:positionV>
              <wp:extent cx="2673350" cy="106680"/>
              <wp:wrapNone/>
              <wp:docPr id="1210" name="Shape 1210"/>
              <a:graphic xmlns:a="http://schemas.openxmlformats.org/drawingml/2006/main">
                <a:graphicData uri="http://schemas.microsoft.com/office/word/2010/wordprocessingShape">
                  <wps:wsp>
                    <wps:cNvSpPr txBox="1"/>
                    <wps:spPr>
                      <a:xfrm>
                        <a:ext cx="2673350" cy="10668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236" type="#_x0000_t202" style="position:absolute;margin-left:327.25pt;margin-top:70.299999999999997pt;width:210.5pt;height:8.4000000000000004pt;z-index:-188743235;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715010</wp:posOffset>
              </wp:positionH>
              <wp:positionV relativeFrom="page">
                <wp:posOffset>1042035</wp:posOffset>
              </wp:positionV>
              <wp:extent cx="6160135" cy="0"/>
              <wp:wrapNone/>
              <wp:docPr id="1212" name="Shape 1212"/>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6.300000000000004pt;margin-top:82.049999999999997pt;width:485.05000000000001pt;height:0;z-index:-251658240;mso-position-horizontal-relative:page;mso-position-vertical-relative:page">
              <v:stroke weight="1.pt"/>
            </v:shape>
          </w:pict>
        </mc:Fallback>
      </mc:AlternateContent>
    </w:r>
  </w:p>
</w:hdr>
</file>

<file path=word/header2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22" behindDoc="1" locked="0" layoutInCell="1" allowOverlap="1">
              <wp:simplePos x="0" y="0"/>
              <wp:positionH relativeFrom="page">
                <wp:posOffset>704850</wp:posOffset>
              </wp:positionH>
              <wp:positionV relativeFrom="page">
                <wp:posOffset>705485</wp:posOffset>
              </wp:positionV>
              <wp:extent cx="6096000" cy="295910"/>
              <wp:wrapNone/>
              <wp:docPr id="1215" name="Shape 1215"/>
              <a:graphic xmlns:a="http://schemas.openxmlformats.org/drawingml/2006/main">
                <a:graphicData uri="http://schemas.microsoft.com/office/word/2010/wordprocessingShape">
                  <wps:wsp>
                    <wps:cNvSpPr txBox="1"/>
                    <wps:spPr>
                      <a:xfrm>
                        <a:ext cx="6096000" cy="2959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tabs>
                              <w:tab w:pos="8707" w:val="right"/>
                            </w:tabs>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1F84C4"/>
                              <w:spacing w:val="0"/>
                              <w:w w:val="100"/>
                              <w:position w:val="0"/>
                            </w:rPr>
                            <w:t>•，</w:t>
                            <w:tab/>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lIns="0" tIns="0" rIns="0" bIns="0">
                      <a:spAutoFit/>
                    </wps:bodyPr>
                  </wps:wsp>
                </a:graphicData>
              </a:graphic>
            </wp:anchor>
          </w:drawing>
        </mc:Choice>
        <mc:Fallback>
          <w:pict>
            <v:shape id="_x0000_s2241" type="#_x0000_t202" style="position:absolute;margin-left:55.5pt;margin-top:55.550000000000004pt;width:480.pt;height:23.300000000000001pt;z-index:-188743231;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tabs>
                        <w:tab w:pos="8707" w:val="right"/>
                      </w:tabs>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1F84C4"/>
                        <w:spacing w:val="0"/>
                        <w:w w:val="100"/>
                        <w:position w:val="0"/>
                      </w:rPr>
                      <w:t>•，</w:t>
                      <w:tab/>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686435</wp:posOffset>
              </wp:positionH>
              <wp:positionV relativeFrom="page">
                <wp:posOffset>1043305</wp:posOffset>
              </wp:positionV>
              <wp:extent cx="6160135" cy="0"/>
              <wp:wrapNone/>
              <wp:docPr id="1217" name="Shape 1217"/>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050000000000004pt;margin-top:82.150000000000006pt;width:485.05000000000001pt;height:0;z-index:-251658240;mso-position-horizontal-relative:page;mso-position-vertical-relative:page">
              <v:stroke weight="1.pt"/>
            </v:shape>
          </w:pict>
        </mc:Fallback>
      </mc:AlternateContent>
    </w:r>
  </w:p>
</w:hdr>
</file>

<file path=word/header2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26" behindDoc="1" locked="0" layoutInCell="1" allowOverlap="1">
              <wp:simplePos x="0" y="0"/>
              <wp:positionH relativeFrom="page">
                <wp:posOffset>733425</wp:posOffset>
              </wp:positionH>
              <wp:positionV relativeFrom="page">
                <wp:posOffset>704215</wp:posOffset>
              </wp:positionV>
              <wp:extent cx="1012190" cy="283210"/>
              <wp:wrapNone/>
              <wp:docPr id="1220" name="Shape 1220"/>
              <a:graphic xmlns:a="http://schemas.openxmlformats.org/drawingml/2006/main">
                <a:graphicData uri="http://schemas.microsoft.com/office/word/2010/wordprocessingShape">
                  <wps:wsp>
                    <wps:cNvSpPr txBox="1"/>
                    <wps:spPr>
                      <a:xfrm>
                        <a:ext cx="1012190" cy="2832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204"/>
                            <w:keepNext w:val="0"/>
                            <w:keepLines w:val="0"/>
                            <w:widowControl w:val="0"/>
                            <w:shd w:val="clear" w:color="auto" w:fill="auto"/>
                            <w:bidi w:val="0"/>
                            <w:spacing w:before="0" w:after="0" w:line="240" w:lineRule="auto"/>
                            <w:ind w:left="0" w:right="0" w:firstLine="0"/>
                            <w:jc w:val="left"/>
                          </w:pPr>
                          <w:r>
                            <w:rPr>
                              <w:b/>
                              <w:bCs/>
                              <w:i/>
                              <w:iCs/>
                              <w:color w:val="6DB14A"/>
                              <w:spacing w:val="0"/>
                              <w:w w:val="100"/>
                              <w:position w:val="0"/>
                              <w:sz w:val="18"/>
                              <w:szCs w:val="18"/>
                            </w:rPr>
                            <w:t>、、</w:t>
                          </w:r>
                          <w:r>
                            <w:rPr>
                              <w:b/>
                              <w:bCs/>
                              <w:color w:val="6DB14A"/>
                              <w:spacing w:val="0"/>
                              <w:w w:val="100"/>
                              <w:position w:val="0"/>
                            </w:rPr>
                            <w:t>一^</w:t>
                          </w:r>
                          <w:r>
                            <w:rPr>
                              <w:b/>
                              <w:bCs/>
                              <w:color w:val="5199CB"/>
                              <w:spacing w:val="0"/>
                              <w:w w:val="100"/>
                              <w:position w:val="0"/>
                            </w:rPr>
                            <w:t>神州泰岳</w:t>
                          </w:r>
                        </w:p>
                      </w:txbxContent>
                    </wps:txbx>
                    <wps:bodyPr wrap="none" lIns="0" tIns="0" rIns="0" bIns="0">
                      <a:spAutoFit/>
                    </wps:bodyPr>
                  </wps:wsp>
                </a:graphicData>
              </a:graphic>
            </wp:anchor>
          </w:drawing>
        </mc:Choice>
        <mc:Fallback>
          <w:pict>
            <v:shape id="_x0000_s2246" type="#_x0000_t202" style="position:absolute;margin-left:57.75pt;margin-top:55.450000000000003pt;width:79.700000000000003pt;height:22.300000000000001pt;z-index:-188743227;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204"/>
                      <w:keepNext w:val="0"/>
                      <w:keepLines w:val="0"/>
                      <w:widowControl w:val="0"/>
                      <w:shd w:val="clear" w:color="auto" w:fill="auto"/>
                      <w:bidi w:val="0"/>
                      <w:spacing w:before="0" w:after="0" w:line="240" w:lineRule="auto"/>
                      <w:ind w:left="0" w:right="0" w:firstLine="0"/>
                      <w:jc w:val="left"/>
                    </w:pPr>
                    <w:r>
                      <w:rPr>
                        <w:b/>
                        <w:bCs/>
                        <w:i/>
                        <w:iCs/>
                        <w:color w:val="6DB14A"/>
                        <w:spacing w:val="0"/>
                        <w:w w:val="100"/>
                        <w:position w:val="0"/>
                        <w:sz w:val="18"/>
                        <w:szCs w:val="18"/>
                      </w:rPr>
                      <w:t>、、</w:t>
                    </w:r>
                    <w:r>
                      <w:rPr>
                        <w:b/>
                        <w:bCs/>
                        <w:color w:val="6DB14A"/>
                        <w:spacing w:val="0"/>
                        <w:w w:val="100"/>
                        <w:position w:val="0"/>
                      </w:rPr>
                      <w:t>一^</w:t>
                    </w:r>
                    <w:r>
                      <w:rPr>
                        <w:b/>
                        <w:bCs/>
                        <w:color w:val="5199CB"/>
                        <w:spacing w:val="0"/>
                        <w:w w:val="100"/>
                        <w:position w:val="0"/>
                      </w:rPr>
                      <w:t>神州泰岳</w:t>
                    </w:r>
                  </w:p>
                </w:txbxContent>
              </v:textbox>
              <w10:wrap anchorx="page" anchory="page"/>
            </v:shape>
          </w:pict>
        </mc:Fallback>
      </mc:AlternateContent>
    </w:r>
    <w:r>
      <mc:AlternateContent>
        <mc:Choice Requires="wps">
          <w:drawing>
            <wp:anchor distT="0" distB="0" distL="0" distR="0" simplePos="0" relativeHeight="62915528" behindDoc="1" locked="0" layoutInCell="1" allowOverlap="1">
              <wp:simplePos x="0" y="0"/>
              <wp:positionH relativeFrom="page">
                <wp:posOffset>4156075</wp:posOffset>
              </wp:positionH>
              <wp:positionV relativeFrom="page">
                <wp:posOffset>892810</wp:posOffset>
              </wp:positionV>
              <wp:extent cx="2673350" cy="106680"/>
              <wp:wrapNone/>
              <wp:docPr id="1222" name="Shape 1222"/>
              <a:graphic xmlns:a="http://schemas.openxmlformats.org/drawingml/2006/main">
                <a:graphicData uri="http://schemas.microsoft.com/office/word/2010/wordprocessingShape">
                  <wps:wsp>
                    <wps:cNvSpPr txBox="1"/>
                    <wps:spPr>
                      <a:xfrm>
                        <a:ext cx="2673350" cy="10668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248" type="#_x0000_t202" style="position:absolute;margin-left:327.25pt;margin-top:70.299999999999997pt;width:210.5pt;height:8.4000000000000004pt;z-index:-188743225;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715010</wp:posOffset>
              </wp:positionH>
              <wp:positionV relativeFrom="page">
                <wp:posOffset>1042035</wp:posOffset>
              </wp:positionV>
              <wp:extent cx="6160135" cy="0"/>
              <wp:wrapNone/>
              <wp:docPr id="1224" name="Shape 1224"/>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6.300000000000004pt;margin-top:82.049999999999997pt;width:485.05000000000001pt;height:0;z-index:-251658240;mso-position-horizontal-relative:page;mso-position-vertical-relative:page">
              <v:stroke weight="1.pt"/>
            </v:shape>
          </w:pict>
        </mc:Fallback>
      </mc:AlternateContent>
    </w:r>
  </w:p>
</w:hdr>
</file>

<file path=word/header2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32" behindDoc="1" locked="0" layoutInCell="1" allowOverlap="1">
              <wp:simplePos x="0" y="0"/>
              <wp:positionH relativeFrom="page">
                <wp:posOffset>733425</wp:posOffset>
              </wp:positionH>
              <wp:positionV relativeFrom="page">
                <wp:posOffset>704215</wp:posOffset>
              </wp:positionV>
              <wp:extent cx="1012190" cy="283210"/>
              <wp:wrapNone/>
              <wp:docPr id="1227" name="Shape 1227"/>
              <a:graphic xmlns:a="http://schemas.openxmlformats.org/drawingml/2006/main">
                <a:graphicData uri="http://schemas.microsoft.com/office/word/2010/wordprocessingShape">
                  <wps:wsp>
                    <wps:cNvSpPr txBox="1"/>
                    <wps:spPr>
                      <a:xfrm>
                        <a:ext cx="1012190" cy="2832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204"/>
                            <w:keepNext w:val="0"/>
                            <w:keepLines w:val="0"/>
                            <w:widowControl w:val="0"/>
                            <w:shd w:val="clear" w:color="auto" w:fill="auto"/>
                            <w:bidi w:val="0"/>
                            <w:spacing w:before="0" w:after="0" w:line="240" w:lineRule="auto"/>
                            <w:ind w:left="0" w:right="0" w:firstLine="0"/>
                            <w:jc w:val="left"/>
                          </w:pPr>
                          <w:r>
                            <w:rPr>
                              <w:b/>
                              <w:bCs/>
                              <w:i/>
                              <w:iCs/>
                              <w:color w:val="6DB14A"/>
                              <w:spacing w:val="0"/>
                              <w:w w:val="100"/>
                              <w:position w:val="0"/>
                              <w:sz w:val="18"/>
                              <w:szCs w:val="18"/>
                            </w:rPr>
                            <w:t>、、</w:t>
                          </w:r>
                          <w:r>
                            <w:rPr>
                              <w:b/>
                              <w:bCs/>
                              <w:color w:val="6DB14A"/>
                              <w:spacing w:val="0"/>
                              <w:w w:val="100"/>
                              <w:position w:val="0"/>
                            </w:rPr>
                            <w:t>一^</w:t>
                          </w:r>
                          <w:r>
                            <w:rPr>
                              <w:b/>
                              <w:bCs/>
                              <w:color w:val="5199CB"/>
                              <w:spacing w:val="0"/>
                              <w:w w:val="100"/>
                              <w:position w:val="0"/>
                            </w:rPr>
                            <w:t>神州泰岳</w:t>
                          </w:r>
                        </w:p>
                      </w:txbxContent>
                    </wps:txbx>
                    <wps:bodyPr wrap="none" lIns="0" tIns="0" rIns="0" bIns="0">
                      <a:spAutoFit/>
                    </wps:bodyPr>
                  </wps:wsp>
                </a:graphicData>
              </a:graphic>
            </wp:anchor>
          </w:drawing>
        </mc:Choice>
        <mc:Fallback>
          <w:pict>
            <v:shape id="_x0000_s2253" type="#_x0000_t202" style="position:absolute;margin-left:57.75pt;margin-top:55.450000000000003pt;width:79.700000000000003pt;height:22.300000000000001pt;z-index:-188743221;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204"/>
                      <w:keepNext w:val="0"/>
                      <w:keepLines w:val="0"/>
                      <w:widowControl w:val="0"/>
                      <w:shd w:val="clear" w:color="auto" w:fill="auto"/>
                      <w:bidi w:val="0"/>
                      <w:spacing w:before="0" w:after="0" w:line="240" w:lineRule="auto"/>
                      <w:ind w:left="0" w:right="0" w:firstLine="0"/>
                      <w:jc w:val="left"/>
                    </w:pPr>
                    <w:r>
                      <w:rPr>
                        <w:b/>
                        <w:bCs/>
                        <w:i/>
                        <w:iCs/>
                        <w:color w:val="6DB14A"/>
                        <w:spacing w:val="0"/>
                        <w:w w:val="100"/>
                        <w:position w:val="0"/>
                        <w:sz w:val="18"/>
                        <w:szCs w:val="18"/>
                      </w:rPr>
                      <w:t>、、</w:t>
                    </w:r>
                    <w:r>
                      <w:rPr>
                        <w:b/>
                        <w:bCs/>
                        <w:color w:val="6DB14A"/>
                        <w:spacing w:val="0"/>
                        <w:w w:val="100"/>
                        <w:position w:val="0"/>
                      </w:rPr>
                      <w:t>一^</w:t>
                    </w:r>
                    <w:r>
                      <w:rPr>
                        <w:b/>
                        <w:bCs/>
                        <w:color w:val="5199CB"/>
                        <w:spacing w:val="0"/>
                        <w:w w:val="100"/>
                        <w:position w:val="0"/>
                      </w:rPr>
                      <w:t>神州泰岳</w:t>
                    </w:r>
                  </w:p>
                </w:txbxContent>
              </v:textbox>
              <w10:wrap anchorx="page" anchory="page"/>
            </v:shape>
          </w:pict>
        </mc:Fallback>
      </mc:AlternateContent>
    </w:r>
    <w:r>
      <mc:AlternateContent>
        <mc:Choice Requires="wps">
          <w:drawing>
            <wp:anchor distT="0" distB="0" distL="0" distR="0" simplePos="0" relativeHeight="62915534" behindDoc="1" locked="0" layoutInCell="1" allowOverlap="1">
              <wp:simplePos x="0" y="0"/>
              <wp:positionH relativeFrom="page">
                <wp:posOffset>4156075</wp:posOffset>
              </wp:positionH>
              <wp:positionV relativeFrom="page">
                <wp:posOffset>892810</wp:posOffset>
              </wp:positionV>
              <wp:extent cx="2673350" cy="106680"/>
              <wp:wrapNone/>
              <wp:docPr id="1229" name="Shape 1229"/>
              <a:graphic xmlns:a="http://schemas.openxmlformats.org/drawingml/2006/main">
                <a:graphicData uri="http://schemas.microsoft.com/office/word/2010/wordprocessingShape">
                  <wps:wsp>
                    <wps:cNvSpPr txBox="1"/>
                    <wps:spPr>
                      <a:xfrm>
                        <a:ext cx="2673350" cy="10668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255" type="#_x0000_t202" style="position:absolute;margin-left:327.25pt;margin-top:70.299999999999997pt;width:210.5pt;height:8.4000000000000004pt;z-index:-188743219;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715010</wp:posOffset>
              </wp:positionH>
              <wp:positionV relativeFrom="page">
                <wp:posOffset>1042035</wp:posOffset>
              </wp:positionV>
              <wp:extent cx="6160135" cy="0"/>
              <wp:wrapNone/>
              <wp:docPr id="1231" name="Shape 1231"/>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6.300000000000004pt;margin-top:82.049999999999997pt;width:485.05000000000001pt;height:0;z-index:-251658240;mso-position-horizontal-relative:page;mso-position-vertical-relative:page">
              <v:stroke weight="1.pt"/>
            </v:shape>
          </w:pict>
        </mc:Fallback>
      </mc:AlternateContent>
    </w:r>
  </w:p>
</w:hdr>
</file>

<file path=word/header2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38" behindDoc="1" locked="0" layoutInCell="1" allowOverlap="1">
              <wp:simplePos x="0" y="0"/>
              <wp:positionH relativeFrom="page">
                <wp:posOffset>733425</wp:posOffset>
              </wp:positionH>
              <wp:positionV relativeFrom="page">
                <wp:posOffset>704215</wp:posOffset>
              </wp:positionV>
              <wp:extent cx="1012190" cy="283210"/>
              <wp:wrapNone/>
              <wp:docPr id="1234" name="Shape 1234"/>
              <a:graphic xmlns:a="http://schemas.openxmlformats.org/drawingml/2006/main">
                <a:graphicData uri="http://schemas.microsoft.com/office/word/2010/wordprocessingShape">
                  <wps:wsp>
                    <wps:cNvSpPr txBox="1"/>
                    <wps:spPr>
                      <a:xfrm>
                        <a:ext cx="1012190" cy="2832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204"/>
                            <w:keepNext w:val="0"/>
                            <w:keepLines w:val="0"/>
                            <w:widowControl w:val="0"/>
                            <w:shd w:val="clear" w:color="auto" w:fill="auto"/>
                            <w:bidi w:val="0"/>
                            <w:spacing w:before="0" w:after="0" w:line="240" w:lineRule="auto"/>
                            <w:ind w:left="0" w:right="0" w:firstLine="0"/>
                            <w:jc w:val="left"/>
                          </w:pPr>
                          <w:r>
                            <w:rPr>
                              <w:b/>
                              <w:bCs/>
                              <w:i/>
                              <w:iCs/>
                              <w:color w:val="6DB14A"/>
                              <w:spacing w:val="0"/>
                              <w:w w:val="100"/>
                              <w:position w:val="0"/>
                              <w:sz w:val="18"/>
                              <w:szCs w:val="18"/>
                            </w:rPr>
                            <w:t>、、</w:t>
                          </w:r>
                          <w:r>
                            <w:rPr>
                              <w:b/>
                              <w:bCs/>
                              <w:color w:val="6DB14A"/>
                              <w:spacing w:val="0"/>
                              <w:w w:val="100"/>
                              <w:position w:val="0"/>
                            </w:rPr>
                            <w:t>一^</w:t>
                          </w:r>
                          <w:r>
                            <w:rPr>
                              <w:b/>
                              <w:bCs/>
                              <w:color w:val="5199CB"/>
                              <w:spacing w:val="0"/>
                              <w:w w:val="100"/>
                              <w:position w:val="0"/>
                            </w:rPr>
                            <w:t>神州泰岳</w:t>
                          </w:r>
                        </w:p>
                      </w:txbxContent>
                    </wps:txbx>
                    <wps:bodyPr wrap="none" lIns="0" tIns="0" rIns="0" bIns="0">
                      <a:spAutoFit/>
                    </wps:bodyPr>
                  </wps:wsp>
                </a:graphicData>
              </a:graphic>
            </wp:anchor>
          </w:drawing>
        </mc:Choice>
        <mc:Fallback>
          <w:pict>
            <v:shape id="_x0000_s2260" type="#_x0000_t202" style="position:absolute;margin-left:57.75pt;margin-top:55.450000000000003pt;width:79.700000000000003pt;height:22.300000000000001pt;z-index:-188743215;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204"/>
                      <w:keepNext w:val="0"/>
                      <w:keepLines w:val="0"/>
                      <w:widowControl w:val="0"/>
                      <w:shd w:val="clear" w:color="auto" w:fill="auto"/>
                      <w:bidi w:val="0"/>
                      <w:spacing w:before="0" w:after="0" w:line="240" w:lineRule="auto"/>
                      <w:ind w:left="0" w:right="0" w:firstLine="0"/>
                      <w:jc w:val="left"/>
                    </w:pPr>
                    <w:r>
                      <w:rPr>
                        <w:b/>
                        <w:bCs/>
                        <w:i/>
                        <w:iCs/>
                        <w:color w:val="6DB14A"/>
                        <w:spacing w:val="0"/>
                        <w:w w:val="100"/>
                        <w:position w:val="0"/>
                        <w:sz w:val="18"/>
                        <w:szCs w:val="18"/>
                      </w:rPr>
                      <w:t>、、</w:t>
                    </w:r>
                    <w:r>
                      <w:rPr>
                        <w:b/>
                        <w:bCs/>
                        <w:color w:val="6DB14A"/>
                        <w:spacing w:val="0"/>
                        <w:w w:val="100"/>
                        <w:position w:val="0"/>
                      </w:rPr>
                      <w:t>一^</w:t>
                    </w:r>
                    <w:r>
                      <w:rPr>
                        <w:b/>
                        <w:bCs/>
                        <w:color w:val="5199CB"/>
                        <w:spacing w:val="0"/>
                        <w:w w:val="100"/>
                        <w:position w:val="0"/>
                      </w:rPr>
                      <w:t>神州泰岳</w:t>
                    </w:r>
                  </w:p>
                </w:txbxContent>
              </v:textbox>
              <w10:wrap anchorx="page" anchory="page"/>
            </v:shape>
          </w:pict>
        </mc:Fallback>
      </mc:AlternateContent>
    </w:r>
    <w:r>
      <mc:AlternateContent>
        <mc:Choice Requires="wps">
          <w:drawing>
            <wp:anchor distT="0" distB="0" distL="0" distR="0" simplePos="0" relativeHeight="62915540" behindDoc="1" locked="0" layoutInCell="1" allowOverlap="1">
              <wp:simplePos x="0" y="0"/>
              <wp:positionH relativeFrom="page">
                <wp:posOffset>4156075</wp:posOffset>
              </wp:positionH>
              <wp:positionV relativeFrom="page">
                <wp:posOffset>892810</wp:posOffset>
              </wp:positionV>
              <wp:extent cx="2673350" cy="106680"/>
              <wp:wrapNone/>
              <wp:docPr id="1236" name="Shape 1236"/>
              <a:graphic xmlns:a="http://schemas.openxmlformats.org/drawingml/2006/main">
                <a:graphicData uri="http://schemas.microsoft.com/office/word/2010/wordprocessingShape">
                  <wps:wsp>
                    <wps:cNvSpPr txBox="1"/>
                    <wps:spPr>
                      <a:xfrm>
                        <a:ext cx="2673350" cy="10668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262" type="#_x0000_t202" style="position:absolute;margin-left:327.25pt;margin-top:70.299999999999997pt;width:210.5pt;height:8.4000000000000004pt;z-index:-188743213;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715010</wp:posOffset>
              </wp:positionH>
              <wp:positionV relativeFrom="page">
                <wp:posOffset>1042035</wp:posOffset>
              </wp:positionV>
              <wp:extent cx="6160135" cy="0"/>
              <wp:wrapNone/>
              <wp:docPr id="1238" name="Shape 1238"/>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6.300000000000004pt;margin-top:82.049999999999997pt;width:485.05000000000001pt;height:0;z-index:-251658240;mso-position-horizontal-relative:page;mso-position-vertical-relative:page">
              <v:stroke weight="1.pt"/>
            </v:shape>
          </w:pict>
        </mc:Fallback>
      </mc:AlternateContent>
    </w:r>
  </w:p>
</w:hdr>
</file>

<file path=word/header2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44" behindDoc="1" locked="0" layoutInCell="1" allowOverlap="1">
              <wp:simplePos x="0" y="0"/>
              <wp:positionH relativeFrom="page">
                <wp:posOffset>733425</wp:posOffset>
              </wp:positionH>
              <wp:positionV relativeFrom="page">
                <wp:posOffset>704215</wp:posOffset>
              </wp:positionV>
              <wp:extent cx="1012190" cy="283210"/>
              <wp:wrapNone/>
              <wp:docPr id="1241" name="Shape 1241"/>
              <a:graphic xmlns:a="http://schemas.openxmlformats.org/drawingml/2006/main">
                <a:graphicData uri="http://schemas.microsoft.com/office/word/2010/wordprocessingShape">
                  <wps:wsp>
                    <wps:cNvSpPr txBox="1"/>
                    <wps:spPr>
                      <a:xfrm>
                        <a:ext cx="1012190" cy="2832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204"/>
                            <w:keepNext w:val="0"/>
                            <w:keepLines w:val="0"/>
                            <w:widowControl w:val="0"/>
                            <w:shd w:val="clear" w:color="auto" w:fill="auto"/>
                            <w:bidi w:val="0"/>
                            <w:spacing w:before="0" w:after="0" w:line="240" w:lineRule="auto"/>
                            <w:ind w:left="0" w:right="0" w:firstLine="0"/>
                            <w:jc w:val="left"/>
                          </w:pPr>
                          <w:r>
                            <w:rPr>
                              <w:b/>
                              <w:bCs/>
                              <w:i/>
                              <w:iCs/>
                              <w:color w:val="6DB14A"/>
                              <w:spacing w:val="0"/>
                              <w:w w:val="100"/>
                              <w:position w:val="0"/>
                              <w:sz w:val="18"/>
                              <w:szCs w:val="18"/>
                            </w:rPr>
                            <w:t>、、</w:t>
                          </w:r>
                          <w:r>
                            <w:rPr>
                              <w:b/>
                              <w:bCs/>
                              <w:color w:val="6DB14A"/>
                              <w:spacing w:val="0"/>
                              <w:w w:val="100"/>
                              <w:position w:val="0"/>
                            </w:rPr>
                            <w:t>一^</w:t>
                          </w:r>
                          <w:r>
                            <w:rPr>
                              <w:b/>
                              <w:bCs/>
                              <w:color w:val="5199CB"/>
                              <w:spacing w:val="0"/>
                              <w:w w:val="100"/>
                              <w:position w:val="0"/>
                            </w:rPr>
                            <w:t>神州泰岳</w:t>
                          </w:r>
                        </w:p>
                      </w:txbxContent>
                    </wps:txbx>
                    <wps:bodyPr wrap="none" lIns="0" tIns="0" rIns="0" bIns="0">
                      <a:spAutoFit/>
                    </wps:bodyPr>
                  </wps:wsp>
                </a:graphicData>
              </a:graphic>
            </wp:anchor>
          </w:drawing>
        </mc:Choice>
        <mc:Fallback>
          <w:pict>
            <v:shape id="_x0000_s2267" type="#_x0000_t202" style="position:absolute;margin-left:57.75pt;margin-top:55.450000000000003pt;width:79.700000000000003pt;height:22.300000000000001pt;z-index:-188743209;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204"/>
                      <w:keepNext w:val="0"/>
                      <w:keepLines w:val="0"/>
                      <w:widowControl w:val="0"/>
                      <w:shd w:val="clear" w:color="auto" w:fill="auto"/>
                      <w:bidi w:val="0"/>
                      <w:spacing w:before="0" w:after="0" w:line="240" w:lineRule="auto"/>
                      <w:ind w:left="0" w:right="0" w:firstLine="0"/>
                      <w:jc w:val="left"/>
                    </w:pPr>
                    <w:r>
                      <w:rPr>
                        <w:b/>
                        <w:bCs/>
                        <w:i/>
                        <w:iCs/>
                        <w:color w:val="6DB14A"/>
                        <w:spacing w:val="0"/>
                        <w:w w:val="100"/>
                        <w:position w:val="0"/>
                        <w:sz w:val="18"/>
                        <w:szCs w:val="18"/>
                      </w:rPr>
                      <w:t>、、</w:t>
                    </w:r>
                    <w:r>
                      <w:rPr>
                        <w:b/>
                        <w:bCs/>
                        <w:color w:val="6DB14A"/>
                        <w:spacing w:val="0"/>
                        <w:w w:val="100"/>
                        <w:position w:val="0"/>
                      </w:rPr>
                      <w:t>一^</w:t>
                    </w:r>
                    <w:r>
                      <w:rPr>
                        <w:b/>
                        <w:bCs/>
                        <w:color w:val="5199CB"/>
                        <w:spacing w:val="0"/>
                        <w:w w:val="100"/>
                        <w:position w:val="0"/>
                      </w:rPr>
                      <w:t>神州泰岳</w:t>
                    </w:r>
                  </w:p>
                </w:txbxContent>
              </v:textbox>
              <w10:wrap anchorx="page" anchory="page"/>
            </v:shape>
          </w:pict>
        </mc:Fallback>
      </mc:AlternateContent>
    </w:r>
    <w:r>
      <mc:AlternateContent>
        <mc:Choice Requires="wps">
          <w:drawing>
            <wp:anchor distT="0" distB="0" distL="0" distR="0" simplePos="0" relativeHeight="62915546" behindDoc="1" locked="0" layoutInCell="1" allowOverlap="1">
              <wp:simplePos x="0" y="0"/>
              <wp:positionH relativeFrom="page">
                <wp:posOffset>4156075</wp:posOffset>
              </wp:positionH>
              <wp:positionV relativeFrom="page">
                <wp:posOffset>892810</wp:posOffset>
              </wp:positionV>
              <wp:extent cx="2673350" cy="106680"/>
              <wp:wrapNone/>
              <wp:docPr id="1243" name="Shape 1243"/>
              <a:graphic xmlns:a="http://schemas.openxmlformats.org/drawingml/2006/main">
                <a:graphicData uri="http://schemas.microsoft.com/office/word/2010/wordprocessingShape">
                  <wps:wsp>
                    <wps:cNvSpPr txBox="1"/>
                    <wps:spPr>
                      <a:xfrm>
                        <a:ext cx="2673350" cy="10668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269" type="#_x0000_t202" style="position:absolute;margin-left:327.25pt;margin-top:70.299999999999997pt;width:210.5pt;height:8.4000000000000004pt;z-index:-188743207;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715010</wp:posOffset>
              </wp:positionH>
              <wp:positionV relativeFrom="page">
                <wp:posOffset>1042035</wp:posOffset>
              </wp:positionV>
              <wp:extent cx="6160135" cy="0"/>
              <wp:wrapNone/>
              <wp:docPr id="1245" name="Shape 1245"/>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6.300000000000004pt;margin-top:82.049999999999997pt;width:485.05000000000001pt;height:0;z-index:-251658240;mso-position-horizontal-relative:page;mso-position-vertical-relative:page">
              <v:stroke weight="1.pt"/>
            </v:shape>
          </w:pict>
        </mc:Fallback>
      </mc:AlternateContent>
    </w:r>
  </w:p>
</w:hdr>
</file>

<file path=word/header2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50" behindDoc="1" locked="0" layoutInCell="1" allowOverlap="1">
              <wp:simplePos x="0" y="0"/>
              <wp:positionH relativeFrom="page">
                <wp:posOffset>704850</wp:posOffset>
              </wp:positionH>
              <wp:positionV relativeFrom="page">
                <wp:posOffset>705485</wp:posOffset>
              </wp:positionV>
              <wp:extent cx="6096000" cy="295910"/>
              <wp:wrapNone/>
              <wp:docPr id="1248" name="Shape 1248"/>
              <a:graphic xmlns:a="http://schemas.openxmlformats.org/drawingml/2006/main">
                <a:graphicData uri="http://schemas.microsoft.com/office/word/2010/wordprocessingShape">
                  <wps:wsp>
                    <wps:cNvSpPr txBox="1"/>
                    <wps:spPr>
                      <a:xfrm>
                        <a:ext cx="6096000" cy="2959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tabs>
                              <w:tab w:pos="8707" w:val="right"/>
                            </w:tabs>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1F84C4"/>
                              <w:spacing w:val="0"/>
                              <w:w w:val="100"/>
                              <w:position w:val="0"/>
                            </w:rPr>
                            <w:t>•，</w:t>
                            <w:tab/>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lIns="0" tIns="0" rIns="0" bIns="0">
                      <a:spAutoFit/>
                    </wps:bodyPr>
                  </wps:wsp>
                </a:graphicData>
              </a:graphic>
            </wp:anchor>
          </w:drawing>
        </mc:Choice>
        <mc:Fallback>
          <w:pict>
            <v:shape id="_x0000_s2274" type="#_x0000_t202" style="position:absolute;margin-left:55.5pt;margin-top:55.550000000000004pt;width:480.pt;height:23.300000000000001pt;z-index:-188743203;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tabs>
                        <w:tab w:pos="8707" w:val="right"/>
                      </w:tabs>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1F84C4"/>
                        <w:spacing w:val="0"/>
                        <w:w w:val="100"/>
                        <w:position w:val="0"/>
                      </w:rPr>
                      <w:t>•，</w:t>
                      <w:tab/>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686435</wp:posOffset>
              </wp:positionH>
              <wp:positionV relativeFrom="page">
                <wp:posOffset>1043305</wp:posOffset>
              </wp:positionV>
              <wp:extent cx="6160135" cy="0"/>
              <wp:wrapNone/>
              <wp:docPr id="1250" name="Shape 1250"/>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050000000000004pt;margin-top:82.150000000000006pt;width:485.05000000000001pt;height:0;z-index:-251658240;mso-position-horizontal-relative:page;mso-position-vertical-relative:page">
              <v:stroke weight="1.pt"/>
            </v:shape>
          </w:pict>
        </mc:Fallback>
      </mc:AlternateContent>
    </w:r>
  </w:p>
</w:hdr>
</file>

<file path=word/header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54" behindDoc="1" locked="0" layoutInCell="1" allowOverlap="1">
              <wp:simplePos x="0" y="0"/>
              <wp:positionH relativeFrom="page">
                <wp:posOffset>704850</wp:posOffset>
              </wp:positionH>
              <wp:positionV relativeFrom="page">
                <wp:posOffset>705485</wp:posOffset>
              </wp:positionV>
              <wp:extent cx="6096000" cy="295910"/>
              <wp:wrapNone/>
              <wp:docPr id="1253" name="Shape 1253"/>
              <a:graphic xmlns:a="http://schemas.openxmlformats.org/drawingml/2006/main">
                <a:graphicData uri="http://schemas.microsoft.com/office/word/2010/wordprocessingShape">
                  <wps:wsp>
                    <wps:cNvSpPr txBox="1"/>
                    <wps:spPr>
                      <a:xfrm>
                        <a:ext cx="6096000" cy="2959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tabs>
                              <w:tab w:pos="8707" w:val="right"/>
                            </w:tabs>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1F84C4"/>
                              <w:spacing w:val="0"/>
                              <w:w w:val="100"/>
                              <w:position w:val="0"/>
                            </w:rPr>
                            <w:t>•，</w:t>
                            <w:tab/>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lIns="0" tIns="0" rIns="0" bIns="0">
                      <a:spAutoFit/>
                    </wps:bodyPr>
                  </wps:wsp>
                </a:graphicData>
              </a:graphic>
            </wp:anchor>
          </w:drawing>
        </mc:Choice>
        <mc:Fallback>
          <w:pict>
            <v:shape id="_x0000_s2279" type="#_x0000_t202" style="position:absolute;margin-left:55.5pt;margin-top:55.550000000000004pt;width:480.pt;height:23.300000000000001pt;z-index:-188743199;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tabs>
                        <w:tab w:pos="8707" w:val="right"/>
                      </w:tabs>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1F84C4"/>
                        <w:spacing w:val="0"/>
                        <w:w w:val="100"/>
                        <w:position w:val="0"/>
                      </w:rPr>
                      <w:t>•，</w:t>
                      <w:tab/>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686435</wp:posOffset>
              </wp:positionH>
              <wp:positionV relativeFrom="page">
                <wp:posOffset>1043305</wp:posOffset>
              </wp:positionV>
              <wp:extent cx="6160135" cy="0"/>
              <wp:wrapNone/>
              <wp:docPr id="1255" name="Shape 1255"/>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050000000000004pt;margin-top:82.150000000000006pt;width:485.05000000000001pt;height:0;z-index:-251658240;mso-position-horizontal-relative:page;mso-position-vertical-relative:page">
              <v:stroke weight="1.pt"/>
            </v:shape>
          </w:pict>
        </mc:Fallback>
      </mc:AlternateContent>
    </w:r>
  </w:p>
</w:hdr>
</file>

<file path=word/header2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58" behindDoc="1" locked="0" layoutInCell="1" allowOverlap="1">
              <wp:simplePos x="0" y="0"/>
              <wp:positionH relativeFrom="page">
                <wp:posOffset>704850</wp:posOffset>
              </wp:positionH>
              <wp:positionV relativeFrom="page">
                <wp:posOffset>705485</wp:posOffset>
              </wp:positionV>
              <wp:extent cx="6096000" cy="295910"/>
              <wp:wrapNone/>
              <wp:docPr id="1258" name="Shape 1258"/>
              <a:graphic xmlns:a="http://schemas.openxmlformats.org/drawingml/2006/main">
                <a:graphicData uri="http://schemas.microsoft.com/office/word/2010/wordprocessingShape">
                  <wps:wsp>
                    <wps:cNvSpPr txBox="1"/>
                    <wps:spPr>
                      <a:xfrm>
                        <a:ext cx="6096000" cy="2959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tabs>
                              <w:tab w:pos="8707" w:val="right"/>
                            </w:tabs>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1F84C4"/>
                              <w:spacing w:val="0"/>
                              <w:w w:val="100"/>
                              <w:position w:val="0"/>
                            </w:rPr>
                            <w:t>•，</w:t>
                            <w:tab/>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lIns="0" tIns="0" rIns="0" bIns="0">
                      <a:spAutoFit/>
                    </wps:bodyPr>
                  </wps:wsp>
                </a:graphicData>
              </a:graphic>
            </wp:anchor>
          </w:drawing>
        </mc:Choice>
        <mc:Fallback>
          <w:pict>
            <v:shape id="_x0000_s2284" type="#_x0000_t202" style="position:absolute;margin-left:55.5pt;margin-top:55.550000000000004pt;width:480.pt;height:23.300000000000001pt;z-index:-188743195;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tabs>
                        <w:tab w:pos="8707" w:val="right"/>
                      </w:tabs>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1F84C4"/>
                        <w:spacing w:val="0"/>
                        <w:w w:val="100"/>
                        <w:position w:val="0"/>
                      </w:rPr>
                      <w:t>•，</w:t>
                      <w:tab/>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686435</wp:posOffset>
              </wp:positionH>
              <wp:positionV relativeFrom="page">
                <wp:posOffset>1043305</wp:posOffset>
              </wp:positionV>
              <wp:extent cx="6160135" cy="0"/>
              <wp:wrapNone/>
              <wp:docPr id="1260" name="Shape 1260"/>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4.050000000000004pt;margin-top:82.150000000000006pt;width:485.05000000000001pt;height:0;z-index:-251658240;mso-position-horizontal-relative:page;mso-position-vertical-relative:page">
              <v:stroke weight="1.pt"/>
            </v:shape>
          </w:pict>
        </mc:Fallback>
      </mc:AlternateContent>
    </w:r>
  </w:p>
</w:hdr>
</file>

<file path=word/header2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62" behindDoc="1" locked="0" layoutInCell="1" allowOverlap="1">
              <wp:simplePos x="0" y="0"/>
              <wp:positionH relativeFrom="page">
                <wp:posOffset>733425</wp:posOffset>
              </wp:positionH>
              <wp:positionV relativeFrom="page">
                <wp:posOffset>704215</wp:posOffset>
              </wp:positionV>
              <wp:extent cx="1012190" cy="283210"/>
              <wp:wrapNone/>
              <wp:docPr id="1263" name="Shape 1263"/>
              <a:graphic xmlns:a="http://schemas.openxmlformats.org/drawingml/2006/main">
                <a:graphicData uri="http://schemas.microsoft.com/office/word/2010/wordprocessingShape">
                  <wps:wsp>
                    <wps:cNvSpPr txBox="1"/>
                    <wps:spPr>
                      <a:xfrm>
                        <a:ext cx="1012190" cy="2832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204"/>
                            <w:keepNext w:val="0"/>
                            <w:keepLines w:val="0"/>
                            <w:widowControl w:val="0"/>
                            <w:shd w:val="clear" w:color="auto" w:fill="auto"/>
                            <w:bidi w:val="0"/>
                            <w:spacing w:before="0" w:after="0" w:line="240" w:lineRule="auto"/>
                            <w:ind w:left="0" w:right="0" w:firstLine="0"/>
                            <w:jc w:val="left"/>
                          </w:pPr>
                          <w:r>
                            <w:rPr>
                              <w:b/>
                              <w:bCs/>
                              <w:i/>
                              <w:iCs/>
                              <w:color w:val="6DB14A"/>
                              <w:spacing w:val="0"/>
                              <w:w w:val="100"/>
                              <w:position w:val="0"/>
                              <w:sz w:val="18"/>
                              <w:szCs w:val="18"/>
                            </w:rPr>
                            <w:t>、、</w:t>
                          </w:r>
                          <w:r>
                            <w:rPr>
                              <w:b/>
                              <w:bCs/>
                              <w:color w:val="6DB14A"/>
                              <w:spacing w:val="0"/>
                              <w:w w:val="100"/>
                              <w:position w:val="0"/>
                            </w:rPr>
                            <w:t>一^</w:t>
                          </w:r>
                          <w:r>
                            <w:rPr>
                              <w:b/>
                              <w:bCs/>
                              <w:color w:val="5199CB"/>
                              <w:spacing w:val="0"/>
                              <w:w w:val="100"/>
                              <w:position w:val="0"/>
                            </w:rPr>
                            <w:t>神州泰岳</w:t>
                          </w:r>
                        </w:p>
                      </w:txbxContent>
                    </wps:txbx>
                    <wps:bodyPr wrap="none" lIns="0" tIns="0" rIns="0" bIns="0">
                      <a:spAutoFit/>
                    </wps:bodyPr>
                  </wps:wsp>
                </a:graphicData>
              </a:graphic>
            </wp:anchor>
          </w:drawing>
        </mc:Choice>
        <mc:Fallback>
          <w:pict>
            <v:shape id="_x0000_s2289" type="#_x0000_t202" style="position:absolute;margin-left:57.75pt;margin-top:55.450000000000003pt;width:79.700000000000003pt;height:22.300000000000001pt;z-index:-188743191;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204"/>
                      <w:keepNext w:val="0"/>
                      <w:keepLines w:val="0"/>
                      <w:widowControl w:val="0"/>
                      <w:shd w:val="clear" w:color="auto" w:fill="auto"/>
                      <w:bidi w:val="0"/>
                      <w:spacing w:before="0" w:after="0" w:line="240" w:lineRule="auto"/>
                      <w:ind w:left="0" w:right="0" w:firstLine="0"/>
                      <w:jc w:val="left"/>
                    </w:pPr>
                    <w:r>
                      <w:rPr>
                        <w:b/>
                        <w:bCs/>
                        <w:i/>
                        <w:iCs/>
                        <w:color w:val="6DB14A"/>
                        <w:spacing w:val="0"/>
                        <w:w w:val="100"/>
                        <w:position w:val="0"/>
                        <w:sz w:val="18"/>
                        <w:szCs w:val="18"/>
                      </w:rPr>
                      <w:t>、、</w:t>
                    </w:r>
                    <w:r>
                      <w:rPr>
                        <w:b/>
                        <w:bCs/>
                        <w:color w:val="6DB14A"/>
                        <w:spacing w:val="0"/>
                        <w:w w:val="100"/>
                        <w:position w:val="0"/>
                      </w:rPr>
                      <w:t>一^</w:t>
                    </w:r>
                    <w:r>
                      <w:rPr>
                        <w:b/>
                        <w:bCs/>
                        <w:color w:val="5199CB"/>
                        <w:spacing w:val="0"/>
                        <w:w w:val="100"/>
                        <w:position w:val="0"/>
                      </w:rPr>
                      <w:t>神州泰岳</w:t>
                    </w:r>
                  </w:p>
                </w:txbxContent>
              </v:textbox>
              <w10:wrap anchorx="page" anchory="page"/>
            </v:shape>
          </w:pict>
        </mc:Fallback>
      </mc:AlternateContent>
    </w:r>
    <w:r>
      <mc:AlternateContent>
        <mc:Choice Requires="wps">
          <w:drawing>
            <wp:anchor distT="0" distB="0" distL="0" distR="0" simplePos="0" relativeHeight="62915564" behindDoc="1" locked="0" layoutInCell="1" allowOverlap="1">
              <wp:simplePos x="0" y="0"/>
              <wp:positionH relativeFrom="page">
                <wp:posOffset>4156075</wp:posOffset>
              </wp:positionH>
              <wp:positionV relativeFrom="page">
                <wp:posOffset>892810</wp:posOffset>
              </wp:positionV>
              <wp:extent cx="2673350" cy="106680"/>
              <wp:wrapNone/>
              <wp:docPr id="1265" name="Shape 1265"/>
              <a:graphic xmlns:a="http://schemas.openxmlformats.org/drawingml/2006/main">
                <a:graphicData uri="http://schemas.microsoft.com/office/word/2010/wordprocessingShape">
                  <wps:wsp>
                    <wps:cNvSpPr txBox="1"/>
                    <wps:spPr>
                      <a:xfrm>
                        <a:ext cx="2673350" cy="10668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291" type="#_x0000_t202" style="position:absolute;margin-left:327.25pt;margin-top:70.299999999999997pt;width:210.5pt;height:8.4000000000000004pt;z-index:-188743189;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715010</wp:posOffset>
              </wp:positionH>
              <wp:positionV relativeFrom="page">
                <wp:posOffset>1042035</wp:posOffset>
              </wp:positionV>
              <wp:extent cx="6160135" cy="0"/>
              <wp:wrapNone/>
              <wp:docPr id="1267" name="Shape 1267"/>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6.300000000000004pt;margin-top:82.049999999999997pt;width:485.05000000000001pt;height:0;z-index:-251658240;mso-position-horizontal-relative:page;mso-position-vertical-relative:page">
              <v:stroke weight="1.pt"/>
            </v:shape>
          </w:pict>
        </mc:Fallback>
      </mc:AlternateContent>
    </w:r>
  </w:p>
</w:hdr>
</file>

<file path=word/header2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68" behindDoc="1" locked="0" layoutInCell="1" allowOverlap="1">
              <wp:simplePos x="0" y="0"/>
              <wp:positionH relativeFrom="page">
                <wp:posOffset>733425</wp:posOffset>
              </wp:positionH>
              <wp:positionV relativeFrom="page">
                <wp:posOffset>704215</wp:posOffset>
              </wp:positionV>
              <wp:extent cx="1012190" cy="283210"/>
              <wp:wrapNone/>
              <wp:docPr id="1270" name="Shape 1270"/>
              <a:graphic xmlns:a="http://schemas.openxmlformats.org/drawingml/2006/main">
                <a:graphicData uri="http://schemas.microsoft.com/office/word/2010/wordprocessingShape">
                  <wps:wsp>
                    <wps:cNvSpPr txBox="1"/>
                    <wps:spPr>
                      <a:xfrm>
                        <a:ext cx="1012190" cy="2832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204"/>
                            <w:keepNext w:val="0"/>
                            <w:keepLines w:val="0"/>
                            <w:widowControl w:val="0"/>
                            <w:shd w:val="clear" w:color="auto" w:fill="auto"/>
                            <w:bidi w:val="0"/>
                            <w:spacing w:before="0" w:after="0" w:line="240" w:lineRule="auto"/>
                            <w:ind w:left="0" w:right="0" w:firstLine="0"/>
                            <w:jc w:val="left"/>
                          </w:pPr>
                          <w:r>
                            <w:rPr>
                              <w:b/>
                              <w:bCs/>
                              <w:i/>
                              <w:iCs/>
                              <w:color w:val="6DB14A"/>
                              <w:spacing w:val="0"/>
                              <w:w w:val="100"/>
                              <w:position w:val="0"/>
                              <w:sz w:val="18"/>
                              <w:szCs w:val="18"/>
                            </w:rPr>
                            <w:t>、、</w:t>
                          </w:r>
                          <w:r>
                            <w:rPr>
                              <w:b/>
                              <w:bCs/>
                              <w:color w:val="6DB14A"/>
                              <w:spacing w:val="0"/>
                              <w:w w:val="100"/>
                              <w:position w:val="0"/>
                            </w:rPr>
                            <w:t>一^</w:t>
                          </w:r>
                          <w:r>
                            <w:rPr>
                              <w:b/>
                              <w:bCs/>
                              <w:color w:val="5199CB"/>
                              <w:spacing w:val="0"/>
                              <w:w w:val="100"/>
                              <w:position w:val="0"/>
                            </w:rPr>
                            <w:t>神州泰岳</w:t>
                          </w:r>
                        </w:p>
                      </w:txbxContent>
                    </wps:txbx>
                    <wps:bodyPr wrap="none" lIns="0" tIns="0" rIns="0" bIns="0">
                      <a:spAutoFit/>
                    </wps:bodyPr>
                  </wps:wsp>
                </a:graphicData>
              </a:graphic>
            </wp:anchor>
          </w:drawing>
        </mc:Choice>
        <mc:Fallback>
          <w:pict>
            <v:shape id="_x0000_s2296" type="#_x0000_t202" style="position:absolute;margin-left:57.75pt;margin-top:55.450000000000003pt;width:79.700000000000003pt;height:22.300000000000001pt;z-index:-188743185;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204"/>
                      <w:keepNext w:val="0"/>
                      <w:keepLines w:val="0"/>
                      <w:widowControl w:val="0"/>
                      <w:shd w:val="clear" w:color="auto" w:fill="auto"/>
                      <w:bidi w:val="0"/>
                      <w:spacing w:before="0" w:after="0" w:line="240" w:lineRule="auto"/>
                      <w:ind w:left="0" w:right="0" w:firstLine="0"/>
                      <w:jc w:val="left"/>
                    </w:pPr>
                    <w:r>
                      <w:rPr>
                        <w:b/>
                        <w:bCs/>
                        <w:i/>
                        <w:iCs/>
                        <w:color w:val="6DB14A"/>
                        <w:spacing w:val="0"/>
                        <w:w w:val="100"/>
                        <w:position w:val="0"/>
                        <w:sz w:val="18"/>
                        <w:szCs w:val="18"/>
                      </w:rPr>
                      <w:t>、、</w:t>
                    </w:r>
                    <w:r>
                      <w:rPr>
                        <w:b/>
                        <w:bCs/>
                        <w:color w:val="6DB14A"/>
                        <w:spacing w:val="0"/>
                        <w:w w:val="100"/>
                        <w:position w:val="0"/>
                      </w:rPr>
                      <w:t>一^</w:t>
                    </w:r>
                    <w:r>
                      <w:rPr>
                        <w:b/>
                        <w:bCs/>
                        <w:color w:val="5199CB"/>
                        <w:spacing w:val="0"/>
                        <w:w w:val="100"/>
                        <w:position w:val="0"/>
                      </w:rPr>
                      <w:t>神州泰岳</w:t>
                    </w:r>
                  </w:p>
                </w:txbxContent>
              </v:textbox>
              <w10:wrap anchorx="page" anchory="page"/>
            </v:shape>
          </w:pict>
        </mc:Fallback>
      </mc:AlternateContent>
    </w:r>
    <w:r>
      <mc:AlternateContent>
        <mc:Choice Requires="wps">
          <w:drawing>
            <wp:anchor distT="0" distB="0" distL="0" distR="0" simplePos="0" relativeHeight="62915570" behindDoc="1" locked="0" layoutInCell="1" allowOverlap="1">
              <wp:simplePos x="0" y="0"/>
              <wp:positionH relativeFrom="page">
                <wp:posOffset>4156075</wp:posOffset>
              </wp:positionH>
              <wp:positionV relativeFrom="page">
                <wp:posOffset>892810</wp:posOffset>
              </wp:positionV>
              <wp:extent cx="2673350" cy="106680"/>
              <wp:wrapNone/>
              <wp:docPr id="1272" name="Shape 1272"/>
              <a:graphic xmlns:a="http://schemas.openxmlformats.org/drawingml/2006/main">
                <a:graphicData uri="http://schemas.microsoft.com/office/word/2010/wordprocessingShape">
                  <wps:wsp>
                    <wps:cNvSpPr txBox="1"/>
                    <wps:spPr>
                      <a:xfrm>
                        <a:ext cx="2673350" cy="10668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2298" type="#_x0000_t202" style="position:absolute;margin-left:327.25pt;margin-top:70.299999999999997pt;width:210.5pt;height:8.4000000000000004pt;z-index:-188743183;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715010</wp:posOffset>
              </wp:positionH>
              <wp:positionV relativeFrom="page">
                <wp:posOffset>1042035</wp:posOffset>
              </wp:positionV>
              <wp:extent cx="6160135" cy="0"/>
              <wp:wrapNone/>
              <wp:docPr id="1274" name="Shape 1274"/>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6.300000000000004pt;margin-top:82.049999999999997pt;width:485.05000000000001pt;height:0;z-index:-251658240;mso-position-horizontal-relative:page;mso-position-vertical-relative:page">
              <v:stroke weight="1.pt"/>
            </v:shape>
          </w:pict>
        </mc:Fallback>
      </mc:AlternateContent>
    </w:r>
  </w:p>
</w:hdr>
</file>

<file path=word/header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0" behindDoc="1" locked="0" layoutInCell="1" allowOverlap="1">
              <wp:simplePos x="0" y="0"/>
              <wp:positionH relativeFrom="page">
                <wp:posOffset>718820</wp:posOffset>
              </wp:positionH>
              <wp:positionV relativeFrom="page">
                <wp:posOffset>641985</wp:posOffset>
              </wp:positionV>
              <wp:extent cx="1012190" cy="283210"/>
              <wp:wrapNone/>
              <wp:docPr id="234" name="Shape 234"/>
              <a:graphic xmlns:a="http://schemas.openxmlformats.org/drawingml/2006/main">
                <a:graphicData uri="http://schemas.microsoft.com/office/word/2010/wordprocessingShape">
                  <wps:wsp>
                    <wps:cNvSpPr txBox="1"/>
                    <wps:spPr>
                      <a:xfrm>
                        <a:ext cx="1012190" cy="283210"/>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b/>
                              <w:bCs/>
                              <w:i/>
                              <w:iCs/>
                              <w:color w:val="6DB14A"/>
                              <w:spacing w:val="0"/>
                              <w:w w:val="100"/>
                              <w:position w:val="0"/>
                              <w:sz w:val="18"/>
                              <w:szCs w:val="18"/>
                            </w:rPr>
                            <w:t>、、</w:t>
                          </w:r>
                          <w:r>
                            <w:rPr>
                              <w:rFonts w:ascii="SimSun" w:eastAsia="SimSun" w:hAnsi="SimSun" w:cs="SimSun"/>
                              <w:b/>
                              <w:bCs/>
                              <w:color w:val="6DB14A"/>
                              <w:spacing w:val="0"/>
                              <w:w w:val="100"/>
                              <w:position w:val="0"/>
                              <w:sz w:val="17"/>
                              <w:szCs w:val="17"/>
                            </w:rPr>
                            <w:t>一^</w:t>
                          </w:r>
                          <w:r>
                            <w:rPr>
                              <w:rFonts w:ascii="SimSun" w:eastAsia="SimSun" w:hAnsi="SimSun" w:cs="SimSun"/>
                              <w:b/>
                              <w:bCs/>
                              <w:color w:val="5199CB"/>
                              <w:spacing w:val="0"/>
                              <w:w w:val="100"/>
                              <w:position w:val="0"/>
                              <w:sz w:val="17"/>
                              <w:szCs w:val="17"/>
                            </w:rPr>
                            <w:t>神州泰岳</w:t>
                          </w:r>
                        </w:p>
                      </w:txbxContent>
                    </wps:txbx>
                    <wps:bodyPr wrap="none" lIns="0" tIns="0" rIns="0" bIns="0">
                      <a:spAutoFit/>
                    </wps:bodyPr>
                  </wps:wsp>
                </a:graphicData>
              </a:graphic>
            </wp:anchor>
          </w:drawing>
        </mc:Choice>
        <mc:Fallback>
          <w:pict>
            <v:shape id="_x0000_s1260" type="#_x0000_t202" style="position:absolute;margin-left:56.600000000000001pt;margin-top:50.550000000000004pt;width:79.700000000000003pt;height:22.300000000000001pt;z-index:-188743973;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b/>
                        <w:bCs/>
                        <w:i/>
                        <w:iCs/>
                        <w:color w:val="6DB14A"/>
                        <w:spacing w:val="0"/>
                        <w:w w:val="100"/>
                        <w:position w:val="0"/>
                        <w:sz w:val="18"/>
                        <w:szCs w:val="18"/>
                      </w:rPr>
                      <w:t>、、</w:t>
                    </w:r>
                    <w:r>
                      <w:rPr>
                        <w:rFonts w:ascii="SimSun" w:eastAsia="SimSun" w:hAnsi="SimSun" w:cs="SimSun"/>
                        <w:b/>
                        <w:bCs/>
                        <w:color w:val="6DB14A"/>
                        <w:spacing w:val="0"/>
                        <w:w w:val="100"/>
                        <w:position w:val="0"/>
                        <w:sz w:val="17"/>
                        <w:szCs w:val="17"/>
                      </w:rPr>
                      <w:t>一^</w:t>
                    </w:r>
                    <w:r>
                      <w:rPr>
                        <w:rFonts w:ascii="SimSun" w:eastAsia="SimSun" w:hAnsi="SimSun" w:cs="SimSun"/>
                        <w:b/>
                        <w:bCs/>
                        <w:color w:val="5199CB"/>
                        <w:spacing w:val="0"/>
                        <w:w w:val="100"/>
                        <w:position w:val="0"/>
                        <w:sz w:val="17"/>
                        <w:szCs w:val="17"/>
                      </w:rPr>
                      <w:t>神州泰岳</w:t>
                    </w:r>
                  </w:p>
                </w:txbxContent>
              </v:textbox>
              <w10:wrap anchorx="page" anchory="page"/>
            </v:shape>
          </w:pict>
        </mc:Fallback>
      </mc:AlternateContent>
    </w:r>
    <w:r>
      <mc:AlternateContent>
        <mc:Choice Requires="wps">
          <w:drawing>
            <wp:anchor distT="0" distB="0" distL="0" distR="0" simplePos="0" relativeHeight="62914782" behindDoc="1" locked="0" layoutInCell="1" allowOverlap="1">
              <wp:simplePos x="0" y="0"/>
              <wp:positionH relativeFrom="page">
                <wp:posOffset>4141470</wp:posOffset>
              </wp:positionH>
              <wp:positionV relativeFrom="page">
                <wp:posOffset>830580</wp:posOffset>
              </wp:positionV>
              <wp:extent cx="2673350" cy="106680"/>
              <wp:wrapNone/>
              <wp:docPr id="236" name="Shape 236"/>
              <a:graphic xmlns:a="http://schemas.openxmlformats.org/drawingml/2006/main">
                <a:graphicData uri="http://schemas.microsoft.com/office/word/2010/wordprocessingShape">
                  <wps:wsp>
                    <wps:cNvSpPr txBox="1"/>
                    <wps:spPr>
                      <a:xfrm>
                        <a:ext cx="2673350" cy="106680"/>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北京神州泰岳软件股份有限公司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262" type="#_x0000_t202" style="position:absolute;margin-left:326.10000000000002pt;margin-top:65.400000000000006pt;width:210.5pt;height:8.4000000000000004pt;z-index:-188743971;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北京神州泰岳软件股份有限公司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700405</wp:posOffset>
              </wp:positionH>
              <wp:positionV relativeFrom="page">
                <wp:posOffset>979805</wp:posOffset>
              </wp:positionV>
              <wp:extent cx="6160135" cy="0"/>
              <wp:wrapNone/>
              <wp:docPr id="238" name="Shape 238"/>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5.149999999999999pt;margin-top:77.150000000000006pt;width:485.05000000000001pt;height:0;z-index:-251658240;mso-position-horizontal-relative:page;mso-position-vertical-relative:page">
              <v:stroke weight="1.pt"/>
            </v:shape>
          </w:pict>
        </mc:Fallback>
      </mc:AlternateContent>
    </w:r>
  </w:p>
</w:hdr>
</file>

<file path=word/header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6" behindDoc="1" locked="0" layoutInCell="1" allowOverlap="1">
              <wp:simplePos x="0" y="0"/>
              <wp:positionH relativeFrom="page">
                <wp:posOffset>718820</wp:posOffset>
              </wp:positionH>
              <wp:positionV relativeFrom="page">
                <wp:posOffset>641985</wp:posOffset>
              </wp:positionV>
              <wp:extent cx="1012190" cy="283210"/>
              <wp:wrapNone/>
              <wp:docPr id="241" name="Shape 241"/>
              <a:graphic xmlns:a="http://schemas.openxmlformats.org/drawingml/2006/main">
                <a:graphicData uri="http://schemas.microsoft.com/office/word/2010/wordprocessingShape">
                  <wps:wsp>
                    <wps:cNvSpPr txBox="1"/>
                    <wps:spPr>
                      <a:xfrm>
                        <a:ext cx="1012190" cy="283210"/>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b/>
                              <w:bCs/>
                              <w:i/>
                              <w:iCs/>
                              <w:color w:val="6DB14A"/>
                              <w:spacing w:val="0"/>
                              <w:w w:val="100"/>
                              <w:position w:val="0"/>
                              <w:sz w:val="18"/>
                              <w:szCs w:val="18"/>
                            </w:rPr>
                            <w:t>、、</w:t>
                          </w:r>
                          <w:r>
                            <w:rPr>
                              <w:rFonts w:ascii="SimSun" w:eastAsia="SimSun" w:hAnsi="SimSun" w:cs="SimSun"/>
                              <w:b/>
                              <w:bCs/>
                              <w:color w:val="6DB14A"/>
                              <w:spacing w:val="0"/>
                              <w:w w:val="100"/>
                              <w:position w:val="0"/>
                              <w:sz w:val="17"/>
                              <w:szCs w:val="17"/>
                            </w:rPr>
                            <w:t>一^</w:t>
                          </w:r>
                          <w:r>
                            <w:rPr>
                              <w:rFonts w:ascii="SimSun" w:eastAsia="SimSun" w:hAnsi="SimSun" w:cs="SimSun"/>
                              <w:b/>
                              <w:bCs/>
                              <w:color w:val="5199CB"/>
                              <w:spacing w:val="0"/>
                              <w:w w:val="100"/>
                              <w:position w:val="0"/>
                              <w:sz w:val="17"/>
                              <w:szCs w:val="17"/>
                            </w:rPr>
                            <w:t>神州泰岳</w:t>
                          </w:r>
                        </w:p>
                      </w:txbxContent>
                    </wps:txbx>
                    <wps:bodyPr wrap="none" lIns="0" tIns="0" rIns="0" bIns="0">
                      <a:spAutoFit/>
                    </wps:bodyPr>
                  </wps:wsp>
                </a:graphicData>
              </a:graphic>
            </wp:anchor>
          </w:drawing>
        </mc:Choice>
        <mc:Fallback>
          <w:pict>
            <v:shape id="_x0000_s1267" type="#_x0000_t202" style="position:absolute;margin-left:56.600000000000001pt;margin-top:50.550000000000004pt;width:79.700000000000003pt;height:22.300000000000001pt;z-index:-188743967;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b/>
                        <w:bCs/>
                        <w:i/>
                        <w:iCs/>
                        <w:color w:val="6DB14A"/>
                        <w:spacing w:val="0"/>
                        <w:w w:val="100"/>
                        <w:position w:val="0"/>
                        <w:sz w:val="18"/>
                        <w:szCs w:val="18"/>
                      </w:rPr>
                      <w:t>、、</w:t>
                    </w:r>
                    <w:r>
                      <w:rPr>
                        <w:rFonts w:ascii="SimSun" w:eastAsia="SimSun" w:hAnsi="SimSun" w:cs="SimSun"/>
                        <w:b/>
                        <w:bCs/>
                        <w:color w:val="6DB14A"/>
                        <w:spacing w:val="0"/>
                        <w:w w:val="100"/>
                        <w:position w:val="0"/>
                        <w:sz w:val="17"/>
                        <w:szCs w:val="17"/>
                      </w:rPr>
                      <w:t>一^</w:t>
                    </w:r>
                    <w:r>
                      <w:rPr>
                        <w:rFonts w:ascii="SimSun" w:eastAsia="SimSun" w:hAnsi="SimSun" w:cs="SimSun"/>
                        <w:b/>
                        <w:bCs/>
                        <w:color w:val="5199CB"/>
                        <w:spacing w:val="0"/>
                        <w:w w:val="100"/>
                        <w:position w:val="0"/>
                        <w:sz w:val="17"/>
                        <w:szCs w:val="17"/>
                      </w:rPr>
                      <w:t>神州泰岳</w:t>
                    </w:r>
                  </w:p>
                </w:txbxContent>
              </v:textbox>
              <w10:wrap anchorx="page" anchory="page"/>
            </v:shape>
          </w:pict>
        </mc:Fallback>
      </mc:AlternateContent>
    </w:r>
    <w:r>
      <mc:AlternateContent>
        <mc:Choice Requires="wps">
          <w:drawing>
            <wp:anchor distT="0" distB="0" distL="0" distR="0" simplePos="0" relativeHeight="62914788" behindDoc="1" locked="0" layoutInCell="1" allowOverlap="1">
              <wp:simplePos x="0" y="0"/>
              <wp:positionH relativeFrom="page">
                <wp:posOffset>4141470</wp:posOffset>
              </wp:positionH>
              <wp:positionV relativeFrom="page">
                <wp:posOffset>830580</wp:posOffset>
              </wp:positionV>
              <wp:extent cx="2673350" cy="106680"/>
              <wp:wrapNone/>
              <wp:docPr id="243" name="Shape 243"/>
              <a:graphic xmlns:a="http://schemas.openxmlformats.org/drawingml/2006/main">
                <a:graphicData uri="http://schemas.microsoft.com/office/word/2010/wordprocessingShape">
                  <wps:wsp>
                    <wps:cNvSpPr txBox="1"/>
                    <wps:spPr>
                      <a:xfrm>
                        <a:ext cx="2673350" cy="106680"/>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北京神州泰岳软件股份有限公司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269" type="#_x0000_t202" style="position:absolute;margin-left:326.10000000000002pt;margin-top:65.400000000000006pt;width:210.5pt;height:8.4000000000000004pt;z-index:-188743965;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北京神州泰岳软件股份有限公司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700405</wp:posOffset>
              </wp:positionH>
              <wp:positionV relativeFrom="page">
                <wp:posOffset>979805</wp:posOffset>
              </wp:positionV>
              <wp:extent cx="6160135" cy="0"/>
              <wp:wrapNone/>
              <wp:docPr id="245" name="Shape 245"/>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5.149999999999999pt;margin-top:77.150000000000006pt;width:485.05000000000001pt;height:0;z-index:-251658240;mso-position-horizontal-relative:page;mso-position-vertical-relative:page">
              <v:stroke weight="1.pt"/>
            </v:shape>
          </w:pict>
        </mc:Fallback>
      </mc:AlternateContent>
    </w:r>
  </w:p>
</w:hdr>
</file>

<file path=word/header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2" behindDoc="1" locked="0" layoutInCell="1" allowOverlap="1">
              <wp:simplePos x="0" y="0"/>
              <wp:positionH relativeFrom="page">
                <wp:posOffset>719455</wp:posOffset>
              </wp:positionH>
              <wp:positionV relativeFrom="page">
                <wp:posOffset>641985</wp:posOffset>
              </wp:positionV>
              <wp:extent cx="6096000" cy="295910"/>
              <wp:wrapNone/>
              <wp:docPr id="300" name="Shape 300"/>
              <a:graphic xmlns:a="http://schemas.openxmlformats.org/drawingml/2006/main">
                <a:graphicData uri="http://schemas.microsoft.com/office/word/2010/wordprocessingShape">
                  <wps:wsp>
                    <wps:cNvSpPr txBox="1"/>
                    <wps:spPr>
                      <a:xfrm>
                        <a:ext cx="6096000" cy="295910"/>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1F84C4"/>
                              <w:spacing w:val="0"/>
                              <w:w w:val="100"/>
                              <w:position w:val="0"/>
                              <w:sz w:val="17"/>
                              <w:szCs w:val="17"/>
                            </w:rPr>
                            <w:t>斗卜</w:t>
                          </w:r>
                          <w:r>
                            <w:rPr>
                              <w:color w:val="1F84C4"/>
                              <w:spacing w:val="0"/>
                              <w:w w:val="100"/>
                              <w:position w:val="0"/>
                              <w:sz w:val="18"/>
                              <w:szCs w:val="18"/>
                            </w:rPr>
                            <w:t>I</w:t>
                          </w:r>
                          <w:r>
                            <w:rPr>
                              <w:rFonts w:ascii="SimSun" w:eastAsia="SimSun" w:hAnsi="SimSun" w:cs="SimSun"/>
                              <w:color w:val="1F84C4"/>
                              <w:spacing w:val="0"/>
                              <w:w w:val="100"/>
                              <w:position w:val="0"/>
                              <w:sz w:val="17"/>
                              <w:szCs w:val="17"/>
                            </w:rPr>
                            <w:t>..泰</w:t>
                          </w:r>
                          <w:r>
                            <w:rPr>
                              <w:rFonts w:ascii="SimSun" w:eastAsia="SimSun" w:hAnsi="SimSun" w:cs="SimSun"/>
                              <w:color w:val="000000"/>
                              <w:spacing w:val="0"/>
                              <w:w w:val="100"/>
                              <w:position w:val="0"/>
                              <w:sz w:val="17"/>
                              <w:szCs w:val="17"/>
                            </w:rPr>
                            <w:t>北京神州泰岳软件股份有限公司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326" type="#_x0000_t202" style="position:absolute;margin-left:56.649999999999999pt;margin-top:50.550000000000004pt;width:480.pt;height:23.300000000000001pt;z-index:-188743961;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1F84C4"/>
                        <w:spacing w:val="0"/>
                        <w:w w:val="100"/>
                        <w:position w:val="0"/>
                        <w:sz w:val="17"/>
                        <w:szCs w:val="17"/>
                      </w:rPr>
                      <w:t>斗卜</w:t>
                    </w:r>
                    <w:r>
                      <w:rPr>
                        <w:color w:val="1F84C4"/>
                        <w:spacing w:val="0"/>
                        <w:w w:val="100"/>
                        <w:position w:val="0"/>
                        <w:sz w:val="18"/>
                        <w:szCs w:val="18"/>
                      </w:rPr>
                      <w:t>I</w:t>
                    </w:r>
                    <w:r>
                      <w:rPr>
                        <w:rFonts w:ascii="SimSun" w:eastAsia="SimSun" w:hAnsi="SimSun" w:cs="SimSun"/>
                        <w:color w:val="1F84C4"/>
                        <w:spacing w:val="0"/>
                        <w:w w:val="100"/>
                        <w:position w:val="0"/>
                        <w:sz w:val="17"/>
                        <w:szCs w:val="17"/>
                      </w:rPr>
                      <w:t>..泰</w:t>
                    </w:r>
                    <w:r>
                      <w:rPr>
                        <w:rFonts w:ascii="SimSun" w:eastAsia="SimSun" w:hAnsi="SimSun" w:cs="SimSun"/>
                        <w:color w:val="000000"/>
                        <w:spacing w:val="0"/>
                        <w:w w:val="100"/>
                        <w:position w:val="0"/>
                        <w:sz w:val="17"/>
                        <w:szCs w:val="17"/>
                      </w:rPr>
                      <w:t>北京神州泰岳软件股份有限公司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701040</wp:posOffset>
              </wp:positionH>
              <wp:positionV relativeFrom="page">
                <wp:posOffset>1044575</wp:posOffset>
              </wp:positionV>
              <wp:extent cx="6160135" cy="0"/>
              <wp:wrapNone/>
              <wp:docPr id="302" name="Shape 302"/>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5.200000000000003pt;margin-top:82.25pt;width:485.05000000000001pt;height:0;z-index:-251658240;mso-position-horizontal-relative:page;mso-position-vertical-relative:page">
              <v:stroke weight="1.pt"/>
            </v:shape>
          </w:pict>
        </mc:Fallback>
      </mc:AlternateContent>
    </w:r>
  </w:p>
</w:hdr>
</file>

<file path=word/header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6" behindDoc="1" locked="0" layoutInCell="1" allowOverlap="1">
              <wp:simplePos x="0" y="0"/>
              <wp:positionH relativeFrom="page">
                <wp:posOffset>719455</wp:posOffset>
              </wp:positionH>
              <wp:positionV relativeFrom="page">
                <wp:posOffset>641985</wp:posOffset>
              </wp:positionV>
              <wp:extent cx="6096000" cy="295910"/>
              <wp:wrapNone/>
              <wp:docPr id="305" name="Shape 305"/>
              <a:graphic xmlns:a="http://schemas.openxmlformats.org/drawingml/2006/main">
                <a:graphicData uri="http://schemas.microsoft.com/office/word/2010/wordprocessingShape">
                  <wps:wsp>
                    <wps:cNvSpPr txBox="1"/>
                    <wps:spPr>
                      <a:xfrm>
                        <a:ext cx="6096000" cy="295910"/>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1F84C4"/>
                              <w:spacing w:val="0"/>
                              <w:w w:val="100"/>
                              <w:position w:val="0"/>
                              <w:sz w:val="17"/>
                              <w:szCs w:val="17"/>
                            </w:rPr>
                            <w:t>斗卜</w:t>
                          </w:r>
                          <w:r>
                            <w:rPr>
                              <w:color w:val="1F84C4"/>
                              <w:spacing w:val="0"/>
                              <w:w w:val="100"/>
                              <w:position w:val="0"/>
                              <w:sz w:val="18"/>
                              <w:szCs w:val="18"/>
                            </w:rPr>
                            <w:t>I</w:t>
                          </w:r>
                          <w:r>
                            <w:rPr>
                              <w:rFonts w:ascii="SimSun" w:eastAsia="SimSun" w:hAnsi="SimSun" w:cs="SimSun"/>
                              <w:color w:val="1F84C4"/>
                              <w:spacing w:val="0"/>
                              <w:w w:val="100"/>
                              <w:position w:val="0"/>
                              <w:sz w:val="17"/>
                              <w:szCs w:val="17"/>
                            </w:rPr>
                            <w:t>..泰</w:t>
                          </w:r>
                          <w:r>
                            <w:rPr>
                              <w:rFonts w:ascii="SimSun" w:eastAsia="SimSun" w:hAnsi="SimSun" w:cs="SimSun"/>
                              <w:color w:val="000000"/>
                              <w:spacing w:val="0"/>
                              <w:w w:val="100"/>
                              <w:position w:val="0"/>
                              <w:sz w:val="17"/>
                              <w:szCs w:val="17"/>
                            </w:rPr>
                            <w:t>北京神州泰岳软件股份有限公司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331" type="#_x0000_t202" style="position:absolute;margin-left:56.649999999999999pt;margin-top:50.550000000000004pt;width:480.pt;height:23.300000000000001pt;z-index:-188743957;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1F84C4"/>
                        <w:spacing w:val="0"/>
                        <w:w w:val="100"/>
                        <w:position w:val="0"/>
                        <w:sz w:val="17"/>
                        <w:szCs w:val="17"/>
                      </w:rPr>
                      <w:t>斗卜</w:t>
                    </w:r>
                    <w:r>
                      <w:rPr>
                        <w:color w:val="1F84C4"/>
                        <w:spacing w:val="0"/>
                        <w:w w:val="100"/>
                        <w:position w:val="0"/>
                        <w:sz w:val="18"/>
                        <w:szCs w:val="18"/>
                      </w:rPr>
                      <w:t>I</w:t>
                    </w:r>
                    <w:r>
                      <w:rPr>
                        <w:rFonts w:ascii="SimSun" w:eastAsia="SimSun" w:hAnsi="SimSun" w:cs="SimSun"/>
                        <w:color w:val="1F84C4"/>
                        <w:spacing w:val="0"/>
                        <w:w w:val="100"/>
                        <w:position w:val="0"/>
                        <w:sz w:val="17"/>
                        <w:szCs w:val="17"/>
                      </w:rPr>
                      <w:t>..泰</w:t>
                    </w:r>
                    <w:r>
                      <w:rPr>
                        <w:rFonts w:ascii="SimSun" w:eastAsia="SimSun" w:hAnsi="SimSun" w:cs="SimSun"/>
                        <w:color w:val="000000"/>
                        <w:spacing w:val="0"/>
                        <w:w w:val="100"/>
                        <w:position w:val="0"/>
                        <w:sz w:val="17"/>
                        <w:szCs w:val="17"/>
                      </w:rPr>
                      <w:t>北京神州泰岳软件股份有限公司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701040</wp:posOffset>
              </wp:positionH>
              <wp:positionV relativeFrom="page">
                <wp:posOffset>1044575</wp:posOffset>
              </wp:positionV>
              <wp:extent cx="6160135" cy="0"/>
              <wp:wrapNone/>
              <wp:docPr id="307" name="Shape 307"/>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5.200000000000003pt;margin-top:82.25pt;width:485.05000000000001pt;height:0;z-index:-251658240;mso-position-horizontal-relative:page;mso-position-vertical-relative:page">
              <v:stroke weight="1.pt"/>
            </v:shape>
          </w:pict>
        </mc:Fallback>
      </mc:AlternateContent>
    </w:r>
  </w:p>
</w:hdr>
</file>

<file path=word/header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4" behindDoc="1" locked="0" layoutInCell="1" allowOverlap="1">
              <wp:simplePos x="0" y="0"/>
              <wp:positionH relativeFrom="page">
                <wp:posOffset>718820</wp:posOffset>
              </wp:positionH>
              <wp:positionV relativeFrom="page">
                <wp:posOffset>641985</wp:posOffset>
              </wp:positionV>
              <wp:extent cx="1012190" cy="283210"/>
              <wp:wrapNone/>
              <wp:docPr id="315" name="Shape 315"/>
              <a:graphic xmlns:a="http://schemas.openxmlformats.org/drawingml/2006/main">
                <a:graphicData uri="http://schemas.microsoft.com/office/word/2010/wordprocessingShape">
                  <wps:wsp>
                    <wps:cNvSpPr txBox="1"/>
                    <wps:spPr>
                      <a:xfrm>
                        <a:ext cx="1012190" cy="283210"/>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b/>
                              <w:bCs/>
                              <w:i/>
                              <w:iCs/>
                              <w:color w:val="6DB14A"/>
                              <w:spacing w:val="0"/>
                              <w:w w:val="100"/>
                              <w:position w:val="0"/>
                              <w:sz w:val="18"/>
                              <w:szCs w:val="18"/>
                            </w:rPr>
                            <w:t>、、</w:t>
                          </w:r>
                          <w:r>
                            <w:rPr>
                              <w:rFonts w:ascii="SimSun" w:eastAsia="SimSun" w:hAnsi="SimSun" w:cs="SimSun"/>
                              <w:b/>
                              <w:bCs/>
                              <w:color w:val="6DB14A"/>
                              <w:spacing w:val="0"/>
                              <w:w w:val="100"/>
                              <w:position w:val="0"/>
                              <w:sz w:val="17"/>
                              <w:szCs w:val="17"/>
                            </w:rPr>
                            <w:t>一^</w:t>
                          </w:r>
                          <w:r>
                            <w:rPr>
                              <w:rFonts w:ascii="SimSun" w:eastAsia="SimSun" w:hAnsi="SimSun" w:cs="SimSun"/>
                              <w:b/>
                              <w:bCs/>
                              <w:color w:val="5199CB"/>
                              <w:spacing w:val="0"/>
                              <w:w w:val="100"/>
                              <w:position w:val="0"/>
                              <w:sz w:val="17"/>
                              <w:szCs w:val="17"/>
                            </w:rPr>
                            <w:t>神州泰岳</w:t>
                          </w:r>
                        </w:p>
                      </w:txbxContent>
                    </wps:txbx>
                    <wps:bodyPr wrap="none" lIns="0" tIns="0" rIns="0" bIns="0">
                      <a:spAutoFit/>
                    </wps:bodyPr>
                  </wps:wsp>
                </a:graphicData>
              </a:graphic>
            </wp:anchor>
          </w:drawing>
        </mc:Choice>
        <mc:Fallback>
          <w:pict>
            <v:shape id="_x0000_s1341" type="#_x0000_t202" style="position:absolute;margin-left:56.600000000000001pt;margin-top:50.550000000000004pt;width:79.700000000000003pt;height:22.300000000000001pt;z-index:-188743949;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b/>
                        <w:bCs/>
                        <w:i/>
                        <w:iCs/>
                        <w:color w:val="6DB14A"/>
                        <w:spacing w:val="0"/>
                        <w:w w:val="100"/>
                        <w:position w:val="0"/>
                        <w:sz w:val="18"/>
                        <w:szCs w:val="18"/>
                      </w:rPr>
                      <w:t>、、</w:t>
                    </w:r>
                    <w:r>
                      <w:rPr>
                        <w:rFonts w:ascii="SimSun" w:eastAsia="SimSun" w:hAnsi="SimSun" w:cs="SimSun"/>
                        <w:b/>
                        <w:bCs/>
                        <w:color w:val="6DB14A"/>
                        <w:spacing w:val="0"/>
                        <w:w w:val="100"/>
                        <w:position w:val="0"/>
                        <w:sz w:val="17"/>
                        <w:szCs w:val="17"/>
                      </w:rPr>
                      <w:t>一^</w:t>
                    </w:r>
                    <w:r>
                      <w:rPr>
                        <w:rFonts w:ascii="SimSun" w:eastAsia="SimSun" w:hAnsi="SimSun" w:cs="SimSun"/>
                        <w:b/>
                        <w:bCs/>
                        <w:color w:val="5199CB"/>
                        <w:spacing w:val="0"/>
                        <w:w w:val="100"/>
                        <w:position w:val="0"/>
                        <w:sz w:val="17"/>
                        <w:szCs w:val="17"/>
                      </w:rPr>
                      <w:t>神州泰岳</w:t>
                    </w:r>
                  </w:p>
                </w:txbxContent>
              </v:textbox>
              <w10:wrap anchorx="page" anchory="page"/>
            </v:shape>
          </w:pict>
        </mc:Fallback>
      </mc:AlternateContent>
    </w:r>
    <w:r>
      <mc:AlternateContent>
        <mc:Choice Requires="wps">
          <w:drawing>
            <wp:anchor distT="0" distB="0" distL="0" distR="0" simplePos="0" relativeHeight="62914806" behindDoc="1" locked="0" layoutInCell="1" allowOverlap="1">
              <wp:simplePos x="0" y="0"/>
              <wp:positionH relativeFrom="page">
                <wp:posOffset>4141470</wp:posOffset>
              </wp:positionH>
              <wp:positionV relativeFrom="page">
                <wp:posOffset>830580</wp:posOffset>
              </wp:positionV>
              <wp:extent cx="2673350" cy="106680"/>
              <wp:wrapNone/>
              <wp:docPr id="317" name="Shape 317"/>
              <a:graphic xmlns:a="http://schemas.openxmlformats.org/drawingml/2006/main">
                <a:graphicData uri="http://schemas.microsoft.com/office/word/2010/wordprocessingShape">
                  <wps:wsp>
                    <wps:cNvSpPr txBox="1"/>
                    <wps:spPr>
                      <a:xfrm>
                        <a:ext cx="2673350" cy="106680"/>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北京神州泰岳软件股份有限公司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343" type="#_x0000_t202" style="position:absolute;margin-left:326.10000000000002pt;margin-top:65.400000000000006pt;width:210.5pt;height:8.4000000000000004pt;z-index:-188743947;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北京神州泰岳软件股份有限公司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700405</wp:posOffset>
              </wp:positionH>
              <wp:positionV relativeFrom="page">
                <wp:posOffset>979805</wp:posOffset>
              </wp:positionV>
              <wp:extent cx="6160135" cy="0"/>
              <wp:wrapNone/>
              <wp:docPr id="319" name="Shape 319"/>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5.149999999999999pt;margin-top:77.150000000000006pt;width:485.05000000000001pt;height:0;z-index:-251658240;mso-position-horizontal-relative:page;mso-position-vertical-relative:page">
              <v:stroke weight="1.pt"/>
            </v:shape>
          </w:pict>
        </mc:Fallback>
      </mc:AlternateContent>
    </w:r>
  </w:p>
</w:hdr>
</file>

<file path=word/header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0" behindDoc="1" locked="0" layoutInCell="1" allowOverlap="1">
              <wp:simplePos x="0" y="0"/>
              <wp:positionH relativeFrom="page">
                <wp:posOffset>718820</wp:posOffset>
              </wp:positionH>
              <wp:positionV relativeFrom="page">
                <wp:posOffset>641985</wp:posOffset>
              </wp:positionV>
              <wp:extent cx="1012190" cy="283210"/>
              <wp:wrapNone/>
              <wp:docPr id="322" name="Shape 322"/>
              <a:graphic xmlns:a="http://schemas.openxmlformats.org/drawingml/2006/main">
                <a:graphicData uri="http://schemas.microsoft.com/office/word/2010/wordprocessingShape">
                  <wps:wsp>
                    <wps:cNvSpPr txBox="1"/>
                    <wps:spPr>
                      <a:xfrm>
                        <a:ext cx="1012190" cy="283210"/>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b/>
                              <w:bCs/>
                              <w:i/>
                              <w:iCs/>
                              <w:color w:val="6DB14A"/>
                              <w:spacing w:val="0"/>
                              <w:w w:val="100"/>
                              <w:position w:val="0"/>
                              <w:sz w:val="18"/>
                              <w:szCs w:val="18"/>
                            </w:rPr>
                            <w:t>、、</w:t>
                          </w:r>
                          <w:r>
                            <w:rPr>
                              <w:rFonts w:ascii="SimSun" w:eastAsia="SimSun" w:hAnsi="SimSun" w:cs="SimSun"/>
                              <w:b/>
                              <w:bCs/>
                              <w:color w:val="6DB14A"/>
                              <w:spacing w:val="0"/>
                              <w:w w:val="100"/>
                              <w:position w:val="0"/>
                              <w:sz w:val="17"/>
                              <w:szCs w:val="17"/>
                            </w:rPr>
                            <w:t>一^</w:t>
                          </w:r>
                          <w:r>
                            <w:rPr>
                              <w:rFonts w:ascii="SimSun" w:eastAsia="SimSun" w:hAnsi="SimSun" w:cs="SimSun"/>
                              <w:b/>
                              <w:bCs/>
                              <w:color w:val="5199CB"/>
                              <w:spacing w:val="0"/>
                              <w:w w:val="100"/>
                              <w:position w:val="0"/>
                              <w:sz w:val="17"/>
                              <w:szCs w:val="17"/>
                            </w:rPr>
                            <w:t>神州泰岳</w:t>
                          </w:r>
                        </w:p>
                      </w:txbxContent>
                    </wps:txbx>
                    <wps:bodyPr wrap="none" lIns="0" tIns="0" rIns="0" bIns="0">
                      <a:spAutoFit/>
                    </wps:bodyPr>
                  </wps:wsp>
                </a:graphicData>
              </a:graphic>
            </wp:anchor>
          </w:drawing>
        </mc:Choice>
        <mc:Fallback>
          <w:pict>
            <v:shape id="_x0000_s1348" type="#_x0000_t202" style="position:absolute;margin-left:56.600000000000001pt;margin-top:50.550000000000004pt;width:79.700000000000003pt;height:22.300000000000001pt;z-index:-188743943;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b/>
                        <w:bCs/>
                        <w:i/>
                        <w:iCs/>
                        <w:color w:val="6DB14A"/>
                        <w:spacing w:val="0"/>
                        <w:w w:val="100"/>
                        <w:position w:val="0"/>
                        <w:sz w:val="18"/>
                        <w:szCs w:val="18"/>
                      </w:rPr>
                      <w:t>、、</w:t>
                    </w:r>
                    <w:r>
                      <w:rPr>
                        <w:rFonts w:ascii="SimSun" w:eastAsia="SimSun" w:hAnsi="SimSun" w:cs="SimSun"/>
                        <w:b/>
                        <w:bCs/>
                        <w:color w:val="6DB14A"/>
                        <w:spacing w:val="0"/>
                        <w:w w:val="100"/>
                        <w:position w:val="0"/>
                        <w:sz w:val="17"/>
                        <w:szCs w:val="17"/>
                      </w:rPr>
                      <w:t>一^</w:t>
                    </w:r>
                    <w:r>
                      <w:rPr>
                        <w:rFonts w:ascii="SimSun" w:eastAsia="SimSun" w:hAnsi="SimSun" w:cs="SimSun"/>
                        <w:b/>
                        <w:bCs/>
                        <w:color w:val="5199CB"/>
                        <w:spacing w:val="0"/>
                        <w:w w:val="100"/>
                        <w:position w:val="0"/>
                        <w:sz w:val="17"/>
                        <w:szCs w:val="17"/>
                      </w:rPr>
                      <w:t>神州泰岳</w:t>
                    </w:r>
                  </w:p>
                </w:txbxContent>
              </v:textbox>
              <w10:wrap anchorx="page" anchory="page"/>
            </v:shape>
          </w:pict>
        </mc:Fallback>
      </mc:AlternateContent>
    </w:r>
    <w:r>
      <mc:AlternateContent>
        <mc:Choice Requires="wps">
          <w:drawing>
            <wp:anchor distT="0" distB="0" distL="0" distR="0" simplePos="0" relativeHeight="62914812" behindDoc="1" locked="0" layoutInCell="1" allowOverlap="1">
              <wp:simplePos x="0" y="0"/>
              <wp:positionH relativeFrom="page">
                <wp:posOffset>4141470</wp:posOffset>
              </wp:positionH>
              <wp:positionV relativeFrom="page">
                <wp:posOffset>830580</wp:posOffset>
              </wp:positionV>
              <wp:extent cx="2673350" cy="106680"/>
              <wp:wrapNone/>
              <wp:docPr id="324" name="Shape 324"/>
              <a:graphic xmlns:a="http://schemas.openxmlformats.org/drawingml/2006/main">
                <a:graphicData uri="http://schemas.microsoft.com/office/word/2010/wordprocessingShape">
                  <wps:wsp>
                    <wps:cNvSpPr txBox="1"/>
                    <wps:spPr>
                      <a:xfrm>
                        <a:ext cx="2673350" cy="106680"/>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北京神州泰岳软件股份有限公司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350" type="#_x0000_t202" style="position:absolute;margin-left:326.10000000000002pt;margin-top:65.400000000000006pt;width:210.5pt;height:8.4000000000000004pt;z-index:-188743941;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北京神州泰岳软件股份有限公司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700405</wp:posOffset>
              </wp:positionH>
              <wp:positionV relativeFrom="page">
                <wp:posOffset>979805</wp:posOffset>
              </wp:positionV>
              <wp:extent cx="6160135" cy="0"/>
              <wp:wrapNone/>
              <wp:docPr id="326" name="Shape 326"/>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5.149999999999999pt;margin-top:77.150000000000006pt;width:485.05000000000001pt;height:0;z-index:-251658240;mso-position-horizontal-relative:page;mso-position-vertical-relative:page">
              <v:stroke weight="1.pt"/>
            </v:shape>
          </w:pict>
        </mc:Fallback>
      </mc:AlternateContent>
    </w:r>
  </w:p>
</w:hdr>
</file>

<file path=word/header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0" behindDoc="1" locked="0" layoutInCell="1" allowOverlap="1">
              <wp:simplePos x="0" y="0"/>
              <wp:positionH relativeFrom="page">
                <wp:posOffset>719455</wp:posOffset>
              </wp:positionH>
              <wp:positionV relativeFrom="page">
                <wp:posOffset>641985</wp:posOffset>
              </wp:positionV>
              <wp:extent cx="6096000" cy="295910"/>
              <wp:wrapNone/>
              <wp:docPr id="345" name="Shape 345"/>
              <a:graphic xmlns:a="http://schemas.openxmlformats.org/drawingml/2006/main">
                <a:graphicData uri="http://schemas.microsoft.com/office/word/2010/wordprocessingShape">
                  <wps:wsp>
                    <wps:cNvSpPr txBox="1"/>
                    <wps:spPr>
                      <a:xfrm>
                        <a:ext cx="6096000" cy="295910"/>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1F84C4"/>
                              <w:spacing w:val="0"/>
                              <w:w w:val="100"/>
                              <w:position w:val="0"/>
                              <w:sz w:val="17"/>
                              <w:szCs w:val="17"/>
                            </w:rPr>
                            <w:t>斗卜</w:t>
                          </w:r>
                          <w:r>
                            <w:rPr>
                              <w:color w:val="1F84C4"/>
                              <w:spacing w:val="0"/>
                              <w:w w:val="100"/>
                              <w:position w:val="0"/>
                              <w:sz w:val="18"/>
                              <w:szCs w:val="18"/>
                            </w:rPr>
                            <w:t>I</w:t>
                          </w:r>
                          <w:r>
                            <w:rPr>
                              <w:rFonts w:ascii="SimSun" w:eastAsia="SimSun" w:hAnsi="SimSun" w:cs="SimSun"/>
                              <w:color w:val="1F84C4"/>
                              <w:spacing w:val="0"/>
                              <w:w w:val="100"/>
                              <w:position w:val="0"/>
                              <w:sz w:val="17"/>
                              <w:szCs w:val="17"/>
                            </w:rPr>
                            <w:t>..泰</w:t>
                          </w:r>
                          <w:r>
                            <w:rPr>
                              <w:rFonts w:ascii="SimSun" w:eastAsia="SimSun" w:hAnsi="SimSun" w:cs="SimSun"/>
                              <w:color w:val="000000"/>
                              <w:spacing w:val="0"/>
                              <w:w w:val="100"/>
                              <w:position w:val="0"/>
                              <w:sz w:val="17"/>
                              <w:szCs w:val="17"/>
                            </w:rPr>
                            <w:t>北京神州泰岳软件股份有限公司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371" type="#_x0000_t202" style="position:absolute;margin-left:56.649999999999999pt;margin-top:50.550000000000004pt;width:480.pt;height:23.300000000000001pt;z-index:-188743933;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1F84C4"/>
                        <w:spacing w:val="0"/>
                        <w:w w:val="100"/>
                        <w:position w:val="0"/>
                        <w:sz w:val="17"/>
                        <w:szCs w:val="17"/>
                      </w:rPr>
                      <w:t>斗卜</w:t>
                    </w:r>
                    <w:r>
                      <w:rPr>
                        <w:color w:val="1F84C4"/>
                        <w:spacing w:val="0"/>
                        <w:w w:val="100"/>
                        <w:position w:val="0"/>
                        <w:sz w:val="18"/>
                        <w:szCs w:val="18"/>
                      </w:rPr>
                      <w:t>I</w:t>
                    </w:r>
                    <w:r>
                      <w:rPr>
                        <w:rFonts w:ascii="SimSun" w:eastAsia="SimSun" w:hAnsi="SimSun" w:cs="SimSun"/>
                        <w:color w:val="1F84C4"/>
                        <w:spacing w:val="0"/>
                        <w:w w:val="100"/>
                        <w:position w:val="0"/>
                        <w:sz w:val="17"/>
                        <w:szCs w:val="17"/>
                      </w:rPr>
                      <w:t>..泰</w:t>
                    </w:r>
                    <w:r>
                      <w:rPr>
                        <w:rFonts w:ascii="SimSun" w:eastAsia="SimSun" w:hAnsi="SimSun" w:cs="SimSun"/>
                        <w:color w:val="000000"/>
                        <w:spacing w:val="0"/>
                        <w:w w:val="100"/>
                        <w:position w:val="0"/>
                        <w:sz w:val="17"/>
                        <w:szCs w:val="17"/>
                      </w:rPr>
                      <w:t>北京神州泰岳软件股份有限公司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701040</wp:posOffset>
              </wp:positionH>
              <wp:positionV relativeFrom="page">
                <wp:posOffset>1044575</wp:posOffset>
              </wp:positionV>
              <wp:extent cx="6160135" cy="0"/>
              <wp:wrapNone/>
              <wp:docPr id="347" name="Shape 347"/>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5.200000000000003pt;margin-top:82.25pt;width:485.05000000000001pt;height:0;z-index:-251658240;mso-position-horizontal-relative:page;mso-position-vertical-relative:page">
              <v:stroke weight="1.pt"/>
            </v:shape>
          </w:pict>
        </mc:Fallback>
      </mc:AlternateContent>
    </w:r>
  </w:p>
</w:hdr>
</file>

<file path=word/header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4" behindDoc="1" locked="0" layoutInCell="1" allowOverlap="1">
              <wp:simplePos x="0" y="0"/>
              <wp:positionH relativeFrom="page">
                <wp:posOffset>719455</wp:posOffset>
              </wp:positionH>
              <wp:positionV relativeFrom="page">
                <wp:posOffset>641985</wp:posOffset>
              </wp:positionV>
              <wp:extent cx="6096000" cy="295910"/>
              <wp:wrapNone/>
              <wp:docPr id="350" name="Shape 350"/>
              <a:graphic xmlns:a="http://schemas.openxmlformats.org/drawingml/2006/main">
                <a:graphicData uri="http://schemas.microsoft.com/office/word/2010/wordprocessingShape">
                  <wps:wsp>
                    <wps:cNvSpPr txBox="1"/>
                    <wps:spPr>
                      <a:xfrm>
                        <a:ext cx="6096000" cy="295910"/>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1F84C4"/>
                              <w:spacing w:val="0"/>
                              <w:w w:val="100"/>
                              <w:position w:val="0"/>
                              <w:sz w:val="17"/>
                              <w:szCs w:val="17"/>
                            </w:rPr>
                            <w:t>斗卜</w:t>
                          </w:r>
                          <w:r>
                            <w:rPr>
                              <w:color w:val="1F84C4"/>
                              <w:spacing w:val="0"/>
                              <w:w w:val="100"/>
                              <w:position w:val="0"/>
                              <w:sz w:val="18"/>
                              <w:szCs w:val="18"/>
                            </w:rPr>
                            <w:t>I</w:t>
                          </w:r>
                          <w:r>
                            <w:rPr>
                              <w:rFonts w:ascii="SimSun" w:eastAsia="SimSun" w:hAnsi="SimSun" w:cs="SimSun"/>
                              <w:color w:val="1F84C4"/>
                              <w:spacing w:val="0"/>
                              <w:w w:val="100"/>
                              <w:position w:val="0"/>
                              <w:sz w:val="17"/>
                              <w:szCs w:val="17"/>
                            </w:rPr>
                            <w:t>..泰</w:t>
                          </w:r>
                          <w:r>
                            <w:rPr>
                              <w:rFonts w:ascii="SimSun" w:eastAsia="SimSun" w:hAnsi="SimSun" w:cs="SimSun"/>
                              <w:color w:val="000000"/>
                              <w:spacing w:val="0"/>
                              <w:w w:val="100"/>
                              <w:position w:val="0"/>
                              <w:sz w:val="17"/>
                              <w:szCs w:val="17"/>
                            </w:rPr>
                            <w:t>北京神州泰岳软件股份有限公司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376" type="#_x0000_t202" style="position:absolute;margin-left:56.649999999999999pt;margin-top:50.550000000000004pt;width:480.pt;height:23.300000000000001pt;z-index:-188743929;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1F84C4"/>
                        <w:spacing w:val="0"/>
                        <w:w w:val="100"/>
                        <w:position w:val="0"/>
                        <w:sz w:val="17"/>
                        <w:szCs w:val="17"/>
                      </w:rPr>
                      <w:t>斗卜</w:t>
                    </w:r>
                    <w:r>
                      <w:rPr>
                        <w:color w:val="1F84C4"/>
                        <w:spacing w:val="0"/>
                        <w:w w:val="100"/>
                        <w:position w:val="0"/>
                        <w:sz w:val="18"/>
                        <w:szCs w:val="18"/>
                      </w:rPr>
                      <w:t>I</w:t>
                    </w:r>
                    <w:r>
                      <w:rPr>
                        <w:rFonts w:ascii="SimSun" w:eastAsia="SimSun" w:hAnsi="SimSun" w:cs="SimSun"/>
                        <w:color w:val="1F84C4"/>
                        <w:spacing w:val="0"/>
                        <w:w w:val="100"/>
                        <w:position w:val="0"/>
                        <w:sz w:val="17"/>
                        <w:szCs w:val="17"/>
                      </w:rPr>
                      <w:t>..泰</w:t>
                    </w:r>
                    <w:r>
                      <w:rPr>
                        <w:rFonts w:ascii="SimSun" w:eastAsia="SimSun" w:hAnsi="SimSun" w:cs="SimSun"/>
                        <w:color w:val="000000"/>
                        <w:spacing w:val="0"/>
                        <w:w w:val="100"/>
                        <w:position w:val="0"/>
                        <w:sz w:val="17"/>
                        <w:szCs w:val="17"/>
                      </w:rPr>
                      <w:t>北京神州泰岳软件股份有限公司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701040</wp:posOffset>
              </wp:positionH>
              <wp:positionV relativeFrom="page">
                <wp:posOffset>1044575</wp:posOffset>
              </wp:positionV>
              <wp:extent cx="6160135" cy="0"/>
              <wp:wrapNone/>
              <wp:docPr id="352" name="Shape 352"/>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5.200000000000003pt;margin-top:82.25pt;width:485.05000000000001pt;height:0;z-index:-251658240;mso-position-horizontal-relative:page;mso-position-vertical-relative:page">
              <v:stroke weight="1.pt"/>
            </v:shape>
          </w:pict>
        </mc:Fallback>
      </mc:AlternateContent>
    </w:r>
  </w:p>
</w:hdr>
</file>

<file path=word/header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2" behindDoc="1" locked="0" layoutInCell="1" allowOverlap="1">
              <wp:simplePos x="0" y="0"/>
              <wp:positionH relativeFrom="page">
                <wp:posOffset>718820</wp:posOffset>
              </wp:positionH>
              <wp:positionV relativeFrom="page">
                <wp:posOffset>641985</wp:posOffset>
              </wp:positionV>
              <wp:extent cx="1012190" cy="283210"/>
              <wp:wrapNone/>
              <wp:docPr id="378" name="Shape 378"/>
              <a:graphic xmlns:a="http://schemas.openxmlformats.org/drawingml/2006/main">
                <a:graphicData uri="http://schemas.microsoft.com/office/word/2010/wordprocessingShape">
                  <wps:wsp>
                    <wps:cNvSpPr txBox="1"/>
                    <wps:spPr>
                      <a:xfrm>
                        <a:ext cx="1012190" cy="283210"/>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b/>
                              <w:bCs/>
                              <w:i/>
                              <w:iCs/>
                              <w:color w:val="6DB14A"/>
                              <w:spacing w:val="0"/>
                              <w:w w:val="100"/>
                              <w:position w:val="0"/>
                              <w:sz w:val="18"/>
                              <w:szCs w:val="18"/>
                            </w:rPr>
                            <w:t>、、</w:t>
                          </w:r>
                          <w:r>
                            <w:rPr>
                              <w:rFonts w:ascii="SimSun" w:eastAsia="SimSun" w:hAnsi="SimSun" w:cs="SimSun"/>
                              <w:b/>
                              <w:bCs/>
                              <w:color w:val="6DB14A"/>
                              <w:spacing w:val="0"/>
                              <w:w w:val="100"/>
                              <w:position w:val="0"/>
                              <w:sz w:val="17"/>
                              <w:szCs w:val="17"/>
                            </w:rPr>
                            <w:t>一^</w:t>
                          </w:r>
                          <w:r>
                            <w:rPr>
                              <w:rFonts w:ascii="SimSun" w:eastAsia="SimSun" w:hAnsi="SimSun" w:cs="SimSun"/>
                              <w:b/>
                              <w:bCs/>
                              <w:color w:val="5199CB"/>
                              <w:spacing w:val="0"/>
                              <w:w w:val="100"/>
                              <w:position w:val="0"/>
                              <w:sz w:val="17"/>
                              <w:szCs w:val="17"/>
                            </w:rPr>
                            <w:t>神州泰岳</w:t>
                          </w:r>
                        </w:p>
                      </w:txbxContent>
                    </wps:txbx>
                    <wps:bodyPr wrap="none" lIns="0" tIns="0" rIns="0" bIns="0">
                      <a:spAutoFit/>
                    </wps:bodyPr>
                  </wps:wsp>
                </a:graphicData>
              </a:graphic>
            </wp:anchor>
          </w:drawing>
        </mc:Choice>
        <mc:Fallback>
          <w:pict>
            <v:shape id="_x0000_s1404" type="#_x0000_t202" style="position:absolute;margin-left:56.600000000000001pt;margin-top:50.550000000000004pt;width:79.700000000000003pt;height:22.300000000000001pt;z-index:-188743921;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b/>
                        <w:bCs/>
                        <w:i/>
                        <w:iCs/>
                        <w:color w:val="6DB14A"/>
                        <w:spacing w:val="0"/>
                        <w:w w:val="100"/>
                        <w:position w:val="0"/>
                        <w:sz w:val="18"/>
                        <w:szCs w:val="18"/>
                      </w:rPr>
                      <w:t>、、</w:t>
                    </w:r>
                    <w:r>
                      <w:rPr>
                        <w:rFonts w:ascii="SimSun" w:eastAsia="SimSun" w:hAnsi="SimSun" w:cs="SimSun"/>
                        <w:b/>
                        <w:bCs/>
                        <w:color w:val="6DB14A"/>
                        <w:spacing w:val="0"/>
                        <w:w w:val="100"/>
                        <w:position w:val="0"/>
                        <w:sz w:val="17"/>
                        <w:szCs w:val="17"/>
                      </w:rPr>
                      <w:t>一^</w:t>
                    </w:r>
                    <w:r>
                      <w:rPr>
                        <w:rFonts w:ascii="SimSun" w:eastAsia="SimSun" w:hAnsi="SimSun" w:cs="SimSun"/>
                        <w:b/>
                        <w:bCs/>
                        <w:color w:val="5199CB"/>
                        <w:spacing w:val="0"/>
                        <w:w w:val="100"/>
                        <w:position w:val="0"/>
                        <w:sz w:val="17"/>
                        <w:szCs w:val="17"/>
                      </w:rPr>
                      <w:t>神州泰岳</w:t>
                    </w:r>
                  </w:p>
                </w:txbxContent>
              </v:textbox>
              <w10:wrap anchorx="page" anchory="page"/>
            </v:shape>
          </w:pict>
        </mc:Fallback>
      </mc:AlternateContent>
    </w:r>
    <w:r>
      <mc:AlternateContent>
        <mc:Choice Requires="wps">
          <w:drawing>
            <wp:anchor distT="0" distB="0" distL="0" distR="0" simplePos="0" relativeHeight="62914834" behindDoc="1" locked="0" layoutInCell="1" allowOverlap="1">
              <wp:simplePos x="0" y="0"/>
              <wp:positionH relativeFrom="page">
                <wp:posOffset>4141470</wp:posOffset>
              </wp:positionH>
              <wp:positionV relativeFrom="page">
                <wp:posOffset>830580</wp:posOffset>
              </wp:positionV>
              <wp:extent cx="2673350" cy="106680"/>
              <wp:wrapNone/>
              <wp:docPr id="380" name="Shape 380"/>
              <a:graphic xmlns:a="http://schemas.openxmlformats.org/drawingml/2006/main">
                <a:graphicData uri="http://schemas.microsoft.com/office/word/2010/wordprocessingShape">
                  <wps:wsp>
                    <wps:cNvSpPr txBox="1"/>
                    <wps:spPr>
                      <a:xfrm>
                        <a:ext cx="2673350" cy="106680"/>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北京神州泰岳软件股份有限公司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406" type="#_x0000_t202" style="position:absolute;margin-left:326.10000000000002pt;margin-top:65.400000000000006pt;width:210.5pt;height:8.4000000000000004pt;z-index:-188743919;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北京神州泰岳软件股份有限公司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700405</wp:posOffset>
              </wp:positionH>
              <wp:positionV relativeFrom="page">
                <wp:posOffset>979805</wp:posOffset>
              </wp:positionV>
              <wp:extent cx="6160135" cy="0"/>
              <wp:wrapNone/>
              <wp:docPr id="382" name="Shape 382"/>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5.149999999999999pt;margin-top:77.150000000000006pt;width:485.05000000000001pt;height:0;z-index:-251658240;mso-position-horizontal-relative:page;mso-position-vertical-relative:page">
              <v:stroke weight="1.pt"/>
            </v:shape>
          </w:pict>
        </mc:Fallback>
      </mc:AlternateContent>
    </w:r>
  </w:p>
</w:hdr>
</file>

<file path=word/header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8" behindDoc="1" locked="0" layoutInCell="1" allowOverlap="1">
              <wp:simplePos x="0" y="0"/>
              <wp:positionH relativeFrom="page">
                <wp:posOffset>718820</wp:posOffset>
              </wp:positionH>
              <wp:positionV relativeFrom="page">
                <wp:posOffset>641985</wp:posOffset>
              </wp:positionV>
              <wp:extent cx="1012190" cy="283210"/>
              <wp:wrapNone/>
              <wp:docPr id="385" name="Shape 385"/>
              <a:graphic xmlns:a="http://schemas.openxmlformats.org/drawingml/2006/main">
                <a:graphicData uri="http://schemas.microsoft.com/office/word/2010/wordprocessingShape">
                  <wps:wsp>
                    <wps:cNvSpPr txBox="1"/>
                    <wps:spPr>
                      <a:xfrm>
                        <a:ext cx="1012190" cy="283210"/>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b/>
                              <w:bCs/>
                              <w:i/>
                              <w:iCs/>
                              <w:color w:val="6DB14A"/>
                              <w:spacing w:val="0"/>
                              <w:w w:val="100"/>
                              <w:position w:val="0"/>
                              <w:sz w:val="18"/>
                              <w:szCs w:val="18"/>
                            </w:rPr>
                            <w:t>、、</w:t>
                          </w:r>
                          <w:r>
                            <w:rPr>
                              <w:rFonts w:ascii="SimSun" w:eastAsia="SimSun" w:hAnsi="SimSun" w:cs="SimSun"/>
                              <w:b/>
                              <w:bCs/>
                              <w:color w:val="6DB14A"/>
                              <w:spacing w:val="0"/>
                              <w:w w:val="100"/>
                              <w:position w:val="0"/>
                              <w:sz w:val="17"/>
                              <w:szCs w:val="17"/>
                            </w:rPr>
                            <w:t>一^</w:t>
                          </w:r>
                          <w:r>
                            <w:rPr>
                              <w:rFonts w:ascii="SimSun" w:eastAsia="SimSun" w:hAnsi="SimSun" w:cs="SimSun"/>
                              <w:b/>
                              <w:bCs/>
                              <w:color w:val="5199CB"/>
                              <w:spacing w:val="0"/>
                              <w:w w:val="100"/>
                              <w:position w:val="0"/>
                              <w:sz w:val="17"/>
                              <w:szCs w:val="17"/>
                            </w:rPr>
                            <w:t>神州泰岳</w:t>
                          </w:r>
                        </w:p>
                      </w:txbxContent>
                    </wps:txbx>
                    <wps:bodyPr wrap="none" lIns="0" tIns="0" rIns="0" bIns="0">
                      <a:spAutoFit/>
                    </wps:bodyPr>
                  </wps:wsp>
                </a:graphicData>
              </a:graphic>
            </wp:anchor>
          </w:drawing>
        </mc:Choice>
        <mc:Fallback>
          <w:pict>
            <v:shape id="_x0000_s1411" type="#_x0000_t202" style="position:absolute;margin-left:56.600000000000001pt;margin-top:50.550000000000004pt;width:79.700000000000003pt;height:22.300000000000001pt;z-index:-188743915;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b/>
                        <w:bCs/>
                        <w:i/>
                        <w:iCs/>
                        <w:color w:val="6DB14A"/>
                        <w:spacing w:val="0"/>
                        <w:w w:val="100"/>
                        <w:position w:val="0"/>
                        <w:sz w:val="18"/>
                        <w:szCs w:val="18"/>
                      </w:rPr>
                      <w:t>、、</w:t>
                    </w:r>
                    <w:r>
                      <w:rPr>
                        <w:rFonts w:ascii="SimSun" w:eastAsia="SimSun" w:hAnsi="SimSun" w:cs="SimSun"/>
                        <w:b/>
                        <w:bCs/>
                        <w:color w:val="6DB14A"/>
                        <w:spacing w:val="0"/>
                        <w:w w:val="100"/>
                        <w:position w:val="0"/>
                        <w:sz w:val="17"/>
                        <w:szCs w:val="17"/>
                      </w:rPr>
                      <w:t>一^</w:t>
                    </w:r>
                    <w:r>
                      <w:rPr>
                        <w:rFonts w:ascii="SimSun" w:eastAsia="SimSun" w:hAnsi="SimSun" w:cs="SimSun"/>
                        <w:b/>
                        <w:bCs/>
                        <w:color w:val="5199CB"/>
                        <w:spacing w:val="0"/>
                        <w:w w:val="100"/>
                        <w:position w:val="0"/>
                        <w:sz w:val="17"/>
                        <w:szCs w:val="17"/>
                      </w:rPr>
                      <w:t>神州泰岳</w:t>
                    </w:r>
                  </w:p>
                </w:txbxContent>
              </v:textbox>
              <w10:wrap anchorx="page" anchory="page"/>
            </v:shape>
          </w:pict>
        </mc:Fallback>
      </mc:AlternateContent>
    </w:r>
    <w:r>
      <mc:AlternateContent>
        <mc:Choice Requires="wps">
          <w:drawing>
            <wp:anchor distT="0" distB="0" distL="0" distR="0" simplePos="0" relativeHeight="62914840" behindDoc="1" locked="0" layoutInCell="1" allowOverlap="1">
              <wp:simplePos x="0" y="0"/>
              <wp:positionH relativeFrom="page">
                <wp:posOffset>4141470</wp:posOffset>
              </wp:positionH>
              <wp:positionV relativeFrom="page">
                <wp:posOffset>830580</wp:posOffset>
              </wp:positionV>
              <wp:extent cx="2673350" cy="106680"/>
              <wp:wrapNone/>
              <wp:docPr id="387" name="Shape 387"/>
              <a:graphic xmlns:a="http://schemas.openxmlformats.org/drawingml/2006/main">
                <a:graphicData uri="http://schemas.microsoft.com/office/word/2010/wordprocessingShape">
                  <wps:wsp>
                    <wps:cNvSpPr txBox="1"/>
                    <wps:spPr>
                      <a:xfrm>
                        <a:ext cx="2673350" cy="106680"/>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北京神州泰岳软件股份有限公司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413" type="#_x0000_t202" style="position:absolute;margin-left:326.10000000000002pt;margin-top:65.400000000000006pt;width:210.5pt;height:8.4000000000000004pt;z-index:-188743913;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北京神州泰岳软件股份有限公司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700405</wp:posOffset>
              </wp:positionH>
              <wp:positionV relativeFrom="page">
                <wp:posOffset>979805</wp:posOffset>
              </wp:positionV>
              <wp:extent cx="6160135" cy="0"/>
              <wp:wrapNone/>
              <wp:docPr id="389" name="Shape 389"/>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5.149999999999999pt;margin-top:77.150000000000006pt;width:485.05000000000001pt;height:0;z-index:-251658240;mso-position-horizontal-relative:page;mso-position-vertical-relative:page">
              <v:stroke weight="1.pt"/>
            </v:shape>
          </w:pict>
        </mc:Fallback>
      </mc:AlternateContent>
    </w:r>
  </w:p>
</w:hdr>
</file>

<file path=word/header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4" behindDoc="1" locked="0" layoutInCell="1" allowOverlap="1">
              <wp:simplePos x="0" y="0"/>
              <wp:positionH relativeFrom="page">
                <wp:posOffset>697230</wp:posOffset>
              </wp:positionH>
              <wp:positionV relativeFrom="page">
                <wp:posOffset>697865</wp:posOffset>
              </wp:positionV>
              <wp:extent cx="6096000" cy="295910"/>
              <wp:wrapNone/>
              <wp:docPr id="392" name="Shape 392"/>
              <a:graphic xmlns:a="http://schemas.openxmlformats.org/drawingml/2006/main">
                <a:graphicData uri="http://schemas.microsoft.com/office/word/2010/wordprocessingShape">
                  <wps:wsp>
                    <wps:cNvSpPr txBox="1"/>
                    <wps:spPr>
                      <a:xfrm>
                        <a:ext cx="6096000" cy="2959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tabs>
                              <w:tab w:pos="8707" w:val="right"/>
                            </w:tabs>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1F84C4"/>
                              <w:spacing w:val="0"/>
                              <w:w w:val="100"/>
                              <w:position w:val="0"/>
                            </w:rPr>
                            <w:t>•，</w:t>
                            <w:tab/>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lIns="0" tIns="0" rIns="0" bIns="0">
                      <a:spAutoFit/>
                    </wps:bodyPr>
                  </wps:wsp>
                </a:graphicData>
              </a:graphic>
            </wp:anchor>
          </w:drawing>
        </mc:Choice>
        <mc:Fallback>
          <w:pict>
            <v:shape id="_x0000_s1418" type="#_x0000_t202" style="position:absolute;margin-left:54.899999999999999pt;margin-top:54.950000000000003pt;width:480.pt;height:23.300000000000001pt;z-index:-188743909;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tabs>
                        <w:tab w:pos="8707" w:val="right"/>
                      </w:tabs>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1F84C4"/>
                        <w:spacing w:val="0"/>
                        <w:w w:val="100"/>
                        <w:position w:val="0"/>
                      </w:rPr>
                      <w:t>•，</w:t>
                      <w:tab/>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p>
</w:hdr>
</file>

<file path=word/header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8" behindDoc="1" locked="0" layoutInCell="1" allowOverlap="1">
              <wp:simplePos x="0" y="0"/>
              <wp:positionH relativeFrom="page">
                <wp:posOffset>719455</wp:posOffset>
              </wp:positionH>
              <wp:positionV relativeFrom="page">
                <wp:posOffset>641985</wp:posOffset>
              </wp:positionV>
              <wp:extent cx="6096000" cy="295910"/>
              <wp:wrapNone/>
              <wp:docPr id="396" name="Shape 396"/>
              <a:graphic xmlns:a="http://schemas.openxmlformats.org/drawingml/2006/main">
                <a:graphicData uri="http://schemas.microsoft.com/office/word/2010/wordprocessingShape">
                  <wps:wsp>
                    <wps:cNvSpPr txBox="1"/>
                    <wps:spPr>
                      <a:xfrm>
                        <a:ext cx="6096000" cy="295910"/>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1F84C4"/>
                              <w:spacing w:val="0"/>
                              <w:w w:val="100"/>
                              <w:position w:val="0"/>
                              <w:sz w:val="17"/>
                              <w:szCs w:val="17"/>
                            </w:rPr>
                            <w:t>斗卜</w:t>
                          </w:r>
                          <w:r>
                            <w:rPr>
                              <w:color w:val="1F84C4"/>
                              <w:spacing w:val="0"/>
                              <w:w w:val="100"/>
                              <w:position w:val="0"/>
                              <w:sz w:val="18"/>
                              <w:szCs w:val="18"/>
                            </w:rPr>
                            <w:t>I</w:t>
                          </w:r>
                          <w:r>
                            <w:rPr>
                              <w:rFonts w:ascii="SimSun" w:eastAsia="SimSun" w:hAnsi="SimSun" w:cs="SimSun"/>
                              <w:color w:val="1F84C4"/>
                              <w:spacing w:val="0"/>
                              <w:w w:val="100"/>
                              <w:position w:val="0"/>
                              <w:sz w:val="17"/>
                              <w:szCs w:val="17"/>
                            </w:rPr>
                            <w:t>..泰</w:t>
                          </w:r>
                          <w:r>
                            <w:rPr>
                              <w:rFonts w:ascii="SimSun" w:eastAsia="SimSun" w:hAnsi="SimSun" w:cs="SimSun"/>
                              <w:color w:val="000000"/>
                              <w:spacing w:val="0"/>
                              <w:w w:val="100"/>
                              <w:position w:val="0"/>
                              <w:sz w:val="17"/>
                              <w:szCs w:val="17"/>
                            </w:rPr>
                            <w:t>北京神州泰岳软件股份有限公司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422" type="#_x0000_t202" style="position:absolute;margin-left:56.649999999999999pt;margin-top:50.550000000000004pt;width:480.pt;height:23.300000000000001pt;z-index:-188743905;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1F84C4"/>
                        <w:spacing w:val="0"/>
                        <w:w w:val="100"/>
                        <w:position w:val="0"/>
                        <w:sz w:val="17"/>
                        <w:szCs w:val="17"/>
                      </w:rPr>
                      <w:t>斗卜</w:t>
                    </w:r>
                    <w:r>
                      <w:rPr>
                        <w:color w:val="1F84C4"/>
                        <w:spacing w:val="0"/>
                        <w:w w:val="100"/>
                        <w:position w:val="0"/>
                        <w:sz w:val="18"/>
                        <w:szCs w:val="18"/>
                      </w:rPr>
                      <w:t>I</w:t>
                    </w:r>
                    <w:r>
                      <w:rPr>
                        <w:rFonts w:ascii="SimSun" w:eastAsia="SimSun" w:hAnsi="SimSun" w:cs="SimSun"/>
                        <w:color w:val="1F84C4"/>
                        <w:spacing w:val="0"/>
                        <w:w w:val="100"/>
                        <w:position w:val="0"/>
                        <w:sz w:val="17"/>
                        <w:szCs w:val="17"/>
                      </w:rPr>
                      <w:t>..泰</w:t>
                    </w:r>
                    <w:r>
                      <w:rPr>
                        <w:rFonts w:ascii="SimSun" w:eastAsia="SimSun" w:hAnsi="SimSun" w:cs="SimSun"/>
                        <w:color w:val="000000"/>
                        <w:spacing w:val="0"/>
                        <w:w w:val="100"/>
                        <w:position w:val="0"/>
                        <w:sz w:val="17"/>
                        <w:szCs w:val="17"/>
                      </w:rPr>
                      <w:t>北京神州泰岳软件股份有限公司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701040</wp:posOffset>
              </wp:positionH>
              <wp:positionV relativeFrom="page">
                <wp:posOffset>1044575</wp:posOffset>
              </wp:positionV>
              <wp:extent cx="6160135" cy="0"/>
              <wp:wrapNone/>
              <wp:docPr id="398" name="Shape 398"/>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5.200000000000003pt;margin-top:82.25pt;width:485.05000000000001pt;height:0;z-index:-251658240;mso-position-horizontal-relative:page;mso-position-vertical-relative:page">
              <v:stroke weight="1.pt"/>
            </v:shape>
          </w:pict>
        </mc:Fallback>
      </mc:AlternateContent>
    </w:r>
  </w:p>
</w:hdr>
</file>

<file path=word/header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2" behindDoc="1" locked="0" layoutInCell="1" allowOverlap="1">
              <wp:simplePos x="0" y="0"/>
              <wp:positionH relativeFrom="page">
                <wp:posOffset>719455</wp:posOffset>
              </wp:positionH>
              <wp:positionV relativeFrom="page">
                <wp:posOffset>641985</wp:posOffset>
              </wp:positionV>
              <wp:extent cx="6096000" cy="295910"/>
              <wp:wrapNone/>
              <wp:docPr id="401" name="Shape 401"/>
              <a:graphic xmlns:a="http://schemas.openxmlformats.org/drawingml/2006/main">
                <a:graphicData uri="http://schemas.microsoft.com/office/word/2010/wordprocessingShape">
                  <wps:wsp>
                    <wps:cNvSpPr txBox="1"/>
                    <wps:spPr>
                      <a:xfrm>
                        <a:ext cx="6096000" cy="295910"/>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1F84C4"/>
                              <w:spacing w:val="0"/>
                              <w:w w:val="100"/>
                              <w:position w:val="0"/>
                              <w:sz w:val="17"/>
                              <w:szCs w:val="17"/>
                            </w:rPr>
                            <w:t>斗卜</w:t>
                          </w:r>
                          <w:r>
                            <w:rPr>
                              <w:color w:val="1F84C4"/>
                              <w:spacing w:val="0"/>
                              <w:w w:val="100"/>
                              <w:position w:val="0"/>
                              <w:sz w:val="18"/>
                              <w:szCs w:val="18"/>
                            </w:rPr>
                            <w:t>I</w:t>
                          </w:r>
                          <w:r>
                            <w:rPr>
                              <w:rFonts w:ascii="SimSun" w:eastAsia="SimSun" w:hAnsi="SimSun" w:cs="SimSun"/>
                              <w:color w:val="1F84C4"/>
                              <w:spacing w:val="0"/>
                              <w:w w:val="100"/>
                              <w:position w:val="0"/>
                              <w:sz w:val="17"/>
                              <w:szCs w:val="17"/>
                            </w:rPr>
                            <w:t>..泰</w:t>
                          </w:r>
                          <w:r>
                            <w:rPr>
                              <w:rFonts w:ascii="SimSun" w:eastAsia="SimSun" w:hAnsi="SimSun" w:cs="SimSun"/>
                              <w:color w:val="000000"/>
                              <w:spacing w:val="0"/>
                              <w:w w:val="100"/>
                              <w:position w:val="0"/>
                              <w:sz w:val="17"/>
                              <w:szCs w:val="17"/>
                            </w:rPr>
                            <w:t>北京神州泰岳软件股份有限公司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427" type="#_x0000_t202" style="position:absolute;margin-left:56.649999999999999pt;margin-top:50.550000000000004pt;width:480.pt;height:23.300000000000001pt;z-index:-188743901;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1F84C4"/>
                        <w:spacing w:val="0"/>
                        <w:w w:val="100"/>
                        <w:position w:val="0"/>
                        <w:sz w:val="17"/>
                        <w:szCs w:val="17"/>
                      </w:rPr>
                      <w:t>斗卜</w:t>
                    </w:r>
                    <w:r>
                      <w:rPr>
                        <w:color w:val="1F84C4"/>
                        <w:spacing w:val="0"/>
                        <w:w w:val="100"/>
                        <w:position w:val="0"/>
                        <w:sz w:val="18"/>
                        <w:szCs w:val="18"/>
                      </w:rPr>
                      <w:t>I</w:t>
                    </w:r>
                    <w:r>
                      <w:rPr>
                        <w:rFonts w:ascii="SimSun" w:eastAsia="SimSun" w:hAnsi="SimSun" w:cs="SimSun"/>
                        <w:color w:val="1F84C4"/>
                        <w:spacing w:val="0"/>
                        <w:w w:val="100"/>
                        <w:position w:val="0"/>
                        <w:sz w:val="17"/>
                        <w:szCs w:val="17"/>
                      </w:rPr>
                      <w:t>..泰</w:t>
                    </w:r>
                    <w:r>
                      <w:rPr>
                        <w:rFonts w:ascii="SimSun" w:eastAsia="SimSun" w:hAnsi="SimSun" w:cs="SimSun"/>
                        <w:color w:val="000000"/>
                        <w:spacing w:val="0"/>
                        <w:w w:val="100"/>
                        <w:position w:val="0"/>
                        <w:sz w:val="17"/>
                        <w:szCs w:val="17"/>
                      </w:rPr>
                      <w:t>北京神州泰岳软件股份有限公司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701040</wp:posOffset>
              </wp:positionH>
              <wp:positionV relativeFrom="page">
                <wp:posOffset>1044575</wp:posOffset>
              </wp:positionV>
              <wp:extent cx="6160135" cy="0"/>
              <wp:wrapNone/>
              <wp:docPr id="403" name="Shape 403"/>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5.200000000000003pt;margin-top:82.25pt;width:485.05000000000001pt;height:0;z-index:-251658240;mso-position-horizontal-relative:page;mso-position-vertical-relative:page">
              <v:stroke weight="1.pt"/>
            </v:shape>
          </w:pict>
        </mc:Fallback>
      </mc:AlternateContent>
    </w:r>
  </w:p>
</w:hdr>
</file>

<file path=word/header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0" behindDoc="1" locked="0" layoutInCell="1" allowOverlap="1">
              <wp:simplePos x="0" y="0"/>
              <wp:positionH relativeFrom="page">
                <wp:posOffset>719455</wp:posOffset>
              </wp:positionH>
              <wp:positionV relativeFrom="page">
                <wp:posOffset>641985</wp:posOffset>
              </wp:positionV>
              <wp:extent cx="6096000" cy="295910"/>
              <wp:wrapNone/>
              <wp:docPr id="410" name="Shape 410"/>
              <a:graphic xmlns:a="http://schemas.openxmlformats.org/drawingml/2006/main">
                <a:graphicData uri="http://schemas.microsoft.com/office/word/2010/wordprocessingShape">
                  <wps:wsp>
                    <wps:cNvSpPr txBox="1"/>
                    <wps:spPr>
                      <a:xfrm>
                        <a:ext cx="6096000" cy="295910"/>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1F84C4"/>
                              <w:spacing w:val="0"/>
                              <w:w w:val="100"/>
                              <w:position w:val="0"/>
                              <w:sz w:val="17"/>
                              <w:szCs w:val="17"/>
                            </w:rPr>
                            <w:t>斗卜</w:t>
                          </w:r>
                          <w:r>
                            <w:rPr>
                              <w:color w:val="1F84C4"/>
                              <w:spacing w:val="0"/>
                              <w:w w:val="100"/>
                              <w:position w:val="0"/>
                              <w:sz w:val="18"/>
                              <w:szCs w:val="18"/>
                            </w:rPr>
                            <w:t>I</w:t>
                          </w:r>
                          <w:r>
                            <w:rPr>
                              <w:rFonts w:ascii="SimSun" w:eastAsia="SimSun" w:hAnsi="SimSun" w:cs="SimSun"/>
                              <w:color w:val="1F84C4"/>
                              <w:spacing w:val="0"/>
                              <w:w w:val="100"/>
                              <w:position w:val="0"/>
                              <w:sz w:val="17"/>
                              <w:szCs w:val="17"/>
                            </w:rPr>
                            <w:t>..泰</w:t>
                          </w:r>
                          <w:r>
                            <w:rPr>
                              <w:rFonts w:ascii="SimSun" w:eastAsia="SimSun" w:hAnsi="SimSun" w:cs="SimSun"/>
                              <w:color w:val="000000"/>
                              <w:spacing w:val="0"/>
                              <w:w w:val="100"/>
                              <w:position w:val="0"/>
                              <w:sz w:val="17"/>
                              <w:szCs w:val="17"/>
                            </w:rPr>
                            <w:t>北京神州泰岳软件股份有限公司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436" type="#_x0000_t202" style="position:absolute;margin-left:56.649999999999999pt;margin-top:50.550000000000004pt;width:480.pt;height:23.300000000000001pt;z-index:-188743893;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1F84C4"/>
                        <w:spacing w:val="0"/>
                        <w:w w:val="100"/>
                        <w:position w:val="0"/>
                        <w:sz w:val="17"/>
                        <w:szCs w:val="17"/>
                      </w:rPr>
                      <w:t>斗卜</w:t>
                    </w:r>
                    <w:r>
                      <w:rPr>
                        <w:color w:val="1F84C4"/>
                        <w:spacing w:val="0"/>
                        <w:w w:val="100"/>
                        <w:position w:val="0"/>
                        <w:sz w:val="18"/>
                        <w:szCs w:val="18"/>
                      </w:rPr>
                      <w:t>I</w:t>
                    </w:r>
                    <w:r>
                      <w:rPr>
                        <w:rFonts w:ascii="SimSun" w:eastAsia="SimSun" w:hAnsi="SimSun" w:cs="SimSun"/>
                        <w:color w:val="1F84C4"/>
                        <w:spacing w:val="0"/>
                        <w:w w:val="100"/>
                        <w:position w:val="0"/>
                        <w:sz w:val="17"/>
                        <w:szCs w:val="17"/>
                      </w:rPr>
                      <w:t>..泰</w:t>
                    </w:r>
                    <w:r>
                      <w:rPr>
                        <w:rFonts w:ascii="SimSun" w:eastAsia="SimSun" w:hAnsi="SimSun" w:cs="SimSun"/>
                        <w:color w:val="000000"/>
                        <w:spacing w:val="0"/>
                        <w:w w:val="100"/>
                        <w:position w:val="0"/>
                        <w:sz w:val="17"/>
                        <w:szCs w:val="17"/>
                      </w:rPr>
                      <w:t>北京神州泰岳软件股份有限公司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701040</wp:posOffset>
              </wp:positionH>
              <wp:positionV relativeFrom="page">
                <wp:posOffset>1044575</wp:posOffset>
              </wp:positionV>
              <wp:extent cx="6160135" cy="0"/>
              <wp:wrapNone/>
              <wp:docPr id="412" name="Shape 412"/>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5.200000000000003pt;margin-top:82.25pt;width:485.05000000000001pt;height:0;z-index:-251658240;mso-position-horizontal-relative:page;mso-position-vertical-relative:page">
              <v:stroke weight="1.pt"/>
            </v:shape>
          </w:pict>
        </mc:Fallback>
      </mc:AlternateContent>
    </w:r>
  </w:p>
</w:hdr>
</file>

<file path=word/header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4" behindDoc="1" locked="0" layoutInCell="1" allowOverlap="1">
              <wp:simplePos x="0" y="0"/>
              <wp:positionH relativeFrom="page">
                <wp:posOffset>719455</wp:posOffset>
              </wp:positionH>
              <wp:positionV relativeFrom="page">
                <wp:posOffset>641985</wp:posOffset>
              </wp:positionV>
              <wp:extent cx="6096000" cy="295910"/>
              <wp:wrapNone/>
              <wp:docPr id="415" name="Shape 415"/>
              <a:graphic xmlns:a="http://schemas.openxmlformats.org/drawingml/2006/main">
                <a:graphicData uri="http://schemas.microsoft.com/office/word/2010/wordprocessingShape">
                  <wps:wsp>
                    <wps:cNvSpPr txBox="1"/>
                    <wps:spPr>
                      <a:xfrm>
                        <a:ext cx="6096000" cy="295910"/>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1F84C4"/>
                              <w:spacing w:val="0"/>
                              <w:w w:val="100"/>
                              <w:position w:val="0"/>
                              <w:sz w:val="17"/>
                              <w:szCs w:val="17"/>
                            </w:rPr>
                            <w:t>斗卜</w:t>
                          </w:r>
                          <w:r>
                            <w:rPr>
                              <w:color w:val="1F84C4"/>
                              <w:spacing w:val="0"/>
                              <w:w w:val="100"/>
                              <w:position w:val="0"/>
                              <w:sz w:val="18"/>
                              <w:szCs w:val="18"/>
                            </w:rPr>
                            <w:t>I</w:t>
                          </w:r>
                          <w:r>
                            <w:rPr>
                              <w:rFonts w:ascii="SimSun" w:eastAsia="SimSun" w:hAnsi="SimSun" w:cs="SimSun"/>
                              <w:color w:val="1F84C4"/>
                              <w:spacing w:val="0"/>
                              <w:w w:val="100"/>
                              <w:position w:val="0"/>
                              <w:sz w:val="17"/>
                              <w:szCs w:val="17"/>
                            </w:rPr>
                            <w:t>..泰</w:t>
                          </w:r>
                          <w:r>
                            <w:rPr>
                              <w:rFonts w:ascii="SimSun" w:eastAsia="SimSun" w:hAnsi="SimSun" w:cs="SimSun"/>
                              <w:color w:val="000000"/>
                              <w:spacing w:val="0"/>
                              <w:w w:val="100"/>
                              <w:position w:val="0"/>
                              <w:sz w:val="17"/>
                              <w:szCs w:val="17"/>
                            </w:rPr>
                            <w:t>北京神州泰岳软件股份有限公司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441" type="#_x0000_t202" style="position:absolute;margin-left:56.649999999999999pt;margin-top:50.550000000000004pt;width:480.pt;height:23.300000000000001pt;z-index:-188743889;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1F84C4"/>
                        <w:spacing w:val="0"/>
                        <w:w w:val="100"/>
                        <w:position w:val="0"/>
                        <w:sz w:val="17"/>
                        <w:szCs w:val="17"/>
                      </w:rPr>
                      <w:t>斗卜</w:t>
                    </w:r>
                    <w:r>
                      <w:rPr>
                        <w:color w:val="1F84C4"/>
                        <w:spacing w:val="0"/>
                        <w:w w:val="100"/>
                        <w:position w:val="0"/>
                        <w:sz w:val="18"/>
                        <w:szCs w:val="18"/>
                      </w:rPr>
                      <w:t>I</w:t>
                    </w:r>
                    <w:r>
                      <w:rPr>
                        <w:rFonts w:ascii="SimSun" w:eastAsia="SimSun" w:hAnsi="SimSun" w:cs="SimSun"/>
                        <w:color w:val="1F84C4"/>
                        <w:spacing w:val="0"/>
                        <w:w w:val="100"/>
                        <w:position w:val="0"/>
                        <w:sz w:val="17"/>
                        <w:szCs w:val="17"/>
                      </w:rPr>
                      <w:t>..泰</w:t>
                    </w:r>
                    <w:r>
                      <w:rPr>
                        <w:rFonts w:ascii="SimSun" w:eastAsia="SimSun" w:hAnsi="SimSun" w:cs="SimSun"/>
                        <w:color w:val="000000"/>
                        <w:spacing w:val="0"/>
                        <w:w w:val="100"/>
                        <w:position w:val="0"/>
                        <w:sz w:val="17"/>
                        <w:szCs w:val="17"/>
                      </w:rPr>
                      <w:t>北京神州泰岳软件股份有限公司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701040</wp:posOffset>
              </wp:positionH>
              <wp:positionV relativeFrom="page">
                <wp:posOffset>1044575</wp:posOffset>
              </wp:positionV>
              <wp:extent cx="6160135" cy="0"/>
              <wp:wrapNone/>
              <wp:docPr id="417" name="Shape 417"/>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5.200000000000003pt;margin-top:82.25pt;width:485.05000000000001pt;height:0;z-index:-251658240;mso-position-horizontal-relative:page;mso-position-vertical-relative:page">
              <v:stroke weight="1.pt"/>
            </v:shape>
          </w:pict>
        </mc:Fallback>
      </mc:AlternateContent>
    </w:r>
  </w:p>
</w:hdr>
</file>

<file path=word/header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8" behindDoc="1" locked="0" layoutInCell="1" allowOverlap="1">
              <wp:simplePos x="0" y="0"/>
              <wp:positionH relativeFrom="page">
                <wp:posOffset>716280</wp:posOffset>
              </wp:positionH>
              <wp:positionV relativeFrom="page">
                <wp:posOffset>704850</wp:posOffset>
              </wp:positionV>
              <wp:extent cx="6096000" cy="295910"/>
              <wp:wrapNone/>
              <wp:docPr id="420" name="Shape 420"/>
              <a:graphic xmlns:a="http://schemas.openxmlformats.org/drawingml/2006/main">
                <a:graphicData uri="http://schemas.microsoft.com/office/word/2010/wordprocessingShape">
                  <wps:wsp>
                    <wps:cNvSpPr txBox="1"/>
                    <wps:spPr>
                      <a:xfrm>
                        <a:ext cx="6096000" cy="2959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tabs>
                              <w:tab w:pos="8707" w:val="right"/>
                            </w:tabs>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1F84C4"/>
                              <w:spacing w:val="0"/>
                              <w:w w:val="100"/>
                              <w:position w:val="0"/>
                            </w:rPr>
                            <w:t>•，</w:t>
                            <w:tab/>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lIns="0" tIns="0" rIns="0" bIns="0">
                      <a:spAutoFit/>
                    </wps:bodyPr>
                  </wps:wsp>
                </a:graphicData>
              </a:graphic>
            </wp:anchor>
          </w:drawing>
        </mc:Choice>
        <mc:Fallback>
          <w:pict>
            <v:shape id="_x0000_s1446" type="#_x0000_t202" style="position:absolute;margin-left:56.399999999999999pt;margin-top:55.5pt;width:480.pt;height:23.300000000000001pt;z-index:-188743885;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tabs>
                        <w:tab w:pos="8707" w:val="right"/>
                      </w:tabs>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1F84C4"/>
                        <w:spacing w:val="0"/>
                        <w:w w:val="100"/>
                        <w:position w:val="0"/>
                      </w:rPr>
                      <w:t>•，</w:t>
                      <w:tab/>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p>
</w:hdr>
</file>

<file path=word/header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2" behindDoc="1" locked="0" layoutInCell="1" allowOverlap="1">
              <wp:simplePos x="0" y="0"/>
              <wp:positionH relativeFrom="page">
                <wp:posOffset>716280</wp:posOffset>
              </wp:positionH>
              <wp:positionV relativeFrom="page">
                <wp:posOffset>704850</wp:posOffset>
              </wp:positionV>
              <wp:extent cx="6096000" cy="295910"/>
              <wp:wrapNone/>
              <wp:docPr id="424" name="Shape 424"/>
              <a:graphic xmlns:a="http://schemas.openxmlformats.org/drawingml/2006/main">
                <a:graphicData uri="http://schemas.microsoft.com/office/word/2010/wordprocessingShape">
                  <wps:wsp>
                    <wps:cNvSpPr txBox="1"/>
                    <wps:spPr>
                      <a:xfrm>
                        <a:ext cx="6096000" cy="2959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tabs>
                              <w:tab w:pos="8707" w:val="right"/>
                            </w:tabs>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1F84C4"/>
                              <w:spacing w:val="0"/>
                              <w:w w:val="100"/>
                              <w:position w:val="0"/>
                            </w:rPr>
                            <w:t>•，</w:t>
                            <w:tab/>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lIns="0" tIns="0" rIns="0" bIns="0">
                      <a:spAutoFit/>
                    </wps:bodyPr>
                  </wps:wsp>
                </a:graphicData>
              </a:graphic>
            </wp:anchor>
          </w:drawing>
        </mc:Choice>
        <mc:Fallback>
          <w:pict>
            <v:shape id="_x0000_s1450" type="#_x0000_t202" style="position:absolute;margin-left:56.399999999999999pt;margin-top:55.5pt;width:480.pt;height:23.300000000000001pt;z-index:-188743881;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tabs>
                        <w:tab w:pos="8707" w:val="right"/>
                      </w:tabs>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1F84C4"/>
                        <w:spacing w:val="0"/>
                        <w:w w:val="100"/>
                        <w:position w:val="0"/>
                      </w:rPr>
                      <w:t>•，</w:t>
                      <w:tab/>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p>
</w:hdr>
</file>

<file path=word/header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6" behindDoc="1" locked="0" layoutInCell="1" allowOverlap="1">
              <wp:simplePos x="0" y="0"/>
              <wp:positionH relativeFrom="page">
                <wp:posOffset>718820</wp:posOffset>
              </wp:positionH>
              <wp:positionV relativeFrom="page">
                <wp:posOffset>641985</wp:posOffset>
              </wp:positionV>
              <wp:extent cx="1012190" cy="283210"/>
              <wp:wrapNone/>
              <wp:docPr id="428" name="Shape 428"/>
              <a:graphic xmlns:a="http://schemas.openxmlformats.org/drawingml/2006/main">
                <a:graphicData uri="http://schemas.microsoft.com/office/word/2010/wordprocessingShape">
                  <wps:wsp>
                    <wps:cNvSpPr txBox="1"/>
                    <wps:spPr>
                      <a:xfrm>
                        <a:ext cx="1012190" cy="283210"/>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b/>
                              <w:bCs/>
                              <w:i/>
                              <w:iCs/>
                              <w:color w:val="6DB14A"/>
                              <w:spacing w:val="0"/>
                              <w:w w:val="100"/>
                              <w:position w:val="0"/>
                              <w:sz w:val="18"/>
                              <w:szCs w:val="18"/>
                            </w:rPr>
                            <w:t>、、</w:t>
                          </w:r>
                          <w:r>
                            <w:rPr>
                              <w:rFonts w:ascii="SimSun" w:eastAsia="SimSun" w:hAnsi="SimSun" w:cs="SimSun"/>
                              <w:b/>
                              <w:bCs/>
                              <w:color w:val="6DB14A"/>
                              <w:spacing w:val="0"/>
                              <w:w w:val="100"/>
                              <w:position w:val="0"/>
                              <w:sz w:val="17"/>
                              <w:szCs w:val="17"/>
                            </w:rPr>
                            <w:t>一^</w:t>
                          </w:r>
                          <w:r>
                            <w:rPr>
                              <w:rFonts w:ascii="SimSun" w:eastAsia="SimSun" w:hAnsi="SimSun" w:cs="SimSun"/>
                              <w:b/>
                              <w:bCs/>
                              <w:color w:val="5199CB"/>
                              <w:spacing w:val="0"/>
                              <w:w w:val="100"/>
                              <w:position w:val="0"/>
                              <w:sz w:val="17"/>
                              <w:szCs w:val="17"/>
                            </w:rPr>
                            <w:t>神州泰岳</w:t>
                          </w:r>
                        </w:p>
                      </w:txbxContent>
                    </wps:txbx>
                    <wps:bodyPr wrap="none" lIns="0" tIns="0" rIns="0" bIns="0">
                      <a:spAutoFit/>
                    </wps:bodyPr>
                  </wps:wsp>
                </a:graphicData>
              </a:graphic>
            </wp:anchor>
          </w:drawing>
        </mc:Choice>
        <mc:Fallback>
          <w:pict>
            <v:shape id="_x0000_s1454" type="#_x0000_t202" style="position:absolute;margin-left:56.600000000000001pt;margin-top:50.550000000000004pt;width:79.700000000000003pt;height:22.300000000000001pt;z-index:-188743877;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b/>
                        <w:bCs/>
                        <w:i/>
                        <w:iCs/>
                        <w:color w:val="6DB14A"/>
                        <w:spacing w:val="0"/>
                        <w:w w:val="100"/>
                        <w:position w:val="0"/>
                        <w:sz w:val="18"/>
                        <w:szCs w:val="18"/>
                      </w:rPr>
                      <w:t>、、</w:t>
                    </w:r>
                    <w:r>
                      <w:rPr>
                        <w:rFonts w:ascii="SimSun" w:eastAsia="SimSun" w:hAnsi="SimSun" w:cs="SimSun"/>
                        <w:b/>
                        <w:bCs/>
                        <w:color w:val="6DB14A"/>
                        <w:spacing w:val="0"/>
                        <w:w w:val="100"/>
                        <w:position w:val="0"/>
                        <w:sz w:val="17"/>
                        <w:szCs w:val="17"/>
                      </w:rPr>
                      <w:t>一^</w:t>
                    </w:r>
                    <w:r>
                      <w:rPr>
                        <w:rFonts w:ascii="SimSun" w:eastAsia="SimSun" w:hAnsi="SimSun" w:cs="SimSun"/>
                        <w:b/>
                        <w:bCs/>
                        <w:color w:val="5199CB"/>
                        <w:spacing w:val="0"/>
                        <w:w w:val="100"/>
                        <w:position w:val="0"/>
                        <w:sz w:val="17"/>
                        <w:szCs w:val="17"/>
                      </w:rPr>
                      <w:t>神州泰岳</w:t>
                    </w:r>
                  </w:p>
                </w:txbxContent>
              </v:textbox>
              <w10:wrap anchorx="page" anchory="page"/>
            </v:shape>
          </w:pict>
        </mc:Fallback>
      </mc:AlternateContent>
    </w:r>
    <w:r>
      <mc:AlternateContent>
        <mc:Choice Requires="wps">
          <w:drawing>
            <wp:anchor distT="0" distB="0" distL="0" distR="0" simplePos="0" relativeHeight="62914878" behindDoc="1" locked="0" layoutInCell="1" allowOverlap="1">
              <wp:simplePos x="0" y="0"/>
              <wp:positionH relativeFrom="page">
                <wp:posOffset>4141470</wp:posOffset>
              </wp:positionH>
              <wp:positionV relativeFrom="page">
                <wp:posOffset>830580</wp:posOffset>
              </wp:positionV>
              <wp:extent cx="2673350" cy="106680"/>
              <wp:wrapNone/>
              <wp:docPr id="430" name="Shape 430"/>
              <a:graphic xmlns:a="http://schemas.openxmlformats.org/drawingml/2006/main">
                <a:graphicData uri="http://schemas.microsoft.com/office/word/2010/wordprocessingShape">
                  <wps:wsp>
                    <wps:cNvSpPr txBox="1"/>
                    <wps:spPr>
                      <a:xfrm>
                        <a:ext cx="2673350" cy="106680"/>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北京神州泰岳软件股份有限公司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456" type="#_x0000_t202" style="position:absolute;margin-left:326.10000000000002pt;margin-top:65.400000000000006pt;width:210.5pt;height:8.4000000000000004pt;z-index:-188743875;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北京神州泰岳软件股份有限公司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700405</wp:posOffset>
              </wp:positionH>
              <wp:positionV relativeFrom="page">
                <wp:posOffset>979805</wp:posOffset>
              </wp:positionV>
              <wp:extent cx="6160135" cy="0"/>
              <wp:wrapNone/>
              <wp:docPr id="432" name="Shape 432"/>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5.149999999999999pt;margin-top:77.150000000000006pt;width:485.05000000000001pt;height:0;z-index:-251658240;mso-position-horizontal-relative:page;mso-position-vertical-relative:page">
              <v:stroke weight="1.pt"/>
            </v:shape>
          </w:pict>
        </mc:Fallback>
      </mc:AlternateContent>
    </w:r>
  </w:p>
</w:hdr>
</file>

<file path=word/header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2" behindDoc="1" locked="0" layoutInCell="1" allowOverlap="1">
              <wp:simplePos x="0" y="0"/>
              <wp:positionH relativeFrom="page">
                <wp:posOffset>718820</wp:posOffset>
              </wp:positionH>
              <wp:positionV relativeFrom="page">
                <wp:posOffset>641985</wp:posOffset>
              </wp:positionV>
              <wp:extent cx="1012190" cy="283210"/>
              <wp:wrapNone/>
              <wp:docPr id="435" name="Shape 435"/>
              <a:graphic xmlns:a="http://schemas.openxmlformats.org/drawingml/2006/main">
                <a:graphicData uri="http://schemas.microsoft.com/office/word/2010/wordprocessingShape">
                  <wps:wsp>
                    <wps:cNvSpPr txBox="1"/>
                    <wps:spPr>
                      <a:xfrm>
                        <a:ext cx="1012190" cy="283210"/>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b/>
                              <w:bCs/>
                              <w:i/>
                              <w:iCs/>
                              <w:color w:val="6DB14A"/>
                              <w:spacing w:val="0"/>
                              <w:w w:val="100"/>
                              <w:position w:val="0"/>
                              <w:sz w:val="18"/>
                              <w:szCs w:val="18"/>
                            </w:rPr>
                            <w:t>、、</w:t>
                          </w:r>
                          <w:r>
                            <w:rPr>
                              <w:rFonts w:ascii="SimSun" w:eastAsia="SimSun" w:hAnsi="SimSun" w:cs="SimSun"/>
                              <w:b/>
                              <w:bCs/>
                              <w:color w:val="6DB14A"/>
                              <w:spacing w:val="0"/>
                              <w:w w:val="100"/>
                              <w:position w:val="0"/>
                              <w:sz w:val="17"/>
                              <w:szCs w:val="17"/>
                            </w:rPr>
                            <w:t>一^</w:t>
                          </w:r>
                          <w:r>
                            <w:rPr>
                              <w:rFonts w:ascii="SimSun" w:eastAsia="SimSun" w:hAnsi="SimSun" w:cs="SimSun"/>
                              <w:b/>
                              <w:bCs/>
                              <w:color w:val="5199CB"/>
                              <w:spacing w:val="0"/>
                              <w:w w:val="100"/>
                              <w:position w:val="0"/>
                              <w:sz w:val="17"/>
                              <w:szCs w:val="17"/>
                            </w:rPr>
                            <w:t>神州泰岳</w:t>
                          </w:r>
                        </w:p>
                      </w:txbxContent>
                    </wps:txbx>
                    <wps:bodyPr wrap="none" lIns="0" tIns="0" rIns="0" bIns="0">
                      <a:spAutoFit/>
                    </wps:bodyPr>
                  </wps:wsp>
                </a:graphicData>
              </a:graphic>
            </wp:anchor>
          </w:drawing>
        </mc:Choice>
        <mc:Fallback>
          <w:pict>
            <v:shape id="_x0000_s1461" type="#_x0000_t202" style="position:absolute;margin-left:56.600000000000001pt;margin-top:50.550000000000004pt;width:79.700000000000003pt;height:22.300000000000001pt;z-index:-188743871;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b/>
                        <w:bCs/>
                        <w:i/>
                        <w:iCs/>
                        <w:color w:val="6DB14A"/>
                        <w:spacing w:val="0"/>
                        <w:w w:val="100"/>
                        <w:position w:val="0"/>
                        <w:sz w:val="18"/>
                        <w:szCs w:val="18"/>
                      </w:rPr>
                      <w:t>、、</w:t>
                    </w:r>
                    <w:r>
                      <w:rPr>
                        <w:rFonts w:ascii="SimSun" w:eastAsia="SimSun" w:hAnsi="SimSun" w:cs="SimSun"/>
                        <w:b/>
                        <w:bCs/>
                        <w:color w:val="6DB14A"/>
                        <w:spacing w:val="0"/>
                        <w:w w:val="100"/>
                        <w:position w:val="0"/>
                        <w:sz w:val="17"/>
                        <w:szCs w:val="17"/>
                      </w:rPr>
                      <w:t>一^</w:t>
                    </w:r>
                    <w:r>
                      <w:rPr>
                        <w:rFonts w:ascii="SimSun" w:eastAsia="SimSun" w:hAnsi="SimSun" w:cs="SimSun"/>
                        <w:b/>
                        <w:bCs/>
                        <w:color w:val="5199CB"/>
                        <w:spacing w:val="0"/>
                        <w:w w:val="100"/>
                        <w:position w:val="0"/>
                        <w:sz w:val="17"/>
                        <w:szCs w:val="17"/>
                      </w:rPr>
                      <w:t>神州泰岳</w:t>
                    </w:r>
                  </w:p>
                </w:txbxContent>
              </v:textbox>
              <w10:wrap anchorx="page" anchory="page"/>
            </v:shape>
          </w:pict>
        </mc:Fallback>
      </mc:AlternateContent>
    </w:r>
    <w:r>
      <mc:AlternateContent>
        <mc:Choice Requires="wps">
          <w:drawing>
            <wp:anchor distT="0" distB="0" distL="0" distR="0" simplePos="0" relativeHeight="62914884" behindDoc="1" locked="0" layoutInCell="1" allowOverlap="1">
              <wp:simplePos x="0" y="0"/>
              <wp:positionH relativeFrom="page">
                <wp:posOffset>4141470</wp:posOffset>
              </wp:positionH>
              <wp:positionV relativeFrom="page">
                <wp:posOffset>830580</wp:posOffset>
              </wp:positionV>
              <wp:extent cx="2673350" cy="106680"/>
              <wp:wrapNone/>
              <wp:docPr id="437" name="Shape 437"/>
              <a:graphic xmlns:a="http://schemas.openxmlformats.org/drawingml/2006/main">
                <a:graphicData uri="http://schemas.microsoft.com/office/word/2010/wordprocessingShape">
                  <wps:wsp>
                    <wps:cNvSpPr txBox="1"/>
                    <wps:spPr>
                      <a:xfrm>
                        <a:ext cx="2673350" cy="106680"/>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北京神州泰岳软件股份有限公司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463" type="#_x0000_t202" style="position:absolute;margin-left:326.10000000000002pt;margin-top:65.400000000000006pt;width:210.5pt;height:8.4000000000000004pt;z-index:-188743869;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北京神州泰岳软件股份有限公司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700405</wp:posOffset>
              </wp:positionH>
              <wp:positionV relativeFrom="page">
                <wp:posOffset>979805</wp:posOffset>
              </wp:positionV>
              <wp:extent cx="6160135" cy="0"/>
              <wp:wrapNone/>
              <wp:docPr id="439" name="Shape 439"/>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5.149999999999999pt;margin-top:77.150000000000006pt;width:485.05000000000001pt;height:0;z-index:-251658240;mso-position-horizontal-relative:page;mso-position-vertical-relative:page">
              <v:stroke weight="1.pt"/>
            </v:shape>
          </w:pict>
        </mc:Fallback>
      </mc:AlternateContent>
    </w:r>
  </w:p>
</w:hdr>
</file>

<file path=word/header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2" behindDoc="1" locked="0" layoutInCell="1" allowOverlap="1">
              <wp:simplePos x="0" y="0"/>
              <wp:positionH relativeFrom="page">
                <wp:posOffset>718185</wp:posOffset>
              </wp:positionH>
              <wp:positionV relativeFrom="page">
                <wp:posOffset>699770</wp:posOffset>
              </wp:positionV>
              <wp:extent cx="1012190" cy="283210"/>
              <wp:wrapNone/>
              <wp:docPr id="17" name="Shape 17"/>
              <a:graphic xmlns:a="http://schemas.openxmlformats.org/drawingml/2006/main">
                <a:graphicData uri="http://schemas.microsoft.com/office/word/2010/wordprocessingShape">
                  <wps:wsp>
                    <wps:cNvSpPr txBox="1"/>
                    <wps:spPr>
                      <a:xfrm>
                        <a:ext cx="1012190" cy="283210"/>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b/>
                              <w:bCs/>
                              <w:i/>
                              <w:iCs/>
                              <w:color w:val="6DB14A"/>
                              <w:spacing w:val="0"/>
                              <w:w w:val="100"/>
                              <w:position w:val="0"/>
                              <w:sz w:val="18"/>
                              <w:szCs w:val="18"/>
                            </w:rPr>
                            <w:t>、、</w:t>
                          </w:r>
                          <w:r>
                            <w:rPr>
                              <w:rFonts w:ascii="SimSun" w:eastAsia="SimSun" w:hAnsi="SimSun" w:cs="SimSun"/>
                              <w:b/>
                              <w:bCs/>
                              <w:color w:val="6DB14A"/>
                              <w:spacing w:val="0"/>
                              <w:w w:val="100"/>
                              <w:position w:val="0"/>
                              <w:sz w:val="17"/>
                              <w:szCs w:val="17"/>
                            </w:rPr>
                            <w:t>一^</w:t>
                          </w:r>
                          <w:r>
                            <w:rPr>
                              <w:rFonts w:ascii="SimSun" w:eastAsia="SimSun" w:hAnsi="SimSun" w:cs="SimSun"/>
                              <w:b/>
                              <w:bCs/>
                              <w:color w:val="5199CB"/>
                              <w:spacing w:val="0"/>
                              <w:w w:val="100"/>
                              <w:position w:val="0"/>
                              <w:sz w:val="17"/>
                              <w:szCs w:val="17"/>
                            </w:rPr>
                            <w:t>神州泰岳</w:t>
                          </w:r>
                        </w:p>
                      </w:txbxContent>
                    </wps:txbx>
                    <wps:bodyPr wrap="none" lIns="0" tIns="0" rIns="0" bIns="0">
                      <a:spAutoFit/>
                    </wps:bodyPr>
                  </wps:wsp>
                </a:graphicData>
              </a:graphic>
            </wp:anchor>
          </w:drawing>
        </mc:Choice>
        <mc:Fallback>
          <w:pict>
            <v:shape id="_x0000_s1043" type="#_x0000_t202" style="position:absolute;margin-left:56.550000000000004pt;margin-top:55.100000000000001pt;width:79.700000000000003pt;height:22.300000000000001pt;z-index:-188744051;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b/>
                        <w:bCs/>
                        <w:i/>
                        <w:iCs/>
                        <w:color w:val="6DB14A"/>
                        <w:spacing w:val="0"/>
                        <w:w w:val="100"/>
                        <w:position w:val="0"/>
                        <w:sz w:val="18"/>
                        <w:szCs w:val="18"/>
                      </w:rPr>
                      <w:t>、、</w:t>
                    </w:r>
                    <w:r>
                      <w:rPr>
                        <w:rFonts w:ascii="SimSun" w:eastAsia="SimSun" w:hAnsi="SimSun" w:cs="SimSun"/>
                        <w:b/>
                        <w:bCs/>
                        <w:color w:val="6DB14A"/>
                        <w:spacing w:val="0"/>
                        <w:w w:val="100"/>
                        <w:position w:val="0"/>
                        <w:sz w:val="17"/>
                        <w:szCs w:val="17"/>
                      </w:rPr>
                      <w:t>一^</w:t>
                    </w:r>
                    <w:r>
                      <w:rPr>
                        <w:rFonts w:ascii="SimSun" w:eastAsia="SimSun" w:hAnsi="SimSun" w:cs="SimSun"/>
                        <w:b/>
                        <w:bCs/>
                        <w:color w:val="5199CB"/>
                        <w:spacing w:val="0"/>
                        <w:w w:val="100"/>
                        <w:position w:val="0"/>
                        <w:sz w:val="17"/>
                        <w:szCs w:val="17"/>
                      </w:rPr>
                      <w:t>神州泰岳</w:t>
                    </w:r>
                  </w:p>
                </w:txbxContent>
              </v:textbox>
              <w10:wrap anchorx="page" anchory="page"/>
            </v:shape>
          </w:pict>
        </mc:Fallback>
      </mc:AlternateContent>
    </w:r>
    <w:r>
      <mc:AlternateContent>
        <mc:Choice Requires="wps">
          <w:drawing>
            <wp:anchor distT="0" distB="0" distL="0" distR="0" simplePos="0" relativeHeight="62914704" behindDoc="1" locked="0" layoutInCell="1" allowOverlap="1">
              <wp:simplePos x="0" y="0"/>
              <wp:positionH relativeFrom="page">
                <wp:posOffset>4140835</wp:posOffset>
              </wp:positionH>
              <wp:positionV relativeFrom="page">
                <wp:posOffset>889000</wp:posOffset>
              </wp:positionV>
              <wp:extent cx="2673350" cy="106680"/>
              <wp:wrapNone/>
              <wp:docPr id="19" name="Shape 19"/>
              <a:graphic xmlns:a="http://schemas.openxmlformats.org/drawingml/2006/main">
                <a:graphicData uri="http://schemas.microsoft.com/office/word/2010/wordprocessingShape">
                  <wps:wsp>
                    <wps:cNvSpPr txBox="1"/>
                    <wps:spPr>
                      <a:xfrm>
                        <a:ext cx="2673350" cy="106680"/>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北京神州泰岳软件股份有限公司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045" type="#_x0000_t202" style="position:absolute;margin-left:326.05000000000001pt;margin-top:70.pt;width:210.5pt;height:8.4000000000000004pt;z-index:-188744049;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北京神州泰岳软件股份有限公司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699770</wp:posOffset>
              </wp:positionH>
              <wp:positionV relativeFrom="page">
                <wp:posOffset>1038225</wp:posOffset>
              </wp:positionV>
              <wp:extent cx="6160135" cy="0"/>
              <wp:wrapNone/>
              <wp:docPr id="21" name="Shape 21"/>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5.100000000000001pt;margin-top:81.75pt;width:485.05000000000001pt;height:0;z-index:-251658240;mso-position-horizontal-relative:page;mso-position-vertical-relative:page">
              <v:stroke weight="1.pt"/>
            </v:shape>
          </w:pict>
        </mc:Fallback>
      </mc:AlternateContent>
    </w:r>
  </w:p>
</w:hdr>
</file>

<file path=word/header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8" behindDoc="1" locked="0" layoutInCell="1" allowOverlap="1">
              <wp:simplePos x="0" y="0"/>
              <wp:positionH relativeFrom="page">
                <wp:posOffset>718820</wp:posOffset>
              </wp:positionH>
              <wp:positionV relativeFrom="page">
                <wp:posOffset>641985</wp:posOffset>
              </wp:positionV>
              <wp:extent cx="1012190" cy="283210"/>
              <wp:wrapNone/>
              <wp:docPr id="442" name="Shape 442"/>
              <a:graphic xmlns:a="http://schemas.openxmlformats.org/drawingml/2006/main">
                <a:graphicData uri="http://schemas.microsoft.com/office/word/2010/wordprocessingShape">
                  <wps:wsp>
                    <wps:cNvSpPr txBox="1"/>
                    <wps:spPr>
                      <a:xfrm>
                        <a:ext cx="1012190" cy="283210"/>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b/>
                              <w:bCs/>
                              <w:i/>
                              <w:iCs/>
                              <w:color w:val="6DB14A"/>
                              <w:spacing w:val="0"/>
                              <w:w w:val="100"/>
                              <w:position w:val="0"/>
                              <w:sz w:val="18"/>
                              <w:szCs w:val="18"/>
                            </w:rPr>
                            <w:t>、、</w:t>
                          </w:r>
                          <w:r>
                            <w:rPr>
                              <w:rFonts w:ascii="SimSun" w:eastAsia="SimSun" w:hAnsi="SimSun" w:cs="SimSun"/>
                              <w:b/>
                              <w:bCs/>
                              <w:color w:val="6DB14A"/>
                              <w:spacing w:val="0"/>
                              <w:w w:val="100"/>
                              <w:position w:val="0"/>
                              <w:sz w:val="17"/>
                              <w:szCs w:val="17"/>
                            </w:rPr>
                            <w:t>一^</w:t>
                          </w:r>
                          <w:r>
                            <w:rPr>
                              <w:rFonts w:ascii="SimSun" w:eastAsia="SimSun" w:hAnsi="SimSun" w:cs="SimSun"/>
                              <w:b/>
                              <w:bCs/>
                              <w:color w:val="5199CB"/>
                              <w:spacing w:val="0"/>
                              <w:w w:val="100"/>
                              <w:position w:val="0"/>
                              <w:sz w:val="17"/>
                              <w:szCs w:val="17"/>
                            </w:rPr>
                            <w:t>神州泰岳</w:t>
                          </w:r>
                        </w:p>
                      </w:txbxContent>
                    </wps:txbx>
                    <wps:bodyPr wrap="none" lIns="0" tIns="0" rIns="0" bIns="0">
                      <a:spAutoFit/>
                    </wps:bodyPr>
                  </wps:wsp>
                </a:graphicData>
              </a:graphic>
            </wp:anchor>
          </w:drawing>
        </mc:Choice>
        <mc:Fallback>
          <w:pict>
            <v:shape id="_x0000_s1468" type="#_x0000_t202" style="position:absolute;margin-left:56.600000000000001pt;margin-top:50.550000000000004pt;width:79.700000000000003pt;height:22.300000000000001pt;z-index:-188743865;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b/>
                        <w:bCs/>
                        <w:i/>
                        <w:iCs/>
                        <w:color w:val="6DB14A"/>
                        <w:spacing w:val="0"/>
                        <w:w w:val="100"/>
                        <w:position w:val="0"/>
                        <w:sz w:val="18"/>
                        <w:szCs w:val="18"/>
                      </w:rPr>
                      <w:t>、、</w:t>
                    </w:r>
                    <w:r>
                      <w:rPr>
                        <w:rFonts w:ascii="SimSun" w:eastAsia="SimSun" w:hAnsi="SimSun" w:cs="SimSun"/>
                        <w:b/>
                        <w:bCs/>
                        <w:color w:val="6DB14A"/>
                        <w:spacing w:val="0"/>
                        <w:w w:val="100"/>
                        <w:position w:val="0"/>
                        <w:sz w:val="17"/>
                        <w:szCs w:val="17"/>
                      </w:rPr>
                      <w:t>一^</w:t>
                    </w:r>
                    <w:r>
                      <w:rPr>
                        <w:rFonts w:ascii="SimSun" w:eastAsia="SimSun" w:hAnsi="SimSun" w:cs="SimSun"/>
                        <w:b/>
                        <w:bCs/>
                        <w:color w:val="5199CB"/>
                        <w:spacing w:val="0"/>
                        <w:w w:val="100"/>
                        <w:position w:val="0"/>
                        <w:sz w:val="17"/>
                        <w:szCs w:val="17"/>
                      </w:rPr>
                      <w:t>神州泰岳</w:t>
                    </w:r>
                  </w:p>
                </w:txbxContent>
              </v:textbox>
              <w10:wrap anchorx="page" anchory="page"/>
            </v:shape>
          </w:pict>
        </mc:Fallback>
      </mc:AlternateContent>
    </w:r>
    <w:r>
      <mc:AlternateContent>
        <mc:Choice Requires="wps">
          <w:drawing>
            <wp:anchor distT="0" distB="0" distL="0" distR="0" simplePos="0" relativeHeight="62914890" behindDoc="1" locked="0" layoutInCell="1" allowOverlap="1">
              <wp:simplePos x="0" y="0"/>
              <wp:positionH relativeFrom="page">
                <wp:posOffset>4141470</wp:posOffset>
              </wp:positionH>
              <wp:positionV relativeFrom="page">
                <wp:posOffset>830580</wp:posOffset>
              </wp:positionV>
              <wp:extent cx="2673350" cy="106680"/>
              <wp:wrapNone/>
              <wp:docPr id="444" name="Shape 444"/>
              <a:graphic xmlns:a="http://schemas.openxmlformats.org/drawingml/2006/main">
                <a:graphicData uri="http://schemas.microsoft.com/office/word/2010/wordprocessingShape">
                  <wps:wsp>
                    <wps:cNvSpPr txBox="1"/>
                    <wps:spPr>
                      <a:xfrm>
                        <a:ext cx="2673350" cy="106680"/>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北京神州泰岳软件股份有限公司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470" type="#_x0000_t202" style="position:absolute;margin-left:326.10000000000002pt;margin-top:65.400000000000006pt;width:210.5pt;height:8.4000000000000004pt;z-index:-188743863;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北京神州泰岳软件股份有限公司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700405</wp:posOffset>
              </wp:positionH>
              <wp:positionV relativeFrom="page">
                <wp:posOffset>979805</wp:posOffset>
              </wp:positionV>
              <wp:extent cx="6160135" cy="0"/>
              <wp:wrapNone/>
              <wp:docPr id="446" name="Shape 446"/>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5.149999999999999pt;margin-top:77.150000000000006pt;width:485.05000000000001pt;height:0;z-index:-251658240;mso-position-horizontal-relative:page;mso-position-vertical-relative:page">
              <v:stroke weight="1.pt"/>
            </v:shape>
          </w:pict>
        </mc:Fallback>
      </mc:AlternateContent>
    </w:r>
  </w:p>
</w:hdr>
</file>

<file path=word/header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4" behindDoc="1" locked="0" layoutInCell="1" allowOverlap="1">
              <wp:simplePos x="0" y="0"/>
              <wp:positionH relativeFrom="page">
                <wp:posOffset>719455</wp:posOffset>
              </wp:positionH>
              <wp:positionV relativeFrom="page">
                <wp:posOffset>641985</wp:posOffset>
              </wp:positionV>
              <wp:extent cx="6096000" cy="295910"/>
              <wp:wrapNone/>
              <wp:docPr id="449" name="Shape 449"/>
              <a:graphic xmlns:a="http://schemas.openxmlformats.org/drawingml/2006/main">
                <a:graphicData uri="http://schemas.microsoft.com/office/word/2010/wordprocessingShape">
                  <wps:wsp>
                    <wps:cNvSpPr txBox="1"/>
                    <wps:spPr>
                      <a:xfrm>
                        <a:ext cx="6096000" cy="295910"/>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1F84C4"/>
                              <w:spacing w:val="0"/>
                              <w:w w:val="100"/>
                              <w:position w:val="0"/>
                              <w:sz w:val="17"/>
                              <w:szCs w:val="17"/>
                            </w:rPr>
                            <w:t>斗卜</w:t>
                          </w:r>
                          <w:r>
                            <w:rPr>
                              <w:color w:val="1F84C4"/>
                              <w:spacing w:val="0"/>
                              <w:w w:val="100"/>
                              <w:position w:val="0"/>
                              <w:sz w:val="18"/>
                              <w:szCs w:val="18"/>
                            </w:rPr>
                            <w:t>I</w:t>
                          </w:r>
                          <w:r>
                            <w:rPr>
                              <w:rFonts w:ascii="SimSun" w:eastAsia="SimSun" w:hAnsi="SimSun" w:cs="SimSun"/>
                              <w:color w:val="1F84C4"/>
                              <w:spacing w:val="0"/>
                              <w:w w:val="100"/>
                              <w:position w:val="0"/>
                              <w:sz w:val="17"/>
                              <w:szCs w:val="17"/>
                            </w:rPr>
                            <w:t>..泰</w:t>
                          </w:r>
                          <w:r>
                            <w:rPr>
                              <w:rFonts w:ascii="SimSun" w:eastAsia="SimSun" w:hAnsi="SimSun" w:cs="SimSun"/>
                              <w:color w:val="000000"/>
                              <w:spacing w:val="0"/>
                              <w:w w:val="100"/>
                              <w:position w:val="0"/>
                              <w:sz w:val="17"/>
                              <w:szCs w:val="17"/>
                            </w:rPr>
                            <w:t>北京神州泰岳软件股份有限公司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475" type="#_x0000_t202" style="position:absolute;margin-left:56.649999999999999pt;margin-top:50.550000000000004pt;width:480.pt;height:23.300000000000001pt;z-index:-188743859;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1F84C4"/>
                        <w:spacing w:val="0"/>
                        <w:w w:val="100"/>
                        <w:position w:val="0"/>
                        <w:sz w:val="17"/>
                        <w:szCs w:val="17"/>
                      </w:rPr>
                      <w:t>斗卜</w:t>
                    </w:r>
                    <w:r>
                      <w:rPr>
                        <w:color w:val="1F84C4"/>
                        <w:spacing w:val="0"/>
                        <w:w w:val="100"/>
                        <w:position w:val="0"/>
                        <w:sz w:val="18"/>
                        <w:szCs w:val="18"/>
                      </w:rPr>
                      <w:t>I</w:t>
                    </w:r>
                    <w:r>
                      <w:rPr>
                        <w:rFonts w:ascii="SimSun" w:eastAsia="SimSun" w:hAnsi="SimSun" w:cs="SimSun"/>
                        <w:color w:val="1F84C4"/>
                        <w:spacing w:val="0"/>
                        <w:w w:val="100"/>
                        <w:position w:val="0"/>
                        <w:sz w:val="17"/>
                        <w:szCs w:val="17"/>
                      </w:rPr>
                      <w:t>..泰</w:t>
                    </w:r>
                    <w:r>
                      <w:rPr>
                        <w:rFonts w:ascii="SimSun" w:eastAsia="SimSun" w:hAnsi="SimSun" w:cs="SimSun"/>
                        <w:color w:val="000000"/>
                        <w:spacing w:val="0"/>
                        <w:w w:val="100"/>
                        <w:position w:val="0"/>
                        <w:sz w:val="17"/>
                        <w:szCs w:val="17"/>
                      </w:rPr>
                      <w:t>北京神州泰岳软件股份有限公司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701040</wp:posOffset>
              </wp:positionH>
              <wp:positionV relativeFrom="page">
                <wp:posOffset>1044575</wp:posOffset>
              </wp:positionV>
              <wp:extent cx="6160135" cy="0"/>
              <wp:wrapNone/>
              <wp:docPr id="451" name="Shape 451"/>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5.200000000000003pt;margin-top:82.25pt;width:485.05000000000001pt;height:0;z-index:-251658240;mso-position-horizontal-relative:page;mso-position-vertical-relative:page">
              <v:stroke weight="1.pt"/>
            </v:shape>
          </w:pict>
        </mc:Fallback>
      </mc:AlternateContent>
    </w:r>
  </w:p>
</w:hdr>
</file>

<file path=word/header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8" behindDoc="1" locked="0" layoutInCell="1" allowOverlap="1">
              <wp:simplePos x="0" y="0"/>
              <wp:positionH relativeFrom="page">
                <wp:posOffset>716280</wp:posOffset>
              </wp:positionH>
              <wp:positionV relativeFrom="page">
                <wp:posOffset>704850</wp:posOffset>
              </wp:positionV>
              <wp:extent cx="6096000" cy="295910"/>
              <wp:wrapNone/>
              <wp:docPr id="454" name="Shape 454"/>
              <a:graphic xmlns:a="http://schemas.openxmlformats.org/drawingml/2006/main">
                <a:graphicData uri="http://schemas.microsoft.com/office/word/2010/wordprocessingShape">
                  <wps:wsp>
                    <wps:cNvSpPr txBox="1"/>
                    <wps:spPr>
                      <a:xfrm>
                        <a:ext cx="6096000" cy="2959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tabs>
                              <w:tab w:pos="8707" w:val="right"/>
                            </w:tabs>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1F84C4"/>
                              <w:spacing w:val="0"/>
                              <w:w w:val="100"/>
                              <w:position w:val="0"/>
                            </w:rPr>
                            <w:t>•，</w:t>
                            <w:tab/>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lIns="0" tIns="0" rIns="0" bIns="0">
                      <a:spAutoFit/>
                    </wps:bodyPr>
                  </wps:wsp>
                </a:graphicData>
              </a:graphic>
            </wp:anchor>
          </w:drawing>
        </mc:Choice>
        <mc:Fallback>
          <w:pict>
            <v:shape id="_x0000_s1480" type="#_x0000_t202" style="position:absolute;margin-left:56.399999999999999pt;margin-top:55.5pt;width:480.pt;height:23.300000000000001pt;z-index:-188743855;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tabs>
                        <w:tab w:pos="8707" w:val="right"/>
                      </w:tabs>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1F84C4"/>
                        <w:spacing w:val="0"/>
                        <w:w w:val="100"/>
                        <w:position w:val="0"/>
                      </w:rPr>
                      <w:t>•，</w:t>
                      <w:tab/>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p>
</w:hdr>
</file>

<file path=word/header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2" behindDoc="1" locked="0" layoutInCell="1" allowOverlap="1">
              <wp:simplePos x="0" y="0"/>
              <wp:positionH relativeFrom="page">
                <wp:posOffset>716280</wp:posOffset>
              </wp:positionH>
              <wp:positionV relativeFrom="page">
                <wp:posOffset>704850</wp:posOffset>
              </wp:positionV>
              <wp:extent cx="6096000" cy="295910"/>
              <wp:wrapNone/>
              <wp:docPr id="458" name="Shape 458"/>
              <a:graphic xmlns:a="http://schemas.openxmlformats.org/drawingml/2006/main">
                <a:graphicData uri="http://schemas.microsoft.com/office/word/2010/wordprocessingShape">
                  <wps:wsp>
                    <wps:cNvSpPr txBox="1"/>
                    <wps:spPr>
                      <a:xfrm>
                        <a:ext cx="6096000" cy="2959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tabs>
                              <w:tab w:pos="8707" w:val="right"/>
                            </w:tabs>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1F84C4"/>
                              <w:spacing w:val="0"/>
                              <w:w w:val="100"/>
                              <w:position w:val="0"/>
                            </w:rPr>
                            <w:t>•，</w:t>
                            <w:tab/>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lIns="0" tIns="0" rIns="0" bIns="0">
                      <a:spAutoFit/>
                    </wps:bodyPr>
                  </wps:wsp>
                </a:graphicData>
              </a:graphic>
            </wp:anchor>
          </w:drawing>
        </mc:Choice>
        <mc:Fallback>
          <w:pict>
            <v:shape id="_x0000_s1484" type="#_x0000_t202" style="position:absolute;margin-left:56.399999999999999pt;margin-top:55.5pt;width:480.pt;height:23.300000000000001pt;z-index:-188743851;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tabs>
                        <w:tab w:pos="8707" w:val="right"/>
                      </w:tabs>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1F84C4"/>
                        <w:spacing w:val="0"/>
                        <w:w w:val="100"/>
                        <w:position w:val="0"/>
                      </w:rPr>
                      <w:t>•，</w:t>
                      <w:tab/>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p>
</w:hdr>
</file>

<file path=word/header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6" behindDoc="1" locked="0" layoutInCell="1" allowOverlap="1">
              <wp:simplePos x="0" y="0"/>
              <wp:positionH relativeFrom="page">
                <wp:posOffset>718820</wp:posOffset>
              </wp:positionH>
              <wp:positionV relativeFrom="page">
                <wp:posOffset>641985</wp:posOffset>
              </wp:positionV>
              <wp:extent cx="1012190" cy="283210"/>
              <wp:wrapNone/>
              <wp:docPr id="462" name="Shape 462"/>
              <a:graphic xmlns:a="http://schemas.openxmlformats.org/drawingml/2006/main">
                <a:graphicData uri="http://schemas.microsoft.com/office/word/2010/wordprocessingShape">
                  <wps:wsp>
                    <wps:cNvSpPr txBox="1"/>
                    <wps:spPr>
                      <a:xfrm>
                        <a:ext cx="1012190" cy="283210"/>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b/>
                              <w:bCs/>
                              <w:i/>
                              <w:iCs/>
                              <w:color w:val="6DB14A"/>
                              <w:spacing w:val="0"/>
                              <w:w w:val="100"/>
                              <w:position w:val="0"/>
                              <w:sz w:val="18"/>
                              <w:szCs w:val="18"/>
                            </w:rPr>
                            <w:t>、、</w:t>
                          </w:r>
                          <w:r>
                            <w:rPr>
                              <w:rFonts w:ascii="SimSun" w:eastAsia="SimSun" w:hAnsi="SimSun" w:cs="SimSun"/>
                              <w:b/>
                              <w:bCs/>
                              <w:color w:val="6DB14A"/>
                              <w:spacing w:val="0"/>
                              <w:w w:val="100"/>
                              <w:position w:val="0"/>
                              <w:sz w:val="17"/>
                              <w:szCs w:val="17"/>
                            </w:rPr>
                            <w:t>一^</w:t>
                          </w:r>
                          <w:r>
                            <w:rPr>
                              <w:rFonts w:ascii="SimSun" w:eastAsia="SimSun" w:hAnsi="SimSun" w:cs="SimSun"/>
                              <w:b/>
                              <w:bCs/>
                              <w:color w:val="5199CB"/>
                              <w:spacing w:val="0"/>
                              <w:w w:val="100"/>
                              <w:position w:val="0"/>
                              <w:sz w:val="17"/>
                              <w:szCs w:val="17"/>
                            </w:rPr>
                            <w:t>神州泰岳</w:t>
                          </w:r>
                        </w:p>
                      </w:txbxContent>
                    </wps:txbx>
                    <wps:bodyPr wrap="none" lIns="0" tIns="0" rIns="0" bIns="0">
                      <a:spAutoFit/>
                    </wps:bodyPr>
                  </wps:wsp>
                </a:graphicData>
              </a:graphic>
            </wp:anchor>
          </w:drawing>
        </mc:Choice>
        <mc:Fallback>
          <w:pict>
            <v:shape id="_x0000_s1488" type="#_x0000_t202" style="position:absolute;margin-left:56.600000000000001pt;margin-top:50.550000000000004pt;width:79.700000000000003pt;height:22.300000000000001pt;z-index:-188743847;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b/>
                        <w:bCs/>
                        <w:i/>
                        <w:iCs/>
                        <w:color w:val="6DB14A"/>
                        <w:spacing w:val="0"/>
                        <w:w w:val="100"/>
                        <w:position w:val="0"/>
                        <w:sz w:val="18"/>
                        <w:szCs w:val="18"/>
                      </w:rPr>
                      <w:t>、、</w:t>
                    </w:r>
                    <w:r>
                      <w:rPr>
                        <w:rFonts w:ascii="SimSun" w:eastAsia="SimSun" w:hAnsi="SimSun" w:cs="SimSun"/>
                        <w:b/>
                        <w:bCs/>
                        <w:color w:val="6DB14A"/>
                        <w:spacing w:val="0"/>
                        <w:w w:val="100"/>
                        <w:position w:val="0"/>
                        <w:sz w:val="17"/>
                        <w:szCs w:val="17"/>
                      </w:rPr>
                      <w:t>一^</w:t>
                    </w:r>
                    <w:r>
                      <w:rPr>
                        <w:rFonts w:ascii="SimSun" w:eastAsia="SimSun" w:hAnsi="SimSun" w:cs="SimSun"/>
                        <w:b/>
                        <w:bCs/>
                        <w:color w:val="5199CB"/>
                        <w:spacing w:val="0"/>
                        <w:w w:val="100"/>
                        <w:position w:val="0"/>
                        <w:sz w:val="17"/>
                        <w:szCs w:val="17"/>
                      </w:rPr>
                      <w:t>神州泰岳</w:t>
                    </w:r>
                  </w:p>
                </w:txbxContent>
              </v:textbox>
              <w10:wrap anchorx="page" anchory="page"/>
            </v:shape>
          </w:pict>
        </mc:Fallback>
      </mc:AlternateContent>
    </w:r>
    <w:r>
      <mc:AlternateContent>
        <mc:Choice Requires="wps">
          <w:drawing>
            <wp:anchor distT="0" distB="0" distL="0" distR="0" simplePos="0" relativeHeight="62914908" behindDoc="1" locked="0" layoutInCell="1" allowOverlap="1">
              <wp:simplePos x="0" y="0"/>
              <wp:positionH relativeFrom="page">
                <wp:posOffset>4141470</wp:posOffset>
              </wp:positionH>
              <wp:positionV relativeFrom="page">
                <wp:posOffset>830580</wp:posOffset>
              </wp:positionV>
              <wp:extent cx="2673350" cy="106680"/>
              <wp:wrapNone/>
              <wp:docPr id="464" name="Shape 464"/>
              <a:graphic xmlns:a="http://schemas.openxmlformats.org/drawingml/2006/main">
                <a:graphicData uri="http://schemas.microsoft.com/office/word/2010/wordprocessingShape">
                  <wps:wsp>
                    <wps:cNvSpPr txBox="1"/>
                    <wps:spPr>
                      <a:xfrm>
                        <a:ext cx="2673350" cy="106680"/>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北京神州泰岳软件股份有限公司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490" type="#_x0000_t202" style="position:absolute;margin-left:326.10000000000002pt;margin-top:65.400000000000006pt;width:210.5pt;height:8.4000000000000004pt;z-index:-188743845;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北京神州泰岳软件股份有限公司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700405</wp:posOffset>
              </wp:positionH>
              <wp:positionV relativeFrom="page">
                <wp:posOffset>979805</wp:posOffset>
              </wp:positionV>
              <wp:extent cx="6160135" cy="0"/>
              <wp:wrapNone/>
              <wp:docPr id="466" name="Shape 466"/>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5.149999999999999pt;margin-top:77.150000000000006pt;width:485.05000000000001pt;height:0;z-index:-251658240;mso-position-horizontal-relative:page;mso-position-vertical-relative:page">
              <v:stroke weight="1.pt"/>
            </v:shape>
          </w:pict>
        </mc:Fallback>
      </mc:AlternateContent>
    </w:r>
  </w:p>
</w:hdr>
</file>

<file path=word/header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2" behindDoc="1" locked="0" layoutInCell="1" allowOverlap="1">
              <wp:simplePos x="0" y="0"/>
              <wp:positionH relativeFrom="page">
                <wp:posOffset>718820</wp:posOffset>
              </wp:positionH>
              <wp:positionV relativeFrom="page">
                <wp:posOffset>641985</wp:posOffset>
              </wp:positionV>
              <wp:extent cx="1012190" cy="283210"/>
              <wp:wrapNone/>
              <wp:docPr id="469" name="Shape 469"/>
              <a:graphic xmlns:a="http://schemas.openxmlformats.org/drawingml/2006/main">
                <a:graphicData uri="http://schemas.microsoft.com/office/word/2010/wordprocessingShape">
                  <wps:wsp>
                    <wps:cNvSpPr txBox="1"/>
                    <wps:spPr>
                      <a:xfrm>
                        <a:ext cx="1012190" cy="283210"/>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b/>
                              <w:bCs/>
                              <w:i/>
                              <w:iCs/>
                              <w:color w:val="6DB14A"/>
                              <w:spacing w:val="0"/>
                              <w:w w:val="100"/>
                              <w:position w:val="0"/>
                              <w:sz w:val="18"/>
                              <w:szCs w:val="18"/>
                            </w:rPr>
                            <w:t>、、</w:t>
                          </w:r>
                          <w:r>
                            <w:rPr>
                              <w:rFonts w:ascii="SimSun" w:eastAsia="SimSun" w:hAnsi="SimSun" w:cs="SimSun"/>
                              <w:b/>
                              <w:bCs/>
                              <w:color w:val="6DB14A"/>
                              <w:spacing w:val="0"/>
                              <w:w w:val="100"/>
                              <w:position w:val="0"/>
                              <w:sz w:val="17"/>
                              <w:szCs w:val="17"/>
                            </w:rPr>
                            <w:t>一^</w:t>
                          </w:r>
                          <w:r>
                            <w:rPr>
                              <w:rFonts w:ascii="SimSun" w:eastAsia="SimSun" w:hAnsi="SimSun" w:cs="SimSun"/>
                              <w:b/>
                              <w:bCs/>
                              <w:color w:val="5199CB"/>
                              <w:spacing w:val="0"/>
                              <w:w w:val="100"/>
                              <w:position w:val="0"/>
                              <w:sz w:val="17"/>
                              <w:szCs w:val="17"/>
                            </w:rPr>
                            <w:t>神州泰岳</w:t>
                          </w:r>
                        </w:p>
                      </w:txbxContent>
                    </wps:txbx>
                    <wps:bodyPr wrap="none" lIns="0" tIns="0" rIns="0" bIns="0">
                      <a:spAutoFit/>
                    </wps:bodyPr>
                  </wps:wsp>
                </a:graphicData>
              </a:graphic>
            </wp:anchor>
          </w:drawing>
        </mc:Choice>
        <mc:Fallback>
          <w:pict>
            <v:shape id="_x0000_s1495" type="#_x0000_t202" style="position:absolute;margin-left:56.600000000000001pt;margin-top:50.550000000000004pt;width:79.700000000000003pt;height:22.300000000000001pt;z-index:-188743841;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b/>
                        <w:bCs/>
                        <w:i/>
                        <w:iCs/>
                        <w:color w:val="6DB14A"/>
                        <w:spacing w:val="0"/>
                        <w:w w:val="100"/>
                        <w:position w:val="0"/>
                        <w:sz w:val="18"/>
                        <w:szCs w:val="18"/>
                      </w:rPr>
                      <w:t>、、</w:t>
                    </w:r>
                    <w:r>
                      <w:rPr>
                        <w:rFonts w:ascii="SimSun" w:eastAsia="SimSun" w:hAnsi="SimSun" w:cs="SimSun"/>
                        <w:b/>
                        <w:bCs/>
                        <w:color w:val="6DB14A"/>
                        <w:spacing w:val="0"/>
                        <w:w w:val="100"/>
                        <w:position w:val="0"/>
                        <w:sz w:val="17"/>
                        <w:szCs w:val="17"/>
                      </w:rPr>
                      <w:t>一^</w:t>
                    </w:r>
                    <w:r>
                      <w:rPr>
                        <w:rFonts w:ascii="SimSun" w:eastAsia="SimSun" w:hAnsi="SimSun" w:cs="SimSun"/>
                        <w:b/>
                        <w:bCs/>
                        <w:color w:val="5199CB"/>
                        <w:spacing w:val="0"/>
                        <w:w w:val="100"/>
                        <w:position w:val="0"/>
                        <w:sz w:val="17"/>
                        <w:szCs w:val="17"/>
                      </w:rPr>
                      <w:t>神州泰岳</w:t>
                    </w:r>
                  </w:p>
                </w:txbxContent>
              </v:textbox>
              <w10:wrap anchorx="page" anchory="page"/>
            </v:shape>
          </w:pict>
        </mc:Fallback>
      </mc:AlternateContent>
    </w:r>
    <w:r>
      <mc:AlternateContent>
        <mc:Choice Requires="wps">
          <w:drawing>
            <wp:anchor distT="0" distB="0" distL="0" distR="0" simplePos="0" relativeHeight="62914914" behindDoc="1" locked="0" layoutInCell="1" allowOverlap="1">
              <wp:simplePos x="0" y="0"/>
              <wp:positionH relativeFrom="page">
                <wp:posOffset>4141470</wp:posOffset>
              </wp:positionH>
              <wp:positionV relativeFrom="page">
                <wp:posOffset>830580</wp:posOffset>
              </wp:positionV>
              <wp:extent cx="2673350" cy="106680"/>
              <wp:wrapNone/>
              <wp:docPr id="471" name="Shape 471"/>
              <a:graphic xmlns:a="http://schemas.openxmlformats.org/drawingml/2006/main">
                <a:graphicData uri="http://schemas.microsoft.com/office/word/2010/wordprocessingShape">
                  <wps:wsp>
                    <wps:cNvSpPr txBox="1"/>
                    <wps:spPr>
                      <a:xfrm>
                        <a:ext cx="2673350" cy="106680"/>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北京神州泰岳软件股份有限公司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497" type="#_x0000_t202" style="position:absolute;margin-left:326.10000000000002pt;margin-top:65.400000000000006pt;width:210.5pt;height:8.4000000000000004pt;z-index:-188743839;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北京神州泰岳软件股份有限公司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700405</wp:posOffset>
              </wp:positionH>
              <wp:positionV relativeFrom="page">
                <wp:posOffset>979805</wp:posOffset>
              </wp:positionV>
              <wp:extent cx="6160135" cy="0"/>
              <wp:wrapNone/>
              <wp:docPr id="473" name="Shape 473"/>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5.149999999999999pt;margin-top:77.150000000000006pt;width:485.05000000000001pt;height:0;z-index:-251658240;mso-position-horizontal-relative:page;mso-position-vertical-relative:page">
              <v:stroke weight="1.pt"/>
            </v:shape>
          </w:pict>
        </mc:Fallback>
      </mc:AlternateContent>
    </w:r>
  </w:p>
</w:hdr>
</file>

<file path=word/header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8" behindDoc="1" locked="0" layoutInCell="1" allowOverlap="1">
              <wp:simplePos x="0" y="0"/>
              <wp:positionH relativeFrom="page">
                <wp:posOffset>719455</wp:posOffset>
              </wp:positionH>
              <wp:positionV relativeFrom="page">
                <wp:posOffset>641985</wp:posOffset>
              </wp:positionV>
              <wp:extent cx="6096000" cy="295910"/>
              <wp:wrapNone/>
              <wp:docPr id="476" name="Shape 476"/>
              <a:graphic xmlns:a="http://schemas.openxmlformats.org/drawingml/2006/main">
                <a:graphicData uri="http://schemas.microsoft.com/office/word/2010/wordprocessingShape">
                  <wps:wsp>
                    <wps:cNvSpPr txBox="1"/>
                    <wps:spPr>
                      <a:xfrm>
                        <a:ext cx="6096000" cy="295910"/>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1F84C4"/>
                              <w:spacing w:val="0"/>
                              <w:w w:val="100"/>
                              <w:position w:val="0"/>
                              <w:sz w:val="17"/>
                              <w:szCs w:val="17"/>
                            </w:rPr>
                            <w:t>斗卜</w:t>
                          </w:r>
                          <w:r>
                            <w:rPr>
                              <w:color w:val="1F84C4"/>
                              <w:spacing w:val="0"/>
                              <w:w w:val="100"/>
                              <w:position w:val="0"/>
                              <w:sz w:val="18"/>
                              <w:szCs w:val="18"/>
                            </w:rPr>
                            <w:t>I</w:t>
                          </w:r>
                          <w:r>
                            <w:rPr>
                              <w:rFonts w:ascii="SimSun" w:eastAsia="SimSun" w:hAnsi="SimSun" w:cs="SimSun"/>
                              <w:color w:val="1F84C4"/>
                              <w:spacing w:val="0"/>
                              <w:w w:val="100"/>
                              <w:position w:val="0"/>
                              <w:sz w:val="17"/>
                              <w:szCs w:val="17"/>
                            </w:rPr>
                            <w:t>..泰</w:t>
                          </w:r>
                          <w:r>
                            <w:rPr>
                              <w:rFonts w:ascii="SimSun" w:eastAsia="SimSun" w:hAnsi="SimSun" w:cs="SimSun"/>
                              <w:color w:val="000000"/>
                              <w:spacing w:val="0"/>
                              <w:w w:val="100"/>
                              <w:position w:val="0"/>
                              <w:sz w:val="17"/>
                              <w:szCs w:val="17"/>
                            </w:rPr>
                            <w:t>北京神州泰岳软件股份有限公司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502" type="#_x0000_t202" style="position:absolute;margin-left:56.649999999999999pt;margin-top:50.550000000000004pt;width:480.pt;height:23.300000000000001pt;z-index:-188743835;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1F84C4"/>
                        <w:spacing w:val="0"/>
                        <w:w w:val="100"/>
                        <w:position w:val="0"/>
                        <w:sz w:val="17"/>
                        <w:szCs w:val="17"/>
                      </w:rPr>
                      <w:t>斗卜</w:t>
                    </w:r>
                    <w:r>
                      <w:rPr>
                        <w:color w:val="1F84C4"/>
                        <w:spacing w:val="0"/>
                        <w:w w:val="100"/>
                        <w:position w:val="0"/>
                        <w:sz w:val="18"/>
                        <w:szCs w:val="18"/>
                      </w:rPr>
                      <w:t>I</w:t>
                    </w:r>
                    <w:r>
                      <w:rPr>
                        <w:rFonts w:ascii="SimSun" w:eastAsia="SimSun" w:hAnsi="SimSun" w:cs="SimSun"/>
                        <w:color w:val="1F84C4"/>
                        <w:spacing w:val="0"/>
                        <w:w w:val="100"/>
                        <w:position w:val="0"/>
                        <w:sz w:val="17"/>
                        <w:szCs w:val="17"/>
                      </w:rPr>
                      <w:t>..泰</w:t>
                    </w:r>
                    <w:r>
                      <w:rPr>
                        <w:rFonts w:ascii="SimSun" w:eastAsia="SimSun" w:hAnsi="SimSun" w:cs="SimSun"/>
                        <w:color w:val="000000"/>
                        <w:spacing w:val="0"/>
                        <w:w w:val="100"/>
                        <w:position w:val="0"/>
                        <w:sz w:val="17"/>
                        <w:szCs w:val="17"/>
                      </w:rPr>
                      <w:t>北京神州泰岳软件股份有限公司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701040</wp:posOffset>
              </wp:positionH>
              <wp:positionV relativeFrom="page">
                <wp:posOffset>1044575</wp:posOffset>
              </wp:positionV>
              <wp:extent cx="6160135" cy="0"/>
              <wp:wrapNone/>
              <wp:docPr id="478" name="Shape 478"/>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5.200000000000003pt;margin-top:82.25pt;width:485.05000000000001pt;height:0;z-index:-251658240;mso-position-horizontal-relative:page;mso-position-vertical-relative:page">
              <v:stroke weight="1.pt"/>
            </v:shape>
          </w:pict>
        </mc:Fallback>
      </mc:AlternateContent>
    </w:r>
  </w:p>
</w:hdr>
</file>

<file path=word/header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6" behindDoc="1" locked="0" layoutInCell="1" allowOverlap="1">
              <wp:simplePos x="0" y="0"/>
              <wp:positionH relativeFrom="page">
                <wp:posOffset>719455</wp:posOffset>
              </wp:positionH>
              <wp:positionV relativeFrom="page">
                <wp:posOffset>641985</wp:posOffset>
              </wp:positionV>
              <wp:extent cx="6096000" cy="295910"/>
              <wp:wrapNone/>
              <wp:docPr id="485" name="Shape 485"/>
              <a:graphic xmlns:a="http://schemas.openxmlformats.org/drawingml/2006/main">
                <a:graphicData uri="http://schemas.microsoft.com/office/word/2010/wordprocessingShape">
                  <wps:wsp>
                    <wps:cNvSpPr txBox="1"/>
                    <wps:spPr>
                      <a:xfrm>
                        <a:ext cx="6096000" cy="295910"/>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1F84C4"/>
                              <w:spacing w:val="0"/>
                              <w:w w:val="100"/>
                              <w:position w:val="0"/>
                              <w:sz w:val="17"/>
                              <w:szCs w:val="17"/>
                            </w:rPr>
                            <w:t>斗卜</w:t>
                          </w:r>
                          <w:r>
                            <w:rPr>
                              <w:color w:val="1F84C4"/>
                              <w:spacing w:val="0"/>
                              <w:w w:val="100"/>
                              <w:position w:val="0"/>
                              <w:sz w:val="18"/>
                              <w:szCs w:val="18"/>
                            </w:rPr>
                            <w:t>I</w:t>
                          </w:r>
                          <w:r>
                            <w:rPr>
                              <w:rFonts w:ascii="SimSun" w:eastAsia="SimSun" w:hAnsi="SimSun" w:cs="SimSun"/>
                              <w:color w:val="1F84C4"/>
                              <w:spacing w:val="0"/>
                              <w:w w:val="100"/>
                              <w:position w:val="0"/>
                              <w:sz w:val="17"/>
                              <w:szCs w:val="17"/>
                            </w:rPr>
                            <w:t>..泰</w:t>
                          </w:r>
                          <w:r>
                            <w:rPr>
                              <w:rFonts w:ascii="SimSun" w:eastAsia="SimSun" w:hAnsi="SimSun" w:cs="SimSun"/>
                              <w:color w:val="000000"/>
                              <w:spacing w:val="0"/>
                              <w:w w:val="100"/>
                              <w:position w:val="0"/>
                              <w:sz w:val="17"/>
                              <w:szCs w:val="17"/>
                            </w:rPr>
                            <w:t>北京神州泰岳软件股份有限公司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511" type="#_x0000_t202" style="position:absolute;margin-left:56.649999999999999pt;margin-top:50.550000000000004pt;width:480.pt;height:23.300000000000001pt;z-index:-188743827;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1F84C4"/>
                        <w:spacing w:val="0"/>
                        <w:w w:val="100"/>
                        <w:position w:val="0"/>
                        <w:sz w:val="17"/>
                        <w:szCs w:val="17"/>
                      </w:rPr>
                      <w:t>斗卜</w:t>
                    </w:r>
                    <w:r>
                      <w:rPr>
                        <w:color w:val="1F84C4"/>
                        <w:spacing w:val="0"/>
                        <w:w w:val="100"/>
                        <w:position w:val="0"/>
                        <w:sz w:val="18"/>
                        <w:szCs w:val="18"/>
                      </w:rPr>
                      <w:t>I</w:t>
                    </w:r>
                    <w:r>
                      <w:rPr>
                        <w:rFonts w:ascii="SimSun" w:eastAsia="SimSun" w:hAnsi="SimSun" w:cs="SimSun"/>
                        <w:color w:val="1F84C4"/>
                        <w:spacing w:val="0"/>
                        <w:w w:val="100"/>
                        <w:position w:val="0"/>
                        <w:sz w:val="17"/>
                        <w:szCs w:val="17"/>
                      </w:rPr>
                      <w:t>..泰</w:t>
                    </w:r>
                    <w:r>
                      <w:rPr>
                        <w:rFonts w:ascii="SimSun" w:eastAsia="SimSun" w:hAnsi="SimSun" w:cs="SimSun"/>
                        <w:color w:val="000000"/>
                        <w:spacing w:val="0"/>
                        <w:w w:val="100"/>
                        <w:position w:val="0"/>
                        <w:sz w:val="17"/>
                        <w:szCs w:val="17"/>
                      </w:rPr>
                      <w:t>北京神州泰岳软件股份有限公司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701040</wp:posOffset>
              </wp:positionH>
              <wp:positionV relativeFrom="page">
                <wp:posOffset>1044575</wp:posOffset>
              </wp:positionV>
              <wp:extent cx="6160135" cy="0"/>
              <wp:wrapNone/>
              <wp:docPr id="487" name="Shape 487"/>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5.200000000000003pt;margin-top:82.25pt;width:485.05000000000001pt;height:0;z-index:-251658240;mso-position-horizontal-relative:page;mso-position-vertical-relative:page">
              <v:stroke weight="1.pt"/>
            </v:shape>
          </w:pict>
        </mc:Fallback>
      </mc:AlternateContent>
    </w:r>
  </w:p>
</w:hdr>
</file>

<file path=word/header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8" behindDoc="1" locked="0" layoutInCell="1" allowOverlap="1">
              <wp:simplePos x="0" y="0"/>
              <wp:positionH relativeFrom="page">
                <wp:posOffset>718185</wp:posOffset>
              </wp:positionH>
              <wp:positionV relativeFrom="page">
                <wp:posOffset>699770</wp:posOffset>
              </wp:positionV>
              <wp:extent cx="1012190" cy="283210"/>
              <wp:wrapNone/>
              <wp:docPr id="24" name="Shape 24"/>
              <a:graphic xmlns:a="http://schemas.openxmlformats.org/drawingml/2006/main">
                <a:graphicData uri="http://schemas.microsoft.com/office/word/2010/wordprocessingShape">
                  <wps:wsp>
                    <wps:cNvSpPr txBox="1"/>
                    <wps:spPr>
                      <a:xfrm>
                        <a:ext cx="1012190" cy="283210"/>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b/>
                              <w:bCs/>
                              <w:i/>
                              <w:iCs/>
                              <w:color w:val="6DB14A"/>
                              <w:spacing w:val="0"/>
                              <w:w w:val="100"/>
                              <w:position w:val="0"/>
                              <w:sz w:val="18"/>
                              <w:szCs w:val="18"/>
                            </w:rPr>
                            <w:t>、、</w:t>
                          </w:r>
                          <w:r>
                            <w:rPr>
                              <w:rFonts w:ascii="SimSun" w:eastAsia="SimSun" w:hAnsi="SimSun" w:cs="SimSun"/>
                              <w:b/>
                              <w:bCs/>
                              <w:color w:val="6DB14A"/>
                              <w:spacing w:val="0"/>
                              <w:w w:val="100"/>
                              <w:position w:val="0"/>
                              <w:sz w:val="17"/>
                              <w:szCs w:val="17"/>
                            </w:rPr>
                            <w:t>一^</w:t>
                          </w:r>
                          <w:r>
                            <w:rPr>
                              <w:rFonts w:ascii="SimSun" w:eastAsia="SimSun" w:hAnsi="SimSun" w:cs="SimSun"/>
                              <w:b/>
                              <w:bCs/>
                              <w:color w:val="5199CB"/>
                              <w:spacing w:val="0"/>
                              <w:w w:val="100"/>
                              <w:position w:val="0"/>
                              <w:sz w:val="17"/>
                              <w:szCs w:val="17"/>
                            </w:rPr>
                            <w:t>神州泰岳</w:t>
                          </w:r>
                        </w:p>
                      </w:txbxContent>
                    </wps:txbx>
                    <wps:bodyPr wrap="none" lIns="0" tIns="0" rIns="0" bIns="0">
                      <a:spAutoFit/>
                    </wps:bodyPr>
                  </wps:wsp>
                </a:graphicData>
              </a:graphic>
            </wp:anchor>
          </w:drawing>
        </mc:Choice>
        <mc:Fallback>
          <w:pict>
            <v:shape id="_x0000_s1050" type="#_x0000_t202" style="position:absolute;margin-left:56.550000000000004pt;margin-top:55.100000000000001pt;width:79.700000000000003pt;height:22.300000000000001pt;z-index:-188744045;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b/>
                        <w:bCs/>
                        <w:i/>
                        <w:iCs/>
                        <w:color w:val="6DB14A"/>
                        <w:spacing w:val="0"/>
                        <w:w w:val="100"/>
                        <w:position w:val="0"/>
                        <w:sz w:val="18"/>
                        <w:szCs w:val="18"/>
                      </w:rPr>
                      <w:t>、、</w:t>
                    </w:r>
                    <w:r>
                      <w:rPr>
                        <w:rFonts w:ascii="SimSun" w:eastAsia="SimSun" w:hAnsi="SimSun" w:cs="SimSun"/>
                        <w:b/>
                        <w:bCs/>
                        <w:color w:val="6DB14A"/>
                        <w:spacing w:val="0"/>
                        <w:w w:val="100"/>
                        <w:position w:val="0"/>
                        <w:sz w:val="17"/>
                        <w:szCs w:val="17"/>
                      </w:rPr>
                      <w:t>一^</w:t>
                    </w:r>
                    <w:r>
                      <w:rPr>
                        <w:rFonts w:ascii="SimSun" w:eastAsia="SimSun" w:hAnsi="SimSun" w:cs="SimSun"/>
                        <w:b/>
                        <w:bCs/>
                        <w:color w:val="5199CB"/>
                        <w:spacing w:val="0"/>
                        <w:w w:val="100"/>
                        <w:position w:val="0"/>
                        <w:sz w:val="17"/>
                        <w:szCs w:val="17"/>
                      </w:rPr>
                      <w:t>神州泰岳</w:t>
                    </w:r>
                  </w:p>
                </w:txbxContent>
              </v:textbox>
              <w10:wrap anchorx="page" anchory="page"/>
            </v:shape>
          </w:pict>
        </mc:Fallback>
      </mc:AlternateContent>
    </w:r>
    <w:r>
      <mc:AlternateContent>
        <mc:Choice Requires="wps">
          <w:drawing>
            <wp:anchor distT="0" distB="0" distL="0" distR="0" simplePos="0" relativeHeight="62914710" behindDoc="1" locked="0" layoutInCell="1" allowOverlap="1">
              <wp:simplePos x="0" y="0"/>
              <wp:positionH relativeFrom="page">
                <wp:posOffset>4140835</wp:posOffset>
              </wp:positionH>
              <wp:positionV relativeFrom="page">
                <wp:posOffset>889000</wp:posOffset>
              </wp:positionV>
              <wp:extent cx="2673350" cy="106680"/>
              <wp:wrapNone/>
              <wp:docPr id="26" name="Shape 26"/>
              <a:graphic xmlns:a="http://schemas.openxmlformats.org/drawingml/2006/main">
                <a:graphicData uri="http://schemas.microsoft.com/office/word/2010/wordprocessingShape">
                  <wps:wsp>
                    <wps:cNvSpPr txBox="1"/>
                    <wps:spPr>
                      <a:xfrm>
                        <a:ext cx="2673350" cy="106680"/>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北京神州泰岳软件股份有限公司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052" type="#_x0000_t202" style="position:absolute;margin-left:326.05000000000001pt;margin-top:70.pt;width:210.5pt;height:8.4000000000000004pt;z-index:-188744043;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000000"/>
                        <w:spacing w:val="0"/>
                        <w:w w:val="100"/>
                        <w:position w:val="0"/>
                        <w:sz w:val="17"/>
                        <w:szCs w:val="17"/>
                      </w:rPr>
                      <w:t>北京神州泰岳软件股份有限公司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699770</wp:posOffset>
              </wp:positionH>
              <wp:positionV relativeFrom="page">
                <wp:posOffset>1038225</wp:posOffset>
              </wp:positionV>
              <wp:extent cx="6160135" cy="0"/>
              <wp:wrapNone/>
              <wp:docPr id="28" name="Shape 28"/>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5.100000000000001pt;margin-top:81.75pt;width:485.05000000000001pt;height:0;z-index:-251658240;mso-position-horizontal-relative:page;mso-position-vertical-relative:page">
              <v:stroke weight="1.pt"/>
            </v:shape>
          </w:pict>
        </mc:Fallback>
      </mc:AlternateContent>
    </w:r>
  </w:p>
</w:hdr>
</file>

<file path=word/header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0" behindDoc="1" locked="0" layoutInCell="1" allowOverlap="1">
              <wp:simplePos x="0" y="0"/>
              <wp:positionH relativeFrom="page">
                <wp:posOffset>719455</wp:posOffset>
              </wp:positionH>
              <wp:positionV relativeFrom="page">
                <wp:posOffset>641985</wp:posOffset>
              </wp:positionV>
              <wp:extent cx="6096000" cy="295910"/>
              <wp:wrapNone/>
              <wp:docPr id="490" name="Shape 490"/>
              <a:graphic xmlns:a="http://schemas.openxmlformats.org/drawingml/2006/main">
                <a:graphicData uri="http://schemas.microsoft.com/office/word/2010/wordprocessingShape">
                  <wps:wsp>
                    <wps:cNvSpPr txBox="1"/>
                    <wps:spPr>
                      <a:xfrm>
                        <a:ext cx="6096000" cy="295910"/>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1F84C4"/>
                              <w:spacing w:val="0"/>
                              <w:w w:val="100"/>
                              <w:position w:val="0"/>
                              <w:sz w:val="17"/>
                              <w:szCs w:val="17"/>
                            </w:rPr>
                            <w:t>斗卜</w:t>
                          </w:r>
                          <w:r>
                            <w:rPr>
                              <w:color w:val="1F84C4"/>
                              <w:spacing w:val="0"/>
                              <w:w w:val="100"/>
                              <w:position w:val="0"/>
                              <w:sz w:val="18"/>
                              <w:szCs w:val="18"/>
                            </w:rPr>
                            <w:t>I</w:t>
                          </w:r>
                          <w:r>
                            <w:rPr>
                              <w:rFonts w:ascii="SimSun" w:eastAsia="SimSun" w:hAnsi="SimSun" w:cs="SimSun"/>
                              <w:color w:val="1F84C4"/>
                              <w:spacing w:val="0"/>
                              <w:w w:val="100"/>
                              <w:position w:val="0"/>
                              <w:sz w:val="17"/>
                              <w:szCs w:val="17"/>
                            </w:rPr>
                            <w:t>..泰</w:t>
                          </w:r>
                          <w:r>
                            <w:rPr>
                              <w:rFonts w:ascii="SimSun" w:eastAsia="SimSun" w:hAnsi="SimSun" w:cs="SimSun"/>
                              <w:color w:val="000000"/>
                              <w:spacing w:val="0"/>
                              <w:w w:val="100"/>
                              <w:position w:val="0"/>
                              <w:sz w:val="17"/>
                              <w:szCs w:val="17"/>
                            </w:rPr>
                            <w:t>北京神州泰岳软件股份有限公司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516" type="#_x0000_t202" style="position:absolute;margin-left:56.649999999999999pt;margin-top:50.550000000000004pt;width:480.pt;height:23.300000000000001pt;z-index:-188743823;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1F84C4"/>
                        <w:spacing w:val="0"/>
                        <w:w w:val="100"/>
                        <w:position w:val="0"/>
                        <w:sz w:val="17"/>
                        <w:szCs w:val="17"/>
                      </w:rPr>
                      <w:t>斗卜</w:t>
                    </w:r>
                    <w:r>
                      <w:rPr>
                        <w:color w:val="1F84C4"/>
                        <w:spacing w:val="0"/>
                        <w:w w:val="100"/>
                        <w:position w:val="0"/>
                        <w:sz w:val="18"/>
                        <w:szCs w:val="18"/>
                      </w:rPr>
                      <w:t>I</w:t>
                    </w:r>
                    <w:r>
                      <w:rPr>
                        <w:rFonts w:ascii="SimSun" w:eastAsia="SimSun" w:hAnsi="SimSun" w:cs="SimSun"/>
                        <w:color w:val="1F84C4"/>
                        <w:spacing w:val="0"/>
                        <w:w w:val="100"/>
                        <w:position w:val="0"/>
                        <w:sz w:val="17"/>
                        <w:szCs w:val="17"/>
                      </w:rPr>
                      <w:t>..泰</w:t>
                    </w:r>
                    <w:r>
                      <w:rPr>
                        <w:rFonts w:ascii="SimSun" w:eastAsia="SimSun" w:hAnsi="SimSun" w:cs="SimSun"/>
                        <w:color w:val="000000"/>
                        <w:spacing w:val="0"/>
                        <w:w w:val="100"/>
                        <w:position w:val="0"/>
                        <w:sz w:val="17"/>
                        <w:szCs w:val="17"/>
                      </w:rPr>
                      <w:t>北京神州泰岳软件股份有限公司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701040</wp:posOffset>
              </wp:positionH>
              <wp:positionV relativeFrom="page">
                <wp:posOffset>1044575</wp:posOffset>
              </wp:positionV>
              <wp:extent cx="6160135" cy="0"/>
              <wp:wrapNone/>
              <wp:docPr id="492" name="Shape 492"/>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5.200000000000003pt;margin-top:82.25pt;width:485.05000000000001pt;height:0;z-index:-251658240;mso-position-horizontal-relative:page;mso-position-vertical-relative:page">
              <v:stroke weight="1.pt"/>
            </v:shape>
          </w:pict>
        </mc:Fallback>
      </mc:AlternateContent>
    </w:r>
  </w:p>
</w:hdr>
</file>

<file path=word/header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8" behindDoc="1" locked="0" layoutInCell="1" allowOverlap="1">
              <wp:simplePos x="0" y="0"/>
              <wp:positionH relativeFrom="page">
                <wp:posOffset>4142105</wp:posOffset>
              </wp:positionH>
              <wp:positionV relativeFrom="page">
                <wp:posOffset>895985</wp:posOffset>
              </wp:positionV>
              <wp:extent cx="2673350" cy="106680"/>
              <wp:wrapNone/>
              <wp:docPr id="499" name="Shape 499"/>
              <a:graphic xmlns:a="http://schemas.openxmlformats.org/drawingml/2006/main">
                <a:graphicData uri="http://schemas.microsoft.com/office/word/2010/wordprocessingShape">
                  <wps:wsp>
                    <wps:cNvSpPr txBox="1"/>
                    <wps:spPr>
                      <a:xfrm>
                        <a:ext cx="2673350" cy="10668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525" type="#_x0000_t202" style="position:absolute;margin-left:326.15000000000003pt;margin-top:70.549999999999997pt;width:210.5pt;height:8.4000000000000004pt;z-index:-188743815;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701040</wp:posOffset>
              </wp:positionH>
              <wp:positionV relativeFrom="page">
                <wp:posOffset>1044575</wp:posOffset>
              </wp:positionV>
              <wp:extent cx="6160135" cy="0"/>
              <wp:wrapNone/>
              <wp:docPr id="501" name="Shape 501"/>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5.200000000000003pt;margin-top:82.25pt;width:485.05000000000001pt;height:0;z-index:-251658240;mso-position-horizontal-relative:page;mso-position-vertical-relative:page">
              <v:stroke weight="1.pt"/>
            </v:shape>
          </w:pict>
        </mc:Fallback>
      </mc:AlternateContent>
    </w:r>
  </w:p>
</w:hdr>
</file>

<file path=word/header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2" behindDoc="1" locked="0" layoutInCell="1" allowOverlap="1">
              <wp:simplePos x="0" y="0"/>
              <wp:positionH relativeFrom="page">
                <wp:posOffset>4142105</wp:posOffset>
              </wp:positionH>
              <wp:positionV relativeFrom="page">
                <wp:posOffset>895985</wp:posOffset>
              </wp:positionV>
              <wp:extent cx="2673350" cy="106680"/>
              <wp:wrapNone/>
              <wp:docPr id="504" name="Shape 504"/>
              <a:graphic xmlns:a="http://schemas.openxmlformats.org/drawingml/2006/main">
                <a:graphicData uri="http://schemas.microsoft.com/office/word/2010/wordprocessingShape">
                  <wps:wsp>
                    <wps:cNvSpPr txBox="1"/>
                    <wps:spPr>
                      <a:xfrm>
                        <a:ext cx="2673350" cy="10668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530" type="#_x0000_t202" style="position:absolute;margin-left:326.15000000000003pt;margin-top:70.549999999999997pt;width:210.5pt;height:8.4000000000000004pt;z-index:-188743811;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701040</wp:posOffset>
              </wp:positionH>
              <wp:positionV relativeFrom="page">
                <wp:posOffset>1044575</wp:posOffset>
              </wp:positionV>
              <wp:extent cx="6160135" cy="0"/>
              <wp:wrapNone/>
              <wp:docPr id="506" name="Shape 506"/>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5.200000000000003pt;margin-top:82.25pt;width:485.05000000000001pt;height:0;z-index:-251658240;mso-position-horizontal-relative:page;mso-position-vertical-relative:page">
              <v:stroke weight="1.pt"/>
            </v:shape>
          </w:pict>
        </mc:Fallback>
      </mc:AlternateContent>
    </w:r>
  </w:p>
</w:hdr>
</file>

<file path=word/header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0" behindDoc="1" locked="0" layoutInCell="1" allowOverlap="1">
              <wp:simplePos x="0" y="0"/>
              <wp:positionH relativeFrom="page">
                <wp:posOffset>725170</wp:posOffset>
              </wp:positionH>
              <wp:positionV relativeFrom="page">
                <wp:posOffset>697865</wp:posOffset>
              </wp:positionV>
              <wp:extent cx="6096000" cy="295910"/>
              <wp:wrapNone/>
              <wp:docPr id="513" name="Shape 513"/>
              <a:graphic xmlns:a="http://schemas.openxmlformats.org/drawingml/2006/main">
                <a:graphicData uri="http://schemas.microsoft.com/office/word/2010/wordprocessingShape">
                  <wps:wsp>
                    <wps:cNvSpPr txBox="1"/>
                    <wps:spPr>
                      <a:xfrm>
                        <a:ext cx="6096000" cy="2959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tabs>
                              <w:tab w:pos="8707" w:val="right"/>
                            </w:tabs>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1F84C4"/>
                              <w:spacing w:val="0"/>
                              <w:w w:val="100"/>
                              <w:position w:val="0"/>
                            </w:rPr>
                            <w:t>•，</w:t>
                            <w:tab/>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lIns="0" tIns="0" rIns="0" bIns="0">
                      <a:spAutoFit/>
                    </wps:bodyPr>
                  </wps:wsp>
                </a:graphicData>
              </a:graphic>
            </wp:anchor>
          </w:drawing>
        </mc:Choice>
        <mc:Fallback>
          <w:pict>
            <v:shape id="_x0000_s1539" type="#_x0000_t202" style="position:absolute;margin-left:57.100000000000001pt;margin-top:54.950000000000003pt;width:480.pt;height:23.300000000000001pt;z-index:-188743803;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tabs>
                        <w:tab w:pos="8707" w:val="right"/>
                      </w:tabs>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1F84C4"/>
                        <w:spacing w:val="0"/>
                        <w:w w:val="100"/>
                        <w:position w:val="0"/>
                      </w:rPr>
                      <w:t>•，</w:t>
                      <w:tab/>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706755</wp:posOffset>
              </wp:positionH>
              <wp:positionV relativeFrom="page">
                <wp:posOffset>1038225</wp:posOffset>
              </wp:positionV>
              <wp:extent cx="6160135" cy="0"/>
              <wp:wrapNone/>
              <wp:docPr id="515" name="Shape 515"/>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5.649999999999999pt;margin-top:81.75pt;width:485.05000000000001pt;height:0;z-index:-251658240;mso-position-horizontal-relative:page;mso-position-vertical-relative:page">
              <v:stroke weight="1.pt"/>
            </v:shape>
          </w:pict>
        </mc:Fallback>
      </mc:AlternateContent>
    </w:r>
  </w:p>
</w:hdr>
</file>

<file path=word/header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4" behindDoc="1" locked="0" layoutInCell="1" allowOverlap="1">
              <wp:simplePos x="0" y="0"/>
              <wp:positionH relativeFrom="page">
                <wp:posOffset>725170</wp:posOffset>
              </wp:positionH>
              <wp:positionV relativeFrom="page">
                <wp:posOffset>697865</wp:posOffset>
              </wp:positionV>
              <wp:extent cx="6096000" cy="295910"/>
              <wp:wrapNone/>
              <wp:docPr id="518" name="Shape 518"/>
              <a:graphic xmlns:a="http://schemas.openxmlformats.org/drawingml/2006/main">
                <a:graphicData uri="http://schemas.microsoft.com/office/word/2010/wordprocessingShape">
                  <wps:wsp>
                    <wps:cNvSpPr txBox="1"/>
                    <wps:spPr>
                      <a:xfrm>
                        <a:ext cx="6096000" cy="2959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tabs>
                              <w:tab w:pos="8707" w:val="right"/>
                            </w:tabs>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1F84C4"/>
                              <w:spacing w:val="0"/>
                              <w:w w:val="100"/>
                              <w:position w:val="0"/>
                            </w:rPr>
                            <w:t>•，</w:t>
                            <w:tab/>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lIns="0" tIns="0" rIns="0" bIns="0">
                      <a:spAutoFit/>
                    </wps:bodyPr>
                  </wps:wsp>
                </a:graphicData>
              </a:graphic>
            </wp:anchor>
          </w:drawing>
        </mc:Choice>
        <mc:Fallback>
          <w:pict>
            <v:shape id="_x0000_s1544" type="#_x0000_t202" style="position:absolute;margin-left:57.100000000000001pt;margin-top:54.950000000000003pt;width:480.pt;height:23.300000000000001pt;z-index:-188743799;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tabs>
                        <w:tab w:pos="8707" w:val="right"/>
                      </w:tabs>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1F84C4"/>
                        <w:spacing w:val="0"/>
                        <w:w w:val="100"/>
                        <w:position w:val="0"/>
                      </w:rPr>
                      <w:t>•，</w:t>
                      <w:tab/>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706755</wp:posOffset>
              </wp:positionH>
              <wp:positionV relativeFrom="page">
                <wp:posOffset>1038225</wp:posOffset>
              </wp:positionV>
              <wp:extent cx="6160135" cy="0"/>
              <wp:wrapNone/>
              <wp:docPr id="520" name="Shape 520"/>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5.649999999999999pt;margin-top:81.75pt;width:485.05000000000001pt;height:0;z-index:-251658240;mso-position-horizontal-relative:page;mso-position-vertical-relative:page">
              <v:stroke weight="1.pt"/>
            </v:shape>
          </w:pict>
        </mc:Fallback>
      </mc:AlternateContent>
    </w:r>
  </w:p>
</w:hdr>
</file>

<file path=word/header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8" behindDoc="1" locked="0" layoutInCell="1" allowOverlap="1">
              <wp:simplePos x="0" y="0"/>
              <wp:positionH relativeFrom="page">
                <wp:posOffset>726440</wp:posOffset>
              </wp:positionH>
              <wp:positionV relativeFrom="page">
                <wp:posOffset>697865</wp:posOffset>
              </wp:positionV>
              <wp:extent cx="6096000" cy="295910"/>
              <wp:wrapNone/>
              <wp:docPr id="523" name="Shape 523"/>
              <a:graphic xmlns:a="http://schemas.openxmlformats.org/drawingml/2006/main">
                <a:graphicData uri="http://schemas.microsoft.com/office/word/2010/wordprocessingShape">
                  <wps:wsp>
                    <wps:cNvSpPr txBox="1"/>
                    <wps:spPr>
                      <a:xfrm>
                        <a:ext cx="6096000" cy="2959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000000"/>
                              <w:spacing w:val="0"/>
                              <w:w w:val="100"/>
                              <w:position w:val="0"/>
                              <w:u w:val="single"/>
                            </w:rPr>
                            <w:t>北京神州泰岳软件股份有限公司</w:t>
                          </w:r>
                          <w:r>
                            <w:rPr>
                              <w:rFonts w:ascii="Times New Roman" w:eastAsia="Times New Roman" w:hAnsi="Times New Roman" w:cs="Times New Roman"/>
                              <w:color w:val="000000"/>
                              <w:spacing w:val="0"/>
                              <w:w w:val="100"/>
                              <w:position w:val="0"/>
                              <w:sz w:val="18"/>
                              <w:szCs w:val="18"/>
                              <w:u w:val="single"/>
                            </w:rPr>
                            <w:t>2020</w:t>
                          </w:r>
                          <w:r>
                            <w:rPr>
                              <w:color w:val="000000"/>
                              <w:spacing w:val="0"/>
                              <w:w w:val="100"/>
                              <w:position w:val="0"/>
                              <w:u w:val="single"/>
                            </w:rPr>
                            <w:t>年年度报告全文</w:t>
                          </w:r>
                        </w:p>
                      </w:txbxContent>
                    </wps:txbx>
                    <wps:bodyPr wrap="none" lIns="0" tIns="0" rIns="0" bIns="0">
                      <a:spAutoFit/>
                    </wps:bodyPr>
                  </wps:wsp>
                </a:graphicData>
              </a:graphic>
            </wp:anchor>
          </w:drawing>
        </mc:Choice>
        <mc:Fallback>
          <w:pict>
            <v:shape id="_x0000_s1549" type="#_x0000_t202" style="position:absolute;margin-left:57.200000000000003pt;margin-top:54.950000000000003pt;width:480.pt;height:23.300000000000001pt;z-index:-188743795;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000000"/>
                        <w:spacing w:val="0"/>
                        <w:w w:val="100"/>
                        <w:position w:val="0"/>
                        <w:u w:val="single"/>
                      </w:rPr>
                      <w:t>北京神州泰岳软件股份有限公司</w:t>
                    </w:r>
                    <w:r>
                      <w:rPr>
                        <w:rFonts w:ascii="Times New Roman" w:eastAsia="Times New Roman" w:hAnsi="Times New Roman" w:cs="Times New Roman"/>
                        <w:color w:val="000000"/>
                        <w:spacing w:val="0"/>
                        <w:w w:val="100"/>
                        <w:position w:val="0"/>
                        <w:sz w:val="18"/>
                        <w:szCs w:val="18"/>
                        <w:u w:val="single"/>
                      </w:rPr>
                      <w:t>2020</w:t>
                    </w:r>
                    <w:r>
                      <w:rPr>
                        <w:color w:val="000000"/>
                        <w:spacing w:val="0"/>
                        <w:w w:val="100"/>
                        <w:position w:val="0"/>
                        <w:u w:val="single"/>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708025</wp:posOffset>
              </wp:positionH>
              <wp:positionV relativeFrom="page">
                <wp:posOffset>1038225</wp:posOffset>
              </wp:positionV>
              <wp:extent cx="6160135" cy="0"/>
              <wp:wrapNone/>
              <wp:docPr id="525" name="Shape 525"/>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5.75pt;margin-top:81.75pt;width:485.05000000000001pt;height:0;z-index:-251658240;mso-position-horizontal-relative:page;mso-position-vertical-relative:page">
              <v:stroke weight="1.pt"/>
            </v:shape>
          </w:pict>
        </mc:Fallback>
      </mc:AlternateContent>
    </w:r>
  </w:p>
</w:hdr>
</file>

<file path=word/header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4" behindDoc="1" locked="0" layoutInCell="1" allowOverlap="1">
              <wp:simplePos x="0" y="0"/>
              <wp:positionH relativeFrom="page">
                <wp:posOffset>719455</wp:posOffset>
              </wp:positionH>
              <wp:positionV relativeFrom="page">
                <wp:posOffset>699770</wp:posOffset>
              </wp:positionV>
              <wp:extent cx="6096000" cy="295910"/>
              <wp:wrapNone/>
              <wp:docPr id="31" name="Shape 31"/>
              <a:graphic xmlns:a="http://schemas.openxmlformats.org/drawingml/2006/main">
                <a:graphicData uri="http://schemas.microsoft.com/office/word/2010/wordprocessingShape">
                  <wps:wsp>
                    <wps:cNvSpPr txBox="1"/>
                    <wps:spPr>
                      <a:xfrm>
                        <a:ext cx="6096000" cy="295910"/>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9"/>
                            <w:keepNext w:val="0"/>
                            <w:keepLines w:val="0"/>
                            <w:widowControl w:val="0"/>
                            <w:shd w:val="clear" w:color="auto" w:fill="auto"/>
                            <w:tabs>
                              <w:tab w:pos="8707" w:val="right"/>
                            </w:tabs>
                            <w:bidi w:val="0"/>
                            <w:spacing w:before="0" w:after="0" w:line="240" w:lineRule="auto"/>
                            <w:ind w:left="0" w:right="0" w:firstLine="0"/>
                            <w:jc w:val="left"/>
                            <w:rPr>
                              <w:sz w:val="17"/>
                              <w:szCs w:val="17"/>
                            </w:rPr>
                          </w:pPr>
                          <w:r>
                            <w:rPr>
                              <w:rFonts w:ascii="SimSun" w:eastAsia="SimSun" w:hAnsi="SimSun" w:cs="SimSun"/>
                              <w:color w:val="1F84C4"/>
                              <w:spacing w:val="0"/>
                              <w:w w:val="100"/>
                              <w:position w:val="0"/>
                              <w:sz w:val="17"/>
                              <w:szCs w:val="17"/>
                            </w:rPr>
                            <w:t>斗卜</w:t>
                          </w:r>
                          <w:r>
                            <w:rPr>
                              <w:color w:val="1F84C4"/>
                              <w:spacing w:val="0"/>
                              <w:w w:val="100"/>
                              <w:position w:val="0"/>
                              <w:sz w:val="18"/>
                              <w:szCs w:val="18"/>
                            </w:rPr>
                            <w:t>I</w:t>
                          </w:r>
                          <w:r>
                            <w:rPr>
                              <w:rFonts w:ascii="SimSun" w:eastAsia="SimSun" w:hAnsi="SimSun" w:cs="SimSun"/>
                              <w:color w:val="1F84C4"/>
                              <w:spacing w:val="0"/>
                              <w:w w:val="100"/>
                              <w:position w:val="0"/>
                              <w:sz w:val="17"/>
                              <w:szCs w:val="17"/>
                            </w:rPr>
                            <w:t>•.泰</w:t>
                          </w:r>
                          <w:r>
                            <w:rPr>
                              <w:rFonts w:ascii="SimSun" w:eastAsia="SimSun" w:hAnsi="SimSun" w:cs="SimSun"/>
                              <w:color w:val="1F84C4"/>
                              <w:spacing w:val="0"/>
                              <w:w w:val="100"/>
                              <w:position w:val="0"/>
                              <w:sz w:val="17"/>
                              <w:szCs w:val="17"/>
                            </w:rPr>
                            <w:t>•，</w:t>
                            <w:tab/>
                          </w:r>
                          <w:r>
                            <w:rPr>
                              <w:rFonts w:ascii="SimSun" w:eastAsia="SimSun" w:hAnsi="SimSun" w:cs="SimSun"/>
                              <w:color w:val="000000"/>
                              <w:spacing w:val="0"/>
                              <w:w w:val="100"/>
                              <w:position w:val="0"/>
                              <w:sz w:val="17"/>
                              <w:szCs w:val="17"/>
                            </w:rPr>
                            <w:t>北京神州泰岳软件股份有限公司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lIns="0" tIns="0" rIns="0" bIns="0">
                      <a:spAutoFit/>
                    </wps:bodyPr>
                  </wps:wsp>
                </a:graphicData>
              </a:graphic>
            </wp:anchor>
          </w:drawing>
        </mc:Choice>
        <mc:Fallback>
          <w:pict>
            <v:shape id="_x0000_s1057" type="#_x0000_t202" style="position:absolute;margin-left:56.649999999999999pt;margin-top:55.100000000000001pt;width:480.pt;height:23.300000000000001pt;z-index:-188744039;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9"/>
                      <w:keepNext w:val="0"/>
                      <w:keepLines w:val="0"/>
                      <w:widowControl w:val="0"/>
                      <w:shd w:val="clear" w:color="auto" w:fill="auto"/>
                      <w:tabs>
                        <w:tab w:pos="8707" w:val="right"/>
                      </w:tabs>
                      <w:bidi w:val="0"/>
                      <w:spacing w:before="0" w:after="0" w:line="240" w:lineRule="auto"/>
                      <w:ind w:left="0" w:right="0" w:firstLine="0"/>
                      <w:jc w:val="left"/>
                      <w:rPr>
                        <w:sz w:val="17"/>
                        <w:szCs w:val="17"/>
                      </w:rPr>
                    </w:pPr>
                    <w:r>
                      <w:rPr>
                        <w:rFonts w:ascii="SimSun" w:eastAsia="SimSun" w:hAnsi="SimSun" w:cs="SimSun"/>
                        <w:color w:val="1F84C4"/>
                        <w:spacing w:val="0"/>
                        <w:w w:val="100"/>
                        <w:position w:val="0"/>
                        <w:sz w:val="17"/>
                        <w:szCs w:val="17"/>
                      </w:rPr>
                      <w:t>斗卜</w:t>
                    </w:r>
                    <w:r>
                      <w:rPr>
                        <w:color w:val="1F84C4"/>
                        <w:spacing w:val="0"/>
                        <w:w w:val="100"/>
                        <w:position w:val="0"/>
                        <w:sz w:val="18"/>
                        <w:szCs w:val="18"/>
                      </w:rPr>
                      <w:t>I</w:t>
                    </w:r>
                    <w:r>
                      <w:rPr>
                        <w:rFonts w:ascii="SimSun" w:eastAsia="SimSun" w:hAnsi="SimSun" w:cs="SimSun"/>
                        <w:color w:val="1F84C4"/>
                        <w:spacing w:val="0"/>
                        <w:w w:val="100"/>
                        <w:position w:val="0"/>
                        <w:sz w:val="17"/>
                        <w:szCs w:val="17"/>
                      </w:rPr>
                      <w:t>•.泰</w:t>
                    </w:r>
                    <w:r>
                      <w:rPr>
                        <w:rFonts w:ascii="SimSun" w:eastAsia="SimSun" w:hAnsi="SimSun" w:cs="SimSun"/>
                        <w:color w:val="1F84C4"/>
                        <w:spacing w:val="0"/>
                        <w:w w:val="100"/>
                        <w:position w:val="0"/>
                        <w:sz w:val="17"/>
                        <w:szCs w:val="17"/>
                      </w:rPr>
                      <w:t>•，</w:t>
                      <w:tab/>
                    </w:r>
                    <w:r>
                      <w:rPr>
                        <w:rFonts w:ascii="SimSun" w:eastAsia="SimSun" w:hAnsi="SimSun" w:cs="SimSun"/>
                        <w:color w:val="000000"/>
                        <w:spacing w:val="0"/>
                        <w:w w:val="100"/>
                        <w:position w:val="0"/>
                        <w:sz w:val="17"/>
                        <w:szCs w:val="17"/>
                      </w:rPr>
                      <w:t>北京神州泰岳软件股份有限公司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p>
</w:hdr>
</file>

<file path=word/header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2" behindDoc="1" locked="0" layoutInCell="1" allowOverlap="1">
              <wp:simplePos x="0" y="0"/>
              <wp:positionH relativeFrom="page">
                <wp:posOffset>726440</wp:posOffset>
              </wp:positionH>
              <wp:positionV relativeFrom="page">
                <wp:posOffset>697865</wp:posOffset>
              </wp:positionV>
              <wp:extent cx="6096000" cy="295910"/>
              <wp:wrapNone/>
              <wp:docPr id="528" name="Shape 528"/>
              <a:graphic xmlns:a="http://schemas.openxmlformats.org/drawingml/2006/main">
                <a:graphicData uri="http://schemas.microsoft.com/office/word/2010/wordprocessingShape">
                  <wps:wsp>
                    <wps:cNvSpPr txBox="1"/>
                    <wps:spPr>
                      <a:xfrm>
                        <a:ext cx="6096000" cy="2959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000000"/>
                              <w:spacing w:val="0"/>
                              <w:w w:val="100"/>
                              <w:position w:val="0"/>
                              <w:u w:val="single"/>
                            </w:rPr>
                            <w:t>北京神州泰岳软件股份有限公司</w:t>
                          </w:r>
                          <w:r>
                            <w:rPr>
                              <w:rFonts w:ascii="Times New Roman" w:eastAsia="Times New Roman" w:hAnsi="Times New Roman" w:cs="Times New Roman"/>
                              <w:color w:val="000000"/>
                              <w:spacing w:val="0"/>
                              <w:w w:val="100"/>
                              <w:position w:val="0"/>
                              <w:sz w:val="18"/>
                              <w:szCs w:val="18"/>
                              <w:u w:val="single"/>
                            </w:rPr>
                            <w:t>2020</w:t>
                          </w:r>
                          <w:r>
                            <w:rPr>
                              <w:color w:val="000000"/>
                              <w:spacing w:val="0"/>
                              <w:w w:val="100"/>
                              <w:position w:val="0"/>
                              <w:u w:val="single"/>
                            </w:rPr>
                            <w:t>年年度报告全文</w:t>
                          </w:r>
                        </w:p>
                      </w:txbxContent>
                    </wps:txbx>
                    <wps:bodyPr wrap="none" lIns="0" tIns="0" rIns="0" bIns="0">
                      <a:spAutoFit/>
                    </wps:bodyPr>
                  </wps:wsp>
                </a:graphicData>
              </a:graphic>
            </wp:anchor>
          </w:drawing>
        </mc:Choice>
        <mc:Fallback>
          <w:pict>
            <v:shape id="_x0000_s1554" type="#_x0000_t202" style="position:absolute;margin-left:57.200000000000003pt;margin-top:54.950000000000003pt;width:480.pt;height:23.300000000000001pt;z-index:-188743791;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000000"/>
                        <w:spacing w:val="0"/>
                        <w:w w:val="100"/>
                        <w:position w:val="0"/>
                        <w:u w:val="single"/>
                      </w:rPr>
                      <w:t>北京神州泰岳软件股份有限公司</w:t>
                    </w:r>
                    <w:r>
                      <w:rPr>
                        <w:rFonts w:ascii="Times New Roman" w:eastAsia="Times New Roman" w:hAnsi="Times New Roman" w:cs="Times New Roman"/>
                        <w:color w:val="000000"/>
                        <w:spacing w:val="0"/>
                        <w:w w:val="100"/>
                        <w:position w:val="0"/>
                        <w:sz w:val="18"/>
                        <w:szCs w:val="18"/>
                        <w:u w:val="single"/>
                      </w:rPr>
                      <w:t>2020</w:t>
                    </w:r>
                    <w:r>
                      <w:rPr>
                        <w:color w:val="000000"/>
                        <w:spacing w:val="0"/>
                        <w:w w:val="100"/>
                        <w:position w:val="0"/>
                        <w:u w:val="single"/>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708025</wp:posOffset>
              </wp:positionH>
              <wp:positionV relativeFrom="page">
                <wp:posOffset>1038225</wp:posOffset>
              </wp:positionV>
              <wp:extent cx="6160135" cy="0"/>
              <wp:wrapNone/>
              <wp:docPr id="530" name="Shape 530"/>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5.75pt;margin-top:81.75pt;width:485.05000000000001pt;height:0;z-index:-251658240;mso-position-horizontal-relative:page;mso-position-vertical-relative:page">
              <v:stroke weight="1.pt"/>
            </v:shape>
          </w:pict>
        </mc:Fallback>
      </mc:AlternateContent>
    </w:r>
  </w:p>
</w:hdr>
</file>

<file path=word/header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6" behindDoc="1" locked="0" layoutInCell="1" allowOverlap="1">
              <wp:simplePos x="0" y="0"/>
              <wp:positionH relativeFrom="page">
                <wp:posOffset>726440</wp:posOffset>
              </wp:positionH>
              <wp:positionV relativeFrom="page">
                <wp:posOffset>697865</wp:posOffset>
              </wp:positionV>
              <wp:extent cx="6096000" cy="295910"/>
              <wp:wrapNone/>
              <wp:docPr id="533" name="Shape 533"/>
              <a:graphic xmlns:a="http://schemas.openxmlformats.org/drawingml/2006/main">
                <a:graphicData uri="http://schemas.microsoft.com/office/word/2010/wordprocessingShape">
                  <wps:wsp>
                    <wps:cNvSpPr txBox="1"/>
                    <wps:spPr>
                      <a:xfrm>
                        <a:ext cx="6096000" cy="2959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000000"/>
                              <w:spacing w:val="0"/>
                              <w:w w:val="100"/>
                              <w:position w:val="0"/>
                              <w:u w:val="single"/>
                            </w:rPr>
                            <w:t>北京神州泰岳软件股份有限公司</w:t>
                          </w:r>
                          <w:r>
                            <w:rPr>
                              <w:rFonts w:ascii="Times New Roman" w:eastAsia="Times New Roman" w:hAnsi="Times New Roman" w:cs="Times New Roman"/>
                              <w:color w:val="000000"/>
                              <w:spacing w:val="0"/>
                              <w:w w:val="100"/>
                              <w:position w:val="0"/>
                              <w:sz w:val="18"/>
                              <w:szCs w:val="18"/>
                              <w:u w:val="single"/>
                            </w:rPr>
                            <w:t>2020</w:t>
                          </w:r>
                          <w:r>
                            <w:rPr>
                              <w:color w:val="000000"/>
                              <w:spacing w:val="0"/>
                              <w:w w:val="100"/>
                              <w:position w:val="0"/>
                              <w:u w:val="single"/>
                            </w:rPr>
                            <w:t>年年度报告全文</w:t>
                          </w:r>
                        </w:p>
                      </w:txbxContent>
                    </wps:txbx>
                    <wps:bodyPr wrap="none" lIns="0" tIns="0" rIns="0" bIns="0">
                      <a:spAutoFit/>
                    </wps:bodyPr>
                  </wps:wsp>
                </a:graphicData>
              </a:graphic>
            </wp:anchor>
          </w:drawing>
        </mc:Choice>
        <mc:Fallback>
          <w:pict>
            <v:shape id="_x0000_s1559" type="#_x0000_t202" style="position:absolute;margin-left:57.200000000000003pt;margin-top:54.950000000000003pt;width:480.pt;height:23.300000000000001pt;z-index:-188743787;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000000"/>
                        <w:spacing w:val="0"/>
                        <w:w w:val="100"/>
                        <w:position w:val="0"/>
                        <w:u w:val="single"/>
                      </w:rPr>
                      <w:t>北京神州泰岳软件股份有限公司</w:t>
                    </w:r>
                    <w:r>
                      <w:rPr>
                        <w:rFonts w:ascii="Times New Roman" w:eastAsia="Times New Roman" w:hAnsi="Times New Roman" w:cs="Times New Roman"/>
                        <w:color w:val="000000"/>
                        <w:spacing w:val="0"/>
                        <w:w w:val="100"/>
                        <w:position w:val="0"/>
                        <w:sz w:val="18"/>
                        <w:szCs w:val="18"/>
                        <w:u w:val="single"/>
                      </w:rPr>
                      <w:t>2020</w:t>
                    </w:r>
                    <w:r>
                      <w:rPr>
                        <w:color w:val="000000"/>
                        <w:spacing w:val="0"/>
                        <w:w w:val="100"/>
                        <w:position w:val="0"/>
                        <w:u w:val="single"/>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708025</wp:posOffset>
              </wp:positionH>
              <wp:positionV relativeFrom="page">
                <wp:posOffset>1038225</wp:posOffset>
              </wp:positionV>
              <wp:extent cx="6160135" cy="0"/>
              <wp:wrapNone/>
              <wp:docPr id="535" name="Shape 535"/>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5.75pt;margin-top:81.75pt;width:485.05000000000001pt;height:0;z-index:-251658240;mso-position-horizontal-relative:page;mso-position-vertical-relative:page">
              <v:stroke weight="1.pt"/>
            </v:shape>
          </w:pict>
        </mc:Fallback>
      </mc:AlternateContent>
    </w:r>
  </w:p>
</w:hdr>
</file>

<file path=word/header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2" behindDoc="1" locked="0" layoutInCell="1" allowOverlap="1">
              <wp:simplePos x="0" y="0"/>
              <wp:positionH relativeFrom="page">
                <wp:posOffset>726440</wp:posOffset>
              </wp:positionH>
              <wp:positionV relativeFrom="page">
                <wp:posOffset>697865</wp:posOffset>
              </wp:positionV>
              <wp:extent cx="6096000" cy="295910"/>
              <wp:wrapNone/>
              <wp:docPr id="540" name="Shape 540"/>
              <a:graphic xmlns:a="http://schemas.openxmlformats.org/drawingml/2006/main">
                <a:graphicData uri="http://schemas.microsoft.com/office/word/2010/wordprocessingShape">
                  <wps:wsp>
                    <wps:cNvSpPr txBox="1"/>
                    <wps:spPr>
                      <a:xfrm>
                        <a:ext cx="6096000" cy="2959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000000"/>
                              <w:spacing w:val="0"/>
                              <w:w w:val="100"/>
                              <w:position w:val="0"/>
                              <w:u w:val="single"/>
                            </w:rPr>
                            <w:t>北京神州泰岳软件股份有限公司</w:t>
                          </w:r>
                          <w:r>
                            <w:rPr>
                              <w:rFonts w:ascii="Times New Roman" w:eastAsia="Times New Roman" w:hAnsi="Times New Roman" w:cs="Times New Roman"/>
                              <w:color w:val="000000"/>
                              <w:spacing w:val="0"/>
                              <w:w w:val="100"/>
                              <w:position w:val="0"/>
                              <w:sz w:val="18"/>
                              <w:szCs w:val="18"/>
                              <w:u w:val="single"/>
                            </w:rPr>
                            <w:t>2020</w:t>
                          </w:r>
                          <w:r>
                            <w:rPr>
                              <w:color w:val="000000"/>
                              <w:spacing w:val="0"/>
                              <w:w w:val="100"/>
                              <w:position w:val="0"/>
                              <w:u w:val="single"/>
                            </w:rPr>
                            <w:t>年年度报告全文</w:t>
                          </w:r>
                        </w:p>
                      </w:txbxContent>
                    </wps:txbx>
                    <wps:bodyPr wrap="none" lIns="0" tIns="0" rIns="0" bIns="0">
                      <a:spAutoFit/>
                    </wps:bodyPr>
                  </wps:wsp>
                </a:graphicData>
              </a:graphic>
            </wp:anchor>
          </w:drawing>
        </mc:Choice>
        <mc:Fallback>
          <w:pict>
            <v:shape id="_x0000_s1566" type="#_x0000_t202" style="position:absolute;margin-left:57.200000000000003pt;margin-top:54.950000000000003pt;width:480.pt;height:23.300000000000001pt;z-index:-188743781;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000000"/>
                        <w:spacing w:val="0"/>
                        <w:w w:val="100"/>
                        <w:position w:val="0"/>
                        <w:u w:val="single"/>
                      </w:rPr>
                      <w:t>北京神州泰岳软件股份有限公司</w:t>
                    </w:r>
                    <w:r>
                      <w:rPr>
                        <w:rFonts w:ascii="Times New Roman" w:eastAsia="Times New Roman" w:hAnsi="Times New Roman" w:cs="Times New Roman"/>
                        <w:color w:val="000000"/>
                        <w:spacing w:val="0"/>
                        <w:w w:val="100"/>
                        <w:position w:val="0"/>
                        <w:sz w:val="18"/>
                        <w:szCs w:val="18"/>
                        <w:u w:val="single"/>
                      </w:rPr>
                      <w:t>2020</w:t>
                    </w:r>
                    <w:r>
                      <w:rPr>
                        <w:color w:val="000000"/>
                        <w:spacing w:val="0"/>
                        <w:w w:val="100"/>
                        <w:position w:val="0"/>
                        <w:u w:val="single"/>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708025</wp:posOffset>
              </wp:positionH>
              <wp:positionV relativeFrom="page">
                <wp:posOffset>1038225</wp:posOffset>
              </wp:positionV>
              <wp:extent cx="6160135" cy="0"/>
              <wp:wrapNone/>
              <wp:docPr id="542" name="Shape 542"/>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5.75pt;margin-top:81.75pt;width:485.05000000000001pt;height:0;z-index:-251658240;mso-position-horizontal-relative:page;mso-position-vertical-relative:page">
              <v:stroke weight="1.pt"/>
            </v:shape>
          </w:pict>
        </mc:Fallback>
      </mc:AlternateContent>
    </w:r>
  </w:p>
</w:hdr>
</file>

<file path=word/header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6" behindDoc="1" locked="0" layoutInCell="1" allowOverlap="1">
              <wp:simplePos x="0" y="0"/>
              <wp:positionH relativeFrom="page">
                <wp:posOffset>726440</wp:posOffset>
              </wp:positionH>
              <wp:positionV relativeFrom="page">
                <wp:posOffset>697865</wp:posOffset>
              </wp:positionV>
              <wp:extent cx="6096000" cy="295910"/>
              <wp:wrapNone/>
              <wp:docPr id="545" name="Shape 545"/>
              <a:graphic xmlns:a="http://schemas.openxmlformats.org/drawingml/2006/main">
                <a:graphicData uri="http://schemas.microsoft.com/office/word/2010/wordprocessingShape">
                  <wps:wsp>
                    <wps:cNvSpPr txBox="1"/>
                    <wps:spPr>
                      <a:xfrm>
                        <a:ext cx="6096000" cy="2959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000000"/>
                              <w:spacing w:val="0"/>
                              <w:w w:val="100"/>
                              <w:position w:val="0"/>
                              <w:u w:val="single"/>
                            </w:rPr>
                            <w:t>北京神州泰岳软件股份有限公司</w:t>
                          </w:r>
                          <w:r>
                            <w:rPr>
                              <w:rFonts w:ascii="Times New Roman" w:eastAsia="Times New Roman" w:hAnsi="Times New Roman" w:cs="Times New Roman"/>
                              <w:color w:val="000000"/>
                              <w:spacing w:val="0"/>
                              <w:w w:val="100"/>
                              <w:position w:val="0"/>
                              <w:sz w:val="18"/>
                              <w:szCs w:val="18"/>
                              <w:u w:val="single"/>
                            </w:rPr>
                            <w:t>2020</w:t>
                          </w:r>
                          <w:r>
                            <w:rPr>
                              <w:color w:val="000000"/>
                              <w:spacing w:val="0"/>
                              <w:w w:val="100"/>
                              <w:position w:val="0"/>
                              <w:u w:val="single"/>
                            </w:rPr>
                            <w:t>年年度报告全文</w:t>
                          </w:r>
                        </w:p>
                      </w:txbxContent>
                    </wps:txbx>
                    <wps:bodyPr wrap="none" lIns="0" tIns="0" rIns="0" bIns="0">
                      <a:spAutoFit/>
                    </wps:bodyPr>
                  </wps:wsp>
                </a:graphicData>
              </a:graphic>
            </wp:anchor>
          </w:drawing>
        </mc:Choice>
        <mc:Fallback>
          <w:pict>
            <v:shape id="_x0000_s1571" type="#_x0000_t202" style="position:absolute;margin-left:57.200000000000003pt;margin-top:54.950000000000003pt;width:480.pt;height:23.300000000000001pt;z-index:-188743777;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000000"/>
                        <w:spacing w:val="0"/>
                        <w:w w:val="100"/>
                        <w:position w:val="0"/>
                        <w:u w:val="single"/>
                      </w:rPr>
                      <w:t>北京神州泰岳软件股份有限公司</w:t>
                    </w:r>
                    <w:r>
                      <w:rPr>
                        <w:rFonts w:ascii="Times New Roman" w:eastAsia="Times New Roman" w:hAnsi="Times New Roman" w:cs="Times New Roman"/>
                        <w:color w:val="000000"/>
                        <w:spacing w:val="0"/>
                        <w:w w:val="100"/>
                        <w:position w:val="0"/>
                        <w:sz w:val="18"/>
                        <w:szCs w:val="18"/>
                        <w:u w:val="single"/>
                      </w:rPr>
                      <w:t>2020</w:t>
                    </w:r>
                    <w:r>
                      <w:rPr>
                        <w:color w:val="000000"/>
                        <w:spacing w:val="0"/>
                        <w:w w:val="100"/>
                        <w:position w:val="0"/>
                        <w:u w:val="single"/>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708025</wp:posOffset>
              </wp:positionH>
              <wp:positionV relativeFrom="page">
                <wp:posOffset>1038225</wp:posOffset>
              </wp:positionV>
              <wp:extent cx="6160135" cy="0"/>
              <wp:wrapNone/>
              <wp:docPr id="547" name="Shape 547"/>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5.75pt;margin-top:81.75pt;width:485.05000000000001pt;height:0;z-index:-251658240;mso-position-horizontal-relative:page;mso-position-vertical-relative:page">
              <v:stroke weight="1.pt"/>
            </v:shape>
          </w:pict>
        </mc:Fallback>
      </mc:AlternateContent>
    </w:r>
  </w:p>
</w:hdr>
</file>

<file path=word/header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0" behindDoc="1" locked="0" layoutInCell="1" allowOverlap="1">
              <wp:simplePos x="0" y="0"/>
              <wp:positionH relativeFrom="page">
                <wp:posOffset>725170</wp:posOffset>
              </wp:positionH>
              <wp:positionV relativeFrom="page">
                <wp:posOffset>697865</wp:posOffset>
              </wp:positionV>
              <wp:extent cx="6096000" cy="295910"/>
              <wp:wrapNone/>
              <wp:docPr id="550" name="Shape 550"/>
              <a:graphic xmlns:a="http://schemas.openxmlformats.org/drawingml/2006/main">
                <a:graphicData uri="http://schemas.microsoft.com/office/word/2010/wordprocessingShape">
                  <wps:wsp>
                    <wps:cNvSpPr txBox="1"/>
                    <wps:spPr>
                      <a:xfrm>
                        <a:ext cx="6096000" cy="2959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tabs>
                              <w:tab w:pos="8707" w:val="right"/>
                            </w:tabs>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1F84C4"/>
                              <w:spacing w:val="0"/>
                              <w:w w:val="100"/>
                              <w:position w:val="0"/>
                            </w:rPr>
                            <w:t>•，</w:t>
                            <w:tab/>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lIns="0" tIns="0" rIns="0" bIns="0">
                      <a:spAutoFit/>
                    </wps:bodyPr>
                  </wps:wsp>
                </a:graphicData>
              </a:graphic>
            </wp:anchor>
          </w:drawing>
        </mc:Choice>
        <mc:Fallback>
          <w:pict>
            <v:shape id="_x0000_s1576" type="#_x0000_t202" style="position:absolute;margin-left:57.100000000000001pt;margin-top:54.950000000000003pt;width:480.pt;height:23.300000000000001pt;z-index:-188743773;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tabs>
                        <w:tab w:pos="8707" w:val="right"/>
                      </w:tabs>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1F84C4"/>
                        <w:spacing w:val="0"/>
                        <w:w w:val="100"/>
                        <w:position w:val="0"/>
                      </w:rPr>
                      <w:t>•，</w:t>
                      <w:tab/>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706755</wp:posOffset>
              </wp:positionH>
              <wp:positionV relativeFrom="page">
                <wp:posOffset>1038225</wp:posOffset>
              </wp:positionV>
              <wp:extent cx="6160135" cy="0"/>
              <wp:wrapNone/>
              <wp:docPr id="552" name="Shape 552"/>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5.649999999999999pt;margin-top:81.75pt;width:485.05000000000001pt;height:0;z-index:-251658240;mso-position-horizontal-relative:page;mso-position-vertical-relative:page">
              <v:stroke weight="1.pt"/>
            </v:shape>
          </w:pict>
        </mc:Fallback>
      </mc:AlternateContent>
    </w:r>
  </w:p>
</w:hdr>
</file>

<file path=word/header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8" behindDoc="1" locked="0" layoutInCell="1" allowOverlap="1">
              <wp:simplePos x="0" y="0"/>
              <wp:positionH relativeFrom="page">
                <wp:posOffset>719455</wp:posOffset>
              </wp:positionH>
              <wp:positionV relativeFrom="page">
                <wp:posOffset>697865</wp:posOffset>
              </wp:positionV>
              <wp:extent cx="1012190" cy="283210"/>
              <wp:wrapNone/>
              <wp:docPr id="559" name="Shape 559"/>
              <a:graphic xmlns:a="http://schemas.openxmlformats.org/drawingml/2006/main">
                <a:graphicData uri="http://schemas.microsoft.com/office/word/2010/wordprocessingShape">
                  <wps:wsp>
                    <wps:cNvSpPr txBox="1"/>
                    <wps:spPr>
                      <a:xfrm>
                        <a:ext cx="1012190" cy="2832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204"/>
                            <w:keepNext w:val="0"/>
                            <w:keepLines w:val="0"/>
                            <w:widowControl w:val="0"/>
                            <w:shd w:val="clear" w:color="auto" w:fill="auto"/>
                            <w:bidi w:val="0"/>
                            <w:spacing w:before="0" w:after="0" w:line="240" w:lineRule="auto"/>
                            <w:ind w:left="0" w:right="0" w:firstLine="0"/>
                            <w:jc w:val="left"/>
                          </w:pPr>
                          <w:r>
                            <w:rPr>
                              <w:b/>
                              <w:bCs/>
                              <w:i/>
                              <w:iCs/>
                              <w:color w:val="6DB14A"/>
                              <w:spacing w:val="0"/>
                              <w:w w:val="100"/>
                              <w:position w:val="0"/>
                              <w:sz w:val="18"/>
                              <w:szCs w:val="18"/>
                            </w:rPr>
                            <w:t>、、</w:t>
                          </w:r>
                          <w:r>
                            <w:rPr>
                              <w:b/>
                              <w:bCs/>
                              <w:color w:val="6DB14A"/>
                              <w:spacing w:val="0"/>
                              <w:w w:val="100"/>
                              <w:position w:val="0"/>
                            </w:rPr>
                            <w:t>一^</w:t>
                          </w:r>
                          <w:r>
                            <w:rPr>
                              <w:b/>
                              <w:bCs/>
                              <w:color w:val="5199CB"/>
                              <w:spacing w:val="0"/>
                              <w:w w:val="100"/>
                              <w:position w:val="0"/>
                            </w:rPr>
                            <w:t>神州泰岳</w:t>
                          </w:r>
                        </w:p>
                      </w:txbxContent>
                    </wps:txbx>
                    <wps:bodyPr wrap="none" lIns="0" tIns="0" rIns="0" bIns="0">
                      <a:spAutoFit/>
                    </wps:bodyPr>
                  </wps:wsp>
                </a:graphicData>
              </a:graphic>
            </wp:anchor>
          </w:drawing>
        </mc:Choice>
        <mc:Fallback>
          <w:pict>
            <v:shape id="_x0000_s1585" type="#_x0000_t202" style="position:absolute;margin-left:56.649999999999999pt;margin-top:54.950000000000003pt;width:79.700000000000003pt;height:22.300000000000001pt;z-index:-188743765;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204"/>
                      <w:keepNext w:val="0"/>
                      <w:keepLines w:val="0"/>
                      <w:widowControl w:val="0"/>
                      <w:shd w:val="clear" w:color="auto" w:fill="auto"/>
                      <w:bidi w:val="0"/>
                      <w:spacing w:before="0" w:after="0" w:line="240" w:lineRule="auto"/>
                      <w:ind w:left="0" w:right="0" w:firstLine="0"/>
                      <w:jc w:val="left"/>
                    </w:pPr>
                    <w:r>
                      <w:rPr>
                        <w:b/>
                        <w:bCs/>
                        <w:i/>
                        <w:iCs/>
                        <w:color w:val="6DB14A"/>
                        <w:spacing w:val="0"/>
                        <w:w w:val="100"/>
                        <w:position w:val="0"/>
                        <w:sz w:val="18"/>
                        <w:szCs w:val="18"/>
                      </w:rPr>
                      <w:t>、、</w:t>
                    </w:r>
                    <w:r>
                      <w:rPr>
                        <w:b/>
                        <w:bCs/>
                        <w:color w:val="6DB14A"/>
                        <w:spacing w:val="0"/>
                        <w:w w:val="100"/>
                        <w:position w:val="0"/>
                      </w:rPr>
                      <w:t>一^</w:t>
                    </w:r>
                    <w:r>
                      <w:rPr>
                        <w:b/>
                        <w:bCs/>
                        <w:color w:val="5199CB"/>
                        <w:spacing w:val="0"/>
                        <w:w w:val="100"/>
                        <w:position w:val="0"/>
                      </w:rPr>
                      <w:t>神州泰岳</w:t>
                    </w:r>
                  </w:p>
                </w:txbxContent>
              </v:textbox>
              <w10:wrap anchorx="page" anchory="page"/>
            </v:shape>
          </w:pict>
        </mc:Fallback>
      </mc:AlternateContent>
    </w:r>
    <w:r>
      <mc:AlternateContent>
        <mc:Choice Requires="wps">
          <w:drawing>
            <wp:anchor distT="0" distB="0" distL="0" distR="0" simplePos="0" relativeHeight="62914990" behindDoc="1" locked="0" layoutInCell="1" allowOverlap="1">
              <wp:simplePos x="0" y="0"/>
              <wp:positionH relativeFrom="page">
                <wp:posOffset>4142105</wp:posOffset>
              </wp:positionH>
              <wp:positionV relativeFrom="page">
                <wp:posOffset>887095</wp:posOffset>
              </wp:positionV>
              <wp:extent cx="2673350" cy="106680"/>
              <wp:wrapNone/>
              <wp:docPr id="561" name="Shape 561"/>
              <a:graphic xmlns:a="http://schemas.openxmlformats.org/drawingml/2006/main">
                <a:graphicData uri="http://schemas.microsoft.com/office/word/2010/wordprocessingShape">
                  <wps:wsp>
                    <wps:cNvSpPr txBox="1"/>
                    <wps:spPr>
                      <a:xfrm>
                        <a:ext cx="2673350" cy="10668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587" type="#_x0000_t202" style="position:absolute;margin-left:326.15000000000003pt;margin-top:69.850000000000009pt;width:210.5pt;height:8.4000000000000004pt;z-index:-188743763;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701040</wp:posOffset>
              </wp:positionH>
              <wp:positionV relativeFrom="page">
                <wp:posOffset>1044575</wp:posOffset>
              </wp:positionV>
              <wp:extent cx="6160135" cy="0"/>
              <wp:wrapNone/>
              <wp:docPr id="563" name="Shape 563"/>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5.200000000000003pt;margin-top:82.25pt;width:485.05000000000001pt;height:0;z-index:-251658240;mso-position-horizontal-relative:page;mso-position-vertical-relative:page">
              <v:stroke weight="1.pt"/>
            </v:shape>
          </w:pict>
        </mc:Fallback>
      </mc:AlternateContent>
    </w:r>
  </w:p>
</w:hdr>
</file>

<file path=word/header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4" behindDoc="1" locked="0" layoutInCell="1" allowOverlap="1">
              <wp:simplePos x="0" y="0"/>
              <wp:positionH relativeFrom="page">
                <wp:posOffset>719455</wp:posOffset>
              </wp:positionH>
              <wp:positionV relativeFrom="page">
                <wp:posOffset>697865</wp:posOffset>
              </wp:positionV>
              <wp:extent cx="1012190" cy="283210"/>
              <wp:wrapNone/>
              <wp:docPr id="566" name="Shape 566"/>
              <a:graphic xmlns:a="http://schemas.openxmlformats.org/drawingml/2006/main">
                <a:graphicData uri="http://schemas.microsoft.com/office/word/2010/wordprocessingShape">
                  <wps:wsp>
                    <wps:cNvSpPr txBox="1"/>
                    <wps:spPr>
                      <a:xfrm>
                        <a:ext cx="1012190" cy="2832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204"/>
                            <w:keepNext w:val="0"/>
                            <w:keepLines w:val="0"/>
                            <w:widowControl w:val="0"/>
                            <w:shd w:val="clear" w:color="auto" w:fill="auto"/>
                            <w:bidi w:val="0"/>
                            <w:spacing w:before="0" w:after="0" w:line="240" w:lineRule="auto"/>
                            <w:ind w:left="0" w:right="0" w:firstLine="0"/>
                            <w:jc w:val="left"/>
                          </w:pPr>
                          <w:r>
                            <w:rPr>
                              <w:b/>
                              <w:bCs/>
                              <w:i/>
                              <w:iCs/>
                              <w:color w:val="6DB14A"/>
                              <w:spacing w:val="0"/>
                              <w:w w:val="100"/>
                              <w:position w:val="0"/>
                              <w:sz w:val="18"/>
                              <w:szCs w:val="18"/>
                            </w:rPr>
                            <w:t>、、</w:t>
                          </w:r>
                          <w:r>
                            <w:rPr>
                              <w:b/>
                              <w:bCs/>
                              <w:color w:val="6DB14A"/>
                              <w:spacing w:val="0"/>
                              <w:w w:val="100"/>
                              <w:position w:val="0"/>
                            </w:rPr>
                            <w:t>一^</w:t>
                          </w:r>
                          <w:r>
                            <w:rPr>
                              <w:b/>
                              <w:bCs/>
                              <w:color w:val="5199CB"/>
                              <w:spacing w:val="0"/>
                              <w:w w:val="100"/>
                              <w:position w:val="0"/>
                            </w:rPr>
                            <w:t>神州泰岳</w:t>
                          </w:r>
                        </w:p>
                      </w:txbxContent>
                    </wps:txbx>
                    <wps:bodyPr wrap="none" lIns="0" tIns="0" rIns="0" bIns="0">
                      <a:spAutoFit/>
                    </wps:bodyPr>
                  </wps:wsp>
                </a:graphicData>
              </a:graphic>
            </wp:anchor>
          </w:drawing>
        </mc:Choice>
        <mc:Fallback>
          <w:pict>
            <v:shape id="_x0000_s1592" type="#_x0000_t202" style="position:absolute;margin-left:56.649999999999999pt;margin-top:54.950000000000003pt;width:79.700000000000003pt;height:22.300000000000001pt;z-index:-188743759;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204"/>
                      <w:keepNext w:val="0"/>
                      <w:keepLines w:val="0"/>
                      <w:widowControl w:val="0"/>
                      <w:shd w:val="clear" w:color="auto" w:fill="auto"/>
                      <w:bidi w:val="0"/>
                      <w:spacing w:before="0" w:after="0" w:line="240" w:lineRule="auto"/>
                      <w:ind w:left="0" w:right="0" w:firstLine="0"/>
                      <w:jc w:val="left"/>
                    </w:pPr>
                    <w:r>
                      <w:rPr>
                        <w:b/>
                        <w:bCs/>
                        <w:i/>
                        <w:iCs/>
                        <w:color w:val="6DB14A"/>
                        <w:spacing w:val="0"/>
                        <w:w w:val="100"/>
                        <w:position w:val="0"/>
                        <w:sz w:val="18"/>
                        <w:szCs w:val="18"/>
                      </w:rPr>
                      <w:t>、、</w:t>
                    </w:r>
                    <w:r>
                      <w:rPr>
                        <w:b/>
                        <w:bCs/>
                        <w:color w:val="6DB14A"/>
                        <w:spacing w:val="0"/>
                        <w:w w:val="100"/>
                        <w:position w:val="0"/>
                      </w:rPr>
                      <w:t>一^</w:t>
                    </w:r>
                    <w:r>
                      <w:rPr>
                        <w:b/>
                        <w:bCs/>
                        <w:color w:val="5199CB"/>
                        <w:spacing w:val="0"/>
                        <w:w w:val="100"/>
                        <w:position w:val="0"/>
                      </w:rPr>
                      <w:t>神州泰岳</w:t>
                    </w:r>
                  </w:p>
                </w:txbxContent>
              </v:textbox>
              <w10:wrap anchorx="page" anchory="page"/>
            </v:shape>
          </w:pict>
        </mc:Fallback>
      </mc:AlternateContent>
    </w:r>
    <w:r>
      <mc:AlternateContent>
        <mc:Choice Requires="wps">
          <w:drawing>
            <wp:anchor distT="0" distB="0" distL="0" distR="0" simplePos="0" relativeHeight="62914996" behindDoc="1" locked="0" layoutInCell="1" allowOverlap="1">
              <wp:simplePos x="0" y="0"/>
              <wp:positionH relativeFrom="page">
                <wp:posOffset>4142105</wp:posOffset>
              </wp:positionH>
              <wp:positionV relativeFrom="page">
                <wp:posOffset>887095</wp:posOffset>
              </wp:positionV>
              <wp:extent cx="2673350" cy="106680"/>
              <wp:wrapNone/>
              <wp:docPr id="568" name="Shape 568"/>
              <a:graphic xmlns:a="http://schemas.openxmlformats.org/drawingml/2006/main">
                <a:graphicData uri="http://schemas.microsoft.com/office/word/2010/wordprocessingShape">
                  <wps:wsp>
                    <wps:cNvSpPr txBox="1"/>
                    <wps:spPr>
                      <a:xfrm>
                        <a:ext cx="2673350" cy="10668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594" type="#_x0000_t202" style="position:absolute;margin-left:326.15000000000003pt;margin-top:69.850000000000009pt;width:210.5pt;height:8.4000000000000004pt;z-index:-188743757;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701040</wp:posOffset>
              </wp:positionH>
              <wp:positionV relativeFrom="page">
                <wp:posOffset>1044575</wp:posOffset>
              </wp:positionV>
              <wp:extent cx="6160135" cy="0"/>
              <wp:wrapNone/>
              <wp:docPr id="570" name="Shape 570"/>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5.200000000000003pt;margin-top:82.25pt;width:485.05000000000001pt;height:0;z-index:-251658240;mso-position-horizontal-relative:page;mso-position-vertical-relative:page">
              <v:stroke weight="1.pt"/>
            </v:shape>
          </w:pict>
        </mc:Fallback>
      </mc:AlternateContent>
    </w:r>
  </w:p>
</w:hdr>
</file>

<file path=word/header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8" behindDoc="1" locked="0" layoutInCell="1" allowOverlap="1">
              <wp:simplePos x="0" y="0"/>
              <wp:positionH relativeFrom="page">
                <wp:posOffset>719455</wp:posOffset>
              </wp:positionH>
              <wp:positionV relativeFrom="page">
                <wp:posOffset>699770</wp:posOffset>
              </wp:positionV>
              <wp:extent cx="6096000" cy="295910"/>
              <wp:wrapNone/>
              <wp:docPr id="35" name="Shape 35"/>
              <a:graphic xmlns:a="http://schemas.openxmlformats.org/drawingml/2006/main">
                <a:graphicData uri="http://schemas.microsoft.com/office/word/2010/wordprocessingShape">
                  <wps:wsp>
                    <wps:cNvSpPr txBox="1"/>
                    <wps:spPr>
                      <a:xfrm>
                        <a:ext cx="6096000" cy="295910"/>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9"/>
                            <w:keepNext w:val="0"/>
                            <w:keepLines w:val="0"/>
                            <w:widowControl w:val="0"/>
                            <w:shd w:val="clear" w:color="auto" w:fill="auto"/>
                            <w:tabs>
                              <w:tab w:pos="8707" w:val="right"/>
                            </w:tabs>
                            <w:bidi w:val="0"/>
                            <w:spacing w:before="0" w:after="0" w:line="240" w:lineRule="auto"/>
                            <w:ind w:left="0" w:right="0" w:firstLine="0"/>
                            <w:jc w:val="left"/>
                            <w:rPr>
                              <w:sz w:val="17"/>
                              <w:szCs w:val="17"/>
                            </w:rPr>
                          </w:pPr>
                          <w:r>
                            <w:rPr>
                              <w:rFonts w:ascii="SimSun" w:eastAsia="SimSun" w:hAnsi="SimSun" w:cs="SimSun"/>
                              <w:color w:val="1F84C4"/>
                              <w:spacing w:val="0"/>
                              <w:w w:val="100"/>
                              <w:position w:val="0"/>
                              <w:sz w:val="17"/>
                              <w:szCs w:val="17"/>
                            </w:rPr>
                            <w:t>斗卜</w:t>
                          </w:r>
                          <w:r>
                            <w:rPr>
                              <w:color w:val="1F84C4"/>
                              <w:spacing w:val="0"/>
                              <w:w w:val="100"/>
                              <w:position w:val="0"/>
                              <w:sz w:val="18"/>
                              <w:szCs w:val="18"/>
                            </w:rPr>
                            <w:t>I</w:t>
                          </w:r>
                          <w:r>
                            <w:rPr>
                              <w:rFonts w:ascii="SimSun" w:eastAsia="SimSun" w:hAnsi="SimSun" w:cs="SimSun"/>
                              <w:color w:val="1F84C4"/>
                              <w:spacing w:val="0"/>
                              <w:w w:val="100"/>
                              <w:position w:val="0"/>
                              <w:sz w:val="17"/>
                              <w:szCs w:val="17"/>
                            </w:rPr>
                            <w:t>•.泰</w:t>
                          </w:r>
                          <w:r>
                            <w:rPr>
                              <w:rFonts w:ascii="SimSun" w:eastAsia="SimSun" w:hAnsi="SimSun" w:cs="SimSun"/>
                              <w:color w:val="1F84C4"/>
                              <w:spacing w:val="0"/>
                              <w:w w:val="100"/>
                              <w:position w:val="0"/>
                              <w:sz w:val="17"/>
                              <w:szCs w:val="17"/>
                            </w:rPr>
                            <w:t>•，</w:t>
                            <w:tab/>
                          </w:r>
                          <w:r>
                            <w:rPr>
                              <w:rFonts w:ascii="SimSun" w:eastAsia="SimSun" w:hAnsi="SimSun" w:cs="SimSun"/>
                              <w:color w:val="000000"/>
                              <w:spacing w:val="0"/>
                              <w:w w:val="100"/>
                              <w:position w:val="0"/>
                              <w:sz w:val="17"/>
                              <w:szCs w:val="17"/>
                            </w:rPr>
                            <w:t>北京神州泰岳软件股份有限公司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lIns="0" tIns="0" rIns="0" bIns="0">
                      <a:spAutoFit/>
                    </wps:bodyPr>
                  </wps:wsp>
                </a:graphicData>
              </a:graphic>
            </wp:anchor>
          </w:drawing>
        </mc:Choice>
        <mc:Fallback>
          <w:pict>
            <v:shape id="_x0000_s1061" type="#_x0000_t202" style="position:absolute;margin-left:56.649999999999999pt;margin-top:55.100000000000001pt;width:480.pt;height:23.300000000000001pt;z-index:-188744035;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9"/>
                      <w:keepNext w:val="0"/>
                      <w:keepLines w:val="0"/>
                      <w:widowControl w:val="0"/>
                      <w:shd w:val="clear" w:color="auto" w:fill="auto"/>
                      <w:tabs>
                        <w:tab w:pos="8707" w:val="right"/>
                      </w:tabs>
                      <w:bidi w:val="0"/>
                      <w:spacing w:before="0" w:after="0" w:line="240" w:lineRule="auto"/>
                      <w:ind w:left="0" w:right="0" w:firstLine="0"/>
                      <w:jc w:val="left"/>
                      <w:rPr>
                        <w:sz w:val="17"/>
                        <w:szCs w:val="17"/>
                      </w:rPr>
                    </w:pPr>
                    <w:r>
                      <w:rPr>
                        <w:rFonts w:ascii="SimSun" w:eastAsia="SimSun" w:hAnsi="SimSun" w:cs="SimSun"/>
                        <w:color w:val="1F84C4"/>
                        <w:spacing w:val="0"/>
                        <w:w w:val="100"/>
                        <w:position w:val="0"/>
                        <w:sz w:val="17"/>
                        <w:szCs w:val="17"/>
                      </w:rPr>
                      <w:t>斗卜</w:t>
                    </w:r>
                    <w:r>
                      <w:rPr>
                        <w:color w:val="1F84C4"/>
                        <w:spacing w:val="0"/>
                        <w:w w:val="100"/>
                        <w:position w:val="0"/>
                        <w:sz w:val="18"/>
                        <w:szCs w:val="18"/>
                      </w:rPr>
                      <w:t>I</w:t>
                    </w:r>
                    <w:r>
                      <w:rPr>
                        <w:rFonts w:ascii="SimSun" w:eastAsia="SimSun" w:hAnsi="SimSun" w:cs="SimSun"/>
                        <w:color w:val="1F84C4"/>
                        <w:spacing w:val="0"/>
                        <w:w w:val="100"/>
                        <w:position w:val="0"/>
                        <w:sz w:val="17"/>
                        <w:szCs w:val="17"/>
                      </w:rPr>
                      <w:t>•.泰</w:t>
                    </w:r>
                    <w:r>
                      <w:rPr>
                        <w:rFonts w:ascii="SimSun" w:eastAsia="SimSun" w:hAnsi="SimSun" w:cs="SimSun"/>
                        <w:color w:val="1F84C4"/>
                        <w:spacing w:val="0"/>
                        <w:w w:val="100"/>
                        <w:position w:val="0"/>
                        <w:sz w:val="17"/>
                        <w:szCs w:val="17"/>
                      </w:rPr>
                      <w:t>•，</w:t>
                      <w:tab/>
                    </w:r>
                    <w:r>
                      <w:rPr>
                        <w:rFonts w:ascii="SimSun" w:eastAsia="SimSun" w:hAnsi="SimSun" w:cs="SimSun"/>
                        <w:color w:val="000000"/>
                        <w:spacing w:val="0"/>
                        <w:w w:val="100"/>
                        <w:position w:val="0"/>
                        <w:sz w:val="17"/>
                        <w:szCs w:val="17"/>
                      </w:rPr>
                      <w:t>北京神州泰岳软件股份有限公司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p>
</w:hdr>
</file>

<file path=word/header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4" behindDoc="1" locked="0" layoutInCell="1" allowOverlap="1">
              <wp:simplePos x="0" y="0"/>
              <wp:positionH relativeFrom="page">
                <wp:posOffset>719455</wp:posOffset>
              </wp:positionH>
              <wp:positionV relativeFrom="page">
                <wp:posOffset>693420</wp:posOffset>
              </wp:positionV>
              <wp:extent cx="6096000" cy="295910"/>
              <wp:wrapNone/>
              <wp:docPr id="578" name="Shape 578"/>
              <a:graphic xmlns:a="http://schemas.openxmlformats.org/drawingml/2006/main">
                <a:graphicData uri="http://schemas.microsoft.com/office/word/2010/wordprocessingShape">
                  <wps:wsp>
                    <wps:cNvSpPr txBox="1"/>
                    <wps:spPr>
                      <a:xfrm>
                        <a:ext cx="6096000" cy="2959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tabs>
                              <w:tab w:pos="8707" w:val="right"/>
                            </w:tabs>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1F84C4"/>
                              <w:spacing w:val="0"/>
                              <w:w w:val="100"/>
                              <w:position w:val="0"/>
                            </w:rPr>
                            <w:t>•，</w:t>
                            <w:tab/>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lIns="0" tIns="0" rIns="0" bIns="0">
                      <a:spAutoFit/>
                    </wps:bodyPr>
                  </wps:wsp>
                </a:graphicData>
              </a:graphic>
            </wp:anchor>
          </w:drawing>
        </mc:Choice>
        <mc:Fallback>
          <w:pict>
            <v:shape id="_x0000_s1604" type="#_x0000_t202" style="position:absolute;margin-left:56.649999999999999pt;margin-top:54.600000000000001pt;width:480.pt;height:23.300000000000001pt;z-index:-188743749;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tabs>
                        <w:tab w:pos="8707" w:val="right"/>
                      </w:tabs>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1F84C4"/>
                        <w:spacing w:val="0"/>
                        <w:w w:val="100"/>
                        <w:position w:val="0"/>
                      </w:rPr>
                      <w:t>•，</w:t>
                      <w:tab/>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p>
</w:hdr>
</file>

<file path=word/header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8" behindDoc="1" locked="0" layoutInCell="1" allowOverlap="1">
              <wp:simplePos x="0" y="0"/>
              <wp:positionH relativeFrom="page">
                <wp:posOffset>719455</wp:posOffset>
              </wp:positionH>
              <wp:positionV relativeFrom="page">
                <wp:posOffset>697865</wp:posOffset>
              </wp:positionV>
              <wp:extent cx="1012190" cy="283210"/>
              <wp:wrapNone/>
              <wp:docPr id="582" name="Shape 582"/>
              <a:graphic xmlns:a="http://schemas.openxmlformats.org/drawingml/2006/main">
                <a:graphicData uri="http://schemas.microsoft.com/office/word/2010/wordprocessingShape">
                  <wps:wsp>
                    <wps:cNvSpPr txBox="1"/>
                    <wps:spPr>
                      <a:xfrm>
                        <a:ext cx="1012190" cy="2832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204"/>
                            <w:keepNext w:val="0"/>
                            <w:keepLines w:val="0"/>
                            <w:widowControl w:val="0"/>
                            <w:shd w:val="clear" w:color="auto" w:fill="auto"/>
                            <w:bidi w:val="0"/>
                            <w:spacing w:before="0" w:after="0" w:line="240" w:lineRule="auto"/>
                            <w:ind w:left="0" w:right="0" w:firstLine="0"/>
                            <w:jc w:val="left"/>
                          </w:pPr>
                          <w:r>
                            <w:rPr>
                              <w:b/>
                              <w:bCs/>
                              <w:i/>
                              <w:iCs/>
                              <w:color w:val="6DB14A"/>
                              <w:spacing w:val="0"/>
                              <w:w w:val="100"/>
                              <w:position w:val="0"/>
                              <w:sz w:val="18"/>
                              <w:szCs w:val="18"/>
                            </w:rPr>
                            <w:t>、、</w:t>
                          </w:r>
                          <w:r>
                            <w:rPr>
                              <w:b/>
                              <w:bCs/>
                              <w:color w:val="6DB14A"/>
                              <w:spacing w:val="0"/>
                              <w:w w:val="100"/>
                              <w:position w:val="0"/>
                            </w:rPr>
                            <w:t>一^</w:t>
                          </w:r>
                          <w:r>
                            <w:rPr>
                              <w:b/>
                              <w:bCs/>
                              <w:color w:val="5199CB"/>
                              <w:spacing w:val="0"/>
                              <w:w w:val="100"/>
                              <w:position w:val="0"/>
                            </w:rPr>
                            <w:t>神州泰岳</w:t>
                          </w:r>
                        </w:p>
                      </w:txbxContent>
                    </wps:txbx>
                    <wps:bodyPr wrap="none" lIns="0" tIns="0" rIns="0" bIns="0">
                      <a:spAutoFit/>
                    </wps:bodyPr>
                  </wps:wsp>
                </a:graphicData>
              </a:graphic>
            </wp:anchor>
          </w:drawing>
        </mc:Choice>
        <mc:Fallback>
          <w:pict>
            <v:shape id="_x0000_s1608" type="#_x0000_t202" style="position:absolute;margin-left:56.649999999999999pt;margin-top:54.950000000000003pt;width:79.700000000000003pt;height:22.300000000000001pt;z-index:-188743745;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204"/>
                      <w:keepNext w:val="0"/>
                      <w:keepLines w:val="0"/>
                      <w:widowControl w:val="0"/>
                      <w:shd w:val="clear" w:color="auto" w:fill="auto"/>
                      <w:bidi w:val="0"/>
                      <w:spacing w:before="0" w:after="0" w:line="240" w:lineRule="auto"/>
                      <w:ind w:left="0" w:right="0" w:firstLine="0"/>
                      <w:jc w:val="left"/>
                    </w:pPr>
                    <w:r>
                      <w:rPr>
                        <w:b/>
                        <w:bCs/>
                        <w:i/>
                        <w:iCs/>
                        <w:color w:val="6DB14A"/>
                        <w:spacing w:val="0"/>
                        <w:w w:val="100"/>
                        <w:position w:val="0"/>
                        <w:sz w:val="18"/>
                        <w:szCs w:val="18"/>
                      </w:rPr>
                      <w:t>、、</w:t>
                    </w:r>
                    <w:r>
                      <w:rPr>
                        <w:b/>
                        <w:bCs/>
                        <w:color w:val="6DB14A"/>
                        <w:spacing w:val="0"/>
                        <w:w w:val="100"/>
                        <w:position w:val="0"/>
                      </w:rPr>
                      <w:t>一^</w:t>
                    </w:r>
                    <w:r>
                      <w:rPr>
                        <w:b/>
                        <w:bCs/>
                        <w:color w:val="5199CB"/>
                        <w:spacing w:val="0"/>
                        <w:w w:val="100"/>
                        <w:position w:val="0"/>
                      </w:rPr>
                      <w:t>神州泰岳</w:t>
                    </w:r>
                  </w:p>
                </w:txbxContent>
              </v:textbox>
              <w10:wrap anchorx="page" anchory="page"/>
            </v:shape>
          </w:pict>
        </mc:Fallback>
      </mc:AlternateContent>
    </w:r>
    <w:r>
      <mc:AlternateContent>
        <mc:Choice Requires="wps">
          <w:drawing>
            <wp:anchor distT="0" distB="0" distL="0" distR="0" simplePos="0" relativeHeight="62915010" behindDoc="1" locked="0" layoutInCell="1" allowOverlap="1">
              <wp:simplePos x="0" y="0"/>
              <wp:positionH relativeFrom="page">
                <wp:posOffset>4142105</wp:posOffset>
              </wp:positionH>
              <wp:positionV relativeFrom="page">
                <wp:posOffset>887095</wp:posOffset>
              </wp:positionV>
              <wp:extent cx="2673350" cy="106680"/>
              <wp:wrapNone/>
              <wp:docPr id="584" name="Shape 584"/>
              <a:graphic xmlns:a="http://schemas.openxmlformats.org/drawingml/2006/main">
                <a:graphicData uri="http://schemas.microsoft.com/office/word/2010/wordprocessingShape">
                  <wps:wsp>
                    <wps:cNvSpPr txBox="1"/>
                    <wps:spPr>
                      <a:xfrm>
                        <a:ext cx="2673350" cy="10668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610" type="#_x0000_t202" style="position:absolute;margin-left:326.15000000000003pt;margin-top:69.850000000000009pt;width:210.5pt;height:8.4000000000000004pt;z-index:-188743743;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701040</wp:posOffset>
              </wp:positionH>
              <wp:positionV relativeFrom="page">
                <wp:posOffset>1044575</wp:posOffset>
              </wp:positionV>
              <wp:extent cx="6160135" cy="0"/>
              <wp:wrapNone/>
              <wp:docPr id="586" name="Shape 586"/>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5.200000000000003pt;margin-top:82.25pt;width:485.05000000000001pt;height:0;z-index:-251658240;mso-position-horizontal-relative:page;mso-position-vertical-relative:page">
              <v:stroke weight="1.pt"/>
            </v:shape>
          </w:pict>
        </mc:Fallback>
      </mc:AlternateContent>
    </w:r>
  </w:p>
</w:hdr>
</file>

<file path=word/header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4" behindDoc="1" locked="0" layoutInCell="1" allowOverlap="1">
              <wp:simplePos x="0" y="0"/>
              <wp:positionH relativeFrom="page">
                <wp:posOffset>719455</wp:posOffset>
              </wp:positionH>
              <wp:positionV relativeFrom="page">
                <wp:posOffset>697865</wp:posOffset>
              </wp:positionV>
              <wp:extent cx="1012190" cy="283210"/>
              <wp:wrapNone/>
              <wp:docPr id="591" name="Shape 591"/>
              <a:graphic xmlns:a="http://schemas.openxmlformats.org/drawingml/2006/main">
                <a:graphicData uri="http://schemas.microsoft.com/office/word/2010/wordprocessingShape">
                  <wps:wsp>
                    <wps:cNvSpPr txBox="1"/>
                    <wps:spPr>
                      <a:xfrm>
                        <a:ext cx="1012190" cy="2832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204"/>
                            <w:keepNext w:val="0"/>
                            <w:keepLines w:val="0"/>
                            <w:widowControl w:val="0"/>
                            <w:shd w:val="clear" w:color="auto" w:fill="auto"/>
                            <w:bidi w:val="0"/>
                            <w:spacing w:before="0" w:after="0" w:line="240" w:lineRule="auto"/>
                            <w:ind w:left="0" w:right="0" w:firstLine="0"/>
                            <w:jc w:val="left"/>
                          </w:pPr>
                          <w:r>
                            <w:rPr>
                              <w:b/>
                              <w:bCs/>
                              <w:i/>
                              <w:iCs/>
                              <w:color w:val="6DB14A"/>
                              <w:spacing w:val="0"/>
                              <w:w w:val="100"/>
                              <w:position w:val="0"/>
                              <w:sz w:val="18"/>
                              <w:szCs w:val="18"/>
                            </w:rPr>
                            <w:t>、、</w:t>
                          </w:r>
                          <w:r>
                            <w:rPr>
                              <w:b/>
                              <w:bCs/>
                              <w:color w:val="6DB14A"/>
                              <w:spacing w:val="0"/>
                              <w:w w:val="100"/>
                              <w:position w:val="0"/>
                            </w:rPr>
                            <w:t>一^</w:t>
                          </w:r>
                          <w:r>
                            <w:rPr>
                              <w:b/>
                              <w:bCs/>
                              <w:color w:val="5199CB"/>
                              <w:spacing w:val="0"/>
                              <w:w w:val="100"/>
                              <w:position w:val="0"/>
                            </w:rPr>
                            <w:t>神州泰岳</w:t>
                          </w:r>
                        </w:p>
                      </w:txbxContent>
                    </wps:txbx>
                    <wps:bodyPr wrap="none" lIns="0" tIns="0" rIns="0" bIns="0">
                      <a:spAutoFit/>
                    </wps:bodyPr>
                  </wps:wsp>
                </a:graphicData>
              </a:graphic>
            </wp:anchor>
          </w:drawing>
        </mc:Choice>
        <mc:Fallback>
          <w:pict>
            <v:shape id="_x0000_s1617" type="#_x0000_t202" style="position:absolute;margin-left:56.649999999999999pt;margin-top:54.950000000000003pt;width:79.700000000000003pt;height:22.300000000000001pt;z-index:-188743739;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204"/>
                      <w:keepNext w:val="0"/>
                      <w:keepLines w:val="0"/>
                      <w:widowControl w:val="0"/>
                      <w:shd w:val="clear" w:color="auto" w:fill="auto"/>
                      <w:bidi w:val="0"/>
                      <w:spacing w:before="0" w:after="0" w:line="240" w:lineRule="auto"/>
                      <w:ind w:left="0" w:right="0" w:firstLine="0"/>
                      <w:jc w:val="left"/>
                    </w:pPr>
                    <w:r>
                      <w:rPr>
                        <w:b/>
                        <w:bCs/>
                        <w:i/>
                        <w:iCs/>
                        <w:color w:val="6DB14A"/>
                        <w:spacing w:val="0"/>
                        <w:w w:val="100"/>
                        <w:position w:val="0"/>
                        <w:sz w:val="18"/>
                        <w:szCs w:val="18"/>
                      </w:rPr>
                      <w:t>、、</w:t>
                    </w:r>
                    <w:r>
                      <w:rPr>
                        <w:b/>
                        <w:bCs/>
                        <w:color w:val="6DB14A"/>
                        <w:spacing w:val="0"/>
                        <w:w w:val="100"/>
                        <w:position w:val="0"/>
                      </w:rPr>
                      <w:t>一^</w:t>
                    </w:r>
                    <w:r>
                      <w:rPr>
                        <w:b/>
                        <w:bCs/>
                        <w:color w:val="5199CB"/>
                        <w:spacing w:val="0"/>
                        <w:w w:val="100"/>
                        <w:position w:val="0"/>
                      </w:rPr>
                      <w:t>神州泰岳</w:t>
                    </w:r>
                  </w:p>
                </w:txbxContent>
              </v:textbox>
              <w10:wrap anchorx="page" anchory="page"/>
            </v:shape>
          </w:pict>
        </mc:Fallback>
      </mc:AlternateContent>
    </w:r>
    <w:r>
      <mc:AlternateContent>
        <mc:Choice Requires="wps">
          <w:drawing>
            <wp:anchor distT="0" distB="0" distL="0" distR="0" simplePos="0" relativeHeight="62915016" behindDoc="1" locked="0" layoutInCell="1" allowOverlap="1">
              <wp:simplePos x="0" y="0"/>
              <wp:positionH relativeFrom="page">
                <wp:posOffset>4142105</wp:posOffset>
              </wp:positionH>
              <wp:positionV relativeFrom="page">
                <wp:posOffset>887095</wp:posOffset>
              </wp:positionV>
              <wp:extent cx="2673350" cy="106680"/>
              <wp:wrapNone/>
              <wp:docPr id="593" name="Shape 593"/>
              <a:graphic xmlns:a="http://schemas.openxmlformats.org/drawingml/2006/main">
                <a:graphicData uri="http://schemas.microsoft.com/office/word/2010/wordprocessingShape">
                  <wps:wsp>
                    <wps:cNvSpPr txBox="1"/>
                    <wps:spPr>
                      <a:xfrm>
                        <a:ext cx="2673350" cy="10668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619" type="#_x0000_t202" style="position:absolute;margin-left:326.15000000000003pt;margin-top:69.850000000000009pt;width:210.5pt;height:8.4000000000000004pt;z-index:-188743737;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701040</wp:posOffset>
              </wp:positionH>
              <wp:positionV relativeFrom="page">
                <wp:posOffset>1044575</wp:posOffset>
              </wp:positionV>
              <wp:extent cx="6160135" cy="0"/>
              <wp:wrapNone/>
              <wp:docPr id="595" name="Shape 595"/>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5.200000000000003pt;margin-top:82.25pt;width:485.05000000000001pt;height:0;z-index:-251658240;mso-position-horizontal-relative:page;mso-position-vertical-relative:page">
              <v:stroke weight="1.pt"/>
            </v:shape>
          </w:pict>
        </mc:Fallback>
      </mc:AlternateContent>
    </w:r>
  </w:p>
</w:hdr>
</file>

<file path=word/header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0" behindDoc="1" locked="0" layoutInCell="1" allowOverlap="1">
              <wp:simplePos x="0" y="0"/>
              <wp:positionH relativeFrom="page">
                <wp:posOffset>719455</wp:posOffset>
              </wp:positionH>
              <wp:positionV relativeFrom="page">
                <wp:posOffset>697865</wp:posOffset>
              </wp:positionV>
              <wp:extent cx="1012190" cy="283210"/>
              <wp:wrapNone/>
              <wp:docPr id="598" name="Shape 598"/>
              <a:graphic xmlns:a="http://schemas.openxmlformats.org/drawingml/2006/main">
                <a:graphicData uri="http://schemas.microsoft.com/office/word/2010/wordprocessingShape">
                  <wps:wsp>
                    <wps:cNvSpPr txBox="1"/>
                    <wps:spPr>
                      <a:xfrm>
                        <a:ext cx="1012190" cy="2832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204"/>
                            <w:keepNext w:val="0"/>
                            <w:keepLines w:val="0"/>
                            <w:widowControl w:val="0"/>
                            <w:shd w:val="clear" w:color="auto" w:fill="auto"/>
                            <w:bidi w:val="0"/>
                            <w:spacing w:before="0" w:after="0" w:line="240" w:lineRule="auto"/>
                            <w:ind w:left="0" w:right="0" w:firstLine="0"/>
                            <w:jc w:val="left"/>
                          </w:pPr>
                          <w:r>
                            <w:rPr>
                              <w:b/>
                              <w:bCs/>
                              <w:i/>
                              <w:iCs/>
                              <w:color w:val="6DB14A"/>
                              <w:spacing w:val="0"/>
                              <w:w w:val="100"/>
                              <w:position w:val="0"/>
                              <w:sz w:val="18"/>
                              <w:szCs w:val="18"/>
                            </w:rPr>
                            <w:t>、、</w:t>
                          </w:r>
                          <w:r>
                            <w:rPr>
                              <w:b/>
                              <w:bCs/>
                              <w:color w:val="6DB14A"/>
                              <w:spacing w:val="0"/>
                              <w:w w:val="100"/>
                              <w:position w:val="0"/>
                            </w:rPr>
                            <w:t>一^</w:t>
                          </w:r>
                          <w:r>
                            <w:rPr>
                              <w:b/>
                              <w:bCs/>
                              <w:color w:val="5199CB"/>
                              <w:spacing w:val="0"/>
                              <w:w w:val="100"/>
                              <w:position w:val="0"/>
                            </w:rPr>
                            <w:t>神州泰岳</w:t>
                          </w:r>
                        </w:p>
                      </w:txbxContent>
                    </wps:txbx>
                    <wps:bodyPr wrap="none" lIns="0" tIns="0" rIns="0" bIns="0">
                      <a:spAutoFit/>
                    </wps:bodyPr>
                  </wps:wsp>
                </a:graphicData>
              </a:graphic>
            </wp:anchor>
          </w:drawing>
        </mc:Choice>
        <mc:Fallback>
          <w:pict>
            <v:shape id="_x0000_s1624" type="#_x0000_t202" style="position:absolute;margin-left:56.649999999999999pt;margin-top:54.950000000000003pt;width:79.700000000000003pt;height:22.300000000000001pt;z-index:-188743733;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204"/>
                      <w:keepNext w:val="0"/>
                      <w:keepLines w:val="0"/>
                      <w:widowControl w:val="0"/>
                      <w:shd w:val="clear" w:color="auto" w:fill="auto"/>
                      <w:bidi w:val="0"/>
                      <w:spacing w:before="0" w:after="0" w:line="240" w:lineRule="auto"/>
                      <w:ind w:left="0" w:right="0" w:firstLine="0"/>
                      <w:jc w:val="left"/>
                    </w:pPr>
                    <w:r>
                      <w:rPr>
                        <w:b/>
                        <w:bCs/>
                        <w:i/>
                        <w:iCs/>
                        <w:color w:val="6DB14A"/>
                        <w:spacing w:val="0"/>
                        <w:w w:val="100"/>
                        <w:position w:val="0"/>
                        <w:sz w:val="18"/>
                        <w:szCs w:val="18"/>
                      </w:rPr>
                      <w:t>、、</w:t>
                    </w:r>
                    <w:r>
                      <w:rPr>
                        <w:b/>
                        <w:bCs/>
                        <w:color w:val="6DB14A"/>
                        <w:spacing w:val="0"/>
                        <w:w w:val="100"/>
                        <w:position w:val="0"/>
                      </w:rPr>
                      <w:t>一^</w:t>
                    </w:r>
                    <w:r>
                      <w:rPr>
                        <w:b/>
                        <w:bCs/>
                        <w:color w:val="5199CB"/>
                        <w:spacing w:val="0"/>
                        <w:w w:val="100"/>
                        <w:position w:val="0"/>
                      </w:rPr>
                      <w:t>神州泰岳</w:t>
                    </w:r>
                  </w:p>
                </w:txbxContent>
              </v:textbox>
              <w10:wrap anchorx="page" anchory="page"/>
            </v:shape>
          </w:pict>
        </mc:Fallback>
      </mc:AlternateContent>
    </w:r>
    <w:r>
      <mc:AlternateContent>
        <mc:Choice Requires="wps">
          <w:drawing>
            <wp:anchor distT="0" distB="0" distL="0" distR="0" simplePos="0" relativeHeight="62915022" behindDoc="1" locked="0" layoutInCell="1" allowOverlap="1">
              <wp:simplePos x="0" y="0"/>
              <wp:positionH relativeFrom="page">
                <wp:posOffset>4142105</wp:posOffset>
              </wp:positionH>
              <wp:positionV relativeFrom="page">
                <wp:posOffset>887095</wp:posOffset>
              </wp:positionV>
              <wp:extent cx="2673350" cy="106680"/>
              <wp:wrapNone/>
              <wp:docPr id="600" name="Shape 600"/>
              <a:graphic xmlns:a="http://schemas.openxmlformats.org/drawingml/2006/main">
                <a:graphicData uri="http://schemas.microsoft.com/office/word/2010/wordprocessingShape">
                  <wps:wsp>
                    <wps:cNvSpPr txBox="1"/>
                    <wps:spPr>
                      <a:xfrm>
                        <a:ext cx="2673350" cy="10668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626" type="#_x0000_t202" style="position:absolute;margin-left:326.15000000000003pt;margin-top:69.850000000000009pt;width:210.5pt;height:8.4000000000000004pt;z-index:-188743731;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701040</wp:posOffset>
              </wp:positionH>
              <wp:positionV relativeFrom="page">
                <wp:posOffset>1044575</wp:posOffset>
              </wp:positionV>
              <wp:extent cx="6160135" cy="0"/>
              <wp:wrapNone/>
              <wp:docPr id="602" name="Shape 602"/>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5.200000000000003pt;margin-top:82.25pt;width:485.05000000000001pt;height:0;z-index:-251658240;mso-position-horizontal-relative:page;mso-position-vertical-relative:page">
              <v:stroke weight="1.pt"/>
            </v:shape>
          </w:pict>
        </mc:Fallback>
      </mc:AlternateContent>
    </w:r>
  </w:p>
</w:hdr>
</file>

<file path=word/header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6" behindDoc="1" locked="0" layoutInCell="1" allowOverlap="1">
              <wp:simplePos x="0" y="0"/>
              <wp:positionH relativeFrom="page">
                <wp:posOffset>719455</wp:posOffset>
              </wp:positionH>
              <wp:positionV relativeFrom="page">
                <wp:posOffset>693420</wp:posOffset>
              </wp:positionV>
              <wp:extent cx="6096000" cy="295910"/>
              <wp:wrapNone/>
              <wp:docPr id="605" name="Shape 605"/>
              <a:graphic xmlns:a="http://schemas.openxmlformats.org/drawingml/2006/main">
                <a:graphicData uri="http://schemas.microsoft.com/office/word/2010/wordprocessingShape">
                  <wps:wsp>
                    <wps:cNvSpPr txBox="1"/>
                    <wps:spPr>
                      <a:xfrm>
                        <a:ext cx="6096000" cy="2959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tabs>
                              <w:tab w:pos="8707" w:val="right"/>
                            </w:tabs>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1F84C4"/>
                              <w:spacing w:val="0"/>
                              <w:w w:val="100"/>
                              <w:position w:val="0"/>
                            </w:rPr>
                            <w:t>•，</w:t>
                            <w:tab/>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lIns="0" tIns="0" rIns="0" bIns="0">
                      <a:spAutoFit/>
                    </wps:bodyPr>
                  </wps:wsp>
                </a:graphicData>
              </a:graphic>
            </wp:anchor>
          </w:drawing>
        </mc:Choice>
        <mc:Fallback>
          <w:pict>
            <v:shape id="_x0000_s1631" type="#_x0000_t202" style="position:absolute;margin-left:56.649999999999999pt;margin-top:54.600000000000001pt;width:480.pt;height:23.300000000000001pt;z-index:-188743727;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tabs>
                        <w:tab w:pos="8707" w:val="right"/>
                      </w:tabs>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1F84C4"/>
                        <w:spacing w:val="0"/>
                        <w:w w:val="100"/>
                        <w:position w:val="0"/>
                      </w:rPr>
                      <w:t>•，</w:t>
                      <w:tab/>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p>
</w:hdr>
</file>

<file path=word/header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0" behindDoc="1" locked="0" layoutInCell="1" allowOverlap="1">
              <wp:simplePos x="0" y="0"/>
              <wp:positionH relativeFrom="page">
                <wp:posOffset>719455</wp:posOffset>
              </wp:positionH>
              <wp:positionV relativeFrom="page">
                <wp:posOffset>693420</wp:posOffset>
              </wp:positionV>
              <wp:extent cx="6096000" cy="295910"/>
              <wp:wrapNone/>
              <wp:docPr id="609" name="Shape 609"/>
              <a:graphic xmlns:a="http://schemas.openxmlformats.org/drawingml/2006/main">
                <a:graphicData uri="http://schemas.microsoft.com/office/word/2010/wordprocessingShape">
                  <wps:wsp>
                    <wps:cNvSpPr txBox="1"/>
                    <wps:spPr>
                      <a:xfrm>
                        <a:ext cx="6096000" cy="2959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tabs>
                              <w:tab w:pos="8707" w:val="right"/>
                            </w:tabs>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1F84C4"/>
                              <w:spacing w:val="0"/>
                              <w:w w:val="100"/>
                              <w:position w:val="0"/>
                            </w:rPr>
                            <w:t>•，</w:t>
                            <w:tab/>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lIns="0" tIns="0" rIns="0" bIns="0">
                      <a:spAutoFit/>
                    </wps:bodyPr>
                  </wps:wsp>
                </a:graphicData>
              </a:graphic>
            </wp:anchor>
          </w:drawing>
        </mc:Choice>
        <mc:Fallback>
          <w:pict>
            <v:shape id="_x0000_s1635" type="#_x0000_t202" style="position:absolute;margin-left:56.649999999999999pt;margin-top:54.600000000000001pt;width:480.pt;height:23.300000000000001pt;z-index:-188743723;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tabs>
                        <w:tab w:pos="8707" w:val="right"/>
                      </w:tabs>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1F84C4"/>
                        <w:spacing w:val="0"/>
                        <w:w w:val="100"/>
                        <w:position w:val="0"/>
                      </w:rPr>
                      <w:t>•，</w:t>
                      <w:tab/>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p>
</w:hdr>
</file>

<file path=word/header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2" behindDoc="1" locked="0" layoutInCell="1" allowOverlap="1">
              <wp:simplePos x="0" y="0"/>
              <wp:positionH relativeFrom="page">
                <wp:posOffset>719455</wp:posOffset>
              </wp:positionH>
              <wp:positionV relativeFrom="page">
                <wp:posOffset>641985</wp:posOffset>
              </wp:positionV>
              <wp:extent cx="6096000" cy="295910"/>
              <wp:wrapNone/>
              <wp:docPr id="39" name="Shape 39"/>
              <a:graphic xmlns:a="http://schemas.openxmlformats.org/drawingml/2006/main">
                <a:graphicData uri="http://schemas.microsoft.com/office/word/2010/wordprocessingShape">
                  <wps:wsp>
                    <wps:cNvSpPr txBox="1"/>
                    <wps:spPr>
                      <a:xfrm>
                        <a:ext cx="6096000" cy="295910"/>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1F84C4"/>
                              <w:spacing w:val="0"/>
                              <w:w w:val="100"/>
                              <w:position w:val="0"/>
                              <w:sz w:val="17"/>
                              <w:szCs w:val="17"/>
                            </w:rPr>
                            <w:t>斗卜</w:t>
                          </w:r>
                          <w:r>
                            <w:rPr>
                              <w:color w:val="1F84C4"/>
                              <w:spacing w:val="0"/>
                              <w:w w:val="100"/>
                              <w:position w:val="0"/>
                              <w:sz w:val="18"/>
                              <w:szCs w:val="18"/>
                            </w:rPr>
                            <w:t>I</w:t>
                          </w:r>
                          <w:r>
                            <w:rPr>
                              <w:rFonts w:ascii="SimSun" w:eastAsia="SimSun" w:hAnsi="SimSun" w:cs="SimSun"/>
                              <w:color w:val="1F84C4"/>
                              <w:spacing w:val="0"/>
                              <w:w w:val="100"/>
                              <w:position w:val="0"/>
                              <w:sz w:val="17"/>
                              <w:szCs w:val="17"/>
                            </w:rPr>
                            <w:t>..泰</w:t>
                          </w:r>
                          <w:r>
                            <w:rPr>
                              <w:rFonts w:ascii="SimSun" w:eastAsia="SimSun" w:hAnsi="SimSun" w:cs="SimSun"/>
                              <w:color w:val="000000"/>
                              <w:spacing w:val="0"/>
                              <w:w w:val="100"/>
                              <w:position w:val="0"/>
                              <w:sz w:val="17"/>
                              <w:szCs w:val="17"/>
                            </w:rPr>
                            <w:t>北京神州泰岳软件股份有限公司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wps:txbx>
                    <wps:bodyPr wrap="none" lIns="0" tIns="0" rIns="0" bIns="0">
                      <a:spAutoFit/>
                    </wps:bodyPr>
                  </wps:wsp>
                </a:graphicData>
              </a:graphic>
            </wp:anchor>
          </w:drawing>
        </mc:Choice>
        <mc:Fallback>
          <w:pict>
            <v:shape id="_x0000_s1065" type="#_x0000_t202" style="position:absolute;margin-left:56.649999999999999pt;margin-top:50.550000000000004pt;width:480.pt;height:23.300000000000001pt;z-index:-188744031;mso-wrap-style:none;mso-wrap-distance-left:0;mso-wrap-distance-right:0;mso-position-horizontal-relative:page;mso-position-vertical-relative:page" wrapcoords="0 0"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9"/>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color w:val="1F84C4"/>
                        <w:spacing w:val="0"/>
                        <w:w w:val="100"/>
                        <w:position w:val="0"/>
                        <w:sz w:val="17"/>
                        <w:szCs w:val="17"/>
                      </w:rPr>
                      <w:t>斗卜</w:t>
                    </w:r>
                    <w:r>
                      <w:rPr>
                        <w:color w:val="1F84C4"/>
                        <w:spacing w:val="0"/>
                        <w:w w:val="100"/>
                        <w:position w:val="0"/>
                        <w:sz w:val="18"/>
                        <w:szCs w:val="18"/>
                      </w:rPr>
                      <w:t>I</w:t>
                    </w:r>
                    <w:r>
                      <w:rPr>
                        <w:rFonts w:ascii="SimSun" w:eastAsia="SimSun" w:hAnsi="SimSun" w:cs="SimSun"/>
                        <w:color w:val="1F84C4"/>
                        <w:spacing w:val="0"/>
                        <w:w w:val="100"/>
                        <w:position w:val="0"/>
                        <w:sz w:val="17"/>
                        <w:szCs w:val="17"/>
                      </w:rPr>
                      <w:t>..泰</w:t>
                    </w:r>
                    <w:r>
                      <w:rPr>
                        <w:rFonts w:ascii="SimSun" w:eastAsia="SimSun" w:hAnsi="SimSun" w:cs="SimSun"/>
                        <w:color w:val="000000"/>
                        <w:spacing w:val="0"/>
                        <w:w w:val="100"/>
                        <w:position w:val="0"/>
                        <w:sz w:val="17"/>
                        <w:szCs w:val="17"/>
                      </w:rPr>
                      <w:t>北京神州泰岳软件股份有限公司</w:t>
                    </w:r>
                    <w:r>
                      <w:rPr>
                        <w:color w:val="000000"/>
                        <w:spacing w:val="0"/>
                        <w:w w:val="100"/>
                        <w:position w:val="0"/>
                        <w:sz w:val="18"/>
                        <w:szCs w:val="18"/>
                      </w:rPr>
                      <w:t>2020</w:t>
                    </w:r>
                    <w:r>
                      <w:rPr>
                        <w:rFonts w:ascii="SimSun" w:eastAsia="SimSun" w:hAnsi="SimSun" w:cs="SimSun"/>
                        <w:color w:val="000000"/>
                        <w:spacing w:val="0"/>
                        <w:w w:val="100"/>
                        <w:position w:val="0"/>
                        <w:sz w:val="17"/>
                        <w:szCs w:val="17"/>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701040</wp:posOffset>
              </wp:positionH>
              <wp:positionV relativeFrom="page">
                <wp:posOffset>1044575</wp:posOffset>
              </wp:positionV>
              <wp:extent cx="6160135" cy="0"/>
              <wp:wrapNone/>
              <wp:docPr id="41" name="Shape 41"/>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5.200000000000003pt;margin-top:82.25pt;width:485.05000000000001pt;height:0;z-index:-251658240;mso-position-horizontal-relative:page;mso-position-vertical-relative:page">
              <v:stroke weight="1.pt"/>
            </v:shape>
          </w:pict>
        </mc:Fallback>
      </mc:AlternateContent>
    </w:r>
  </w:p>
</w:hdr>
</file>

<file path=word/header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8" behindDoc="1" locked="0" layoutInCell="1" allowOverlap="1">
              <wp:simplePos x="0" y="0"/>
              <wp:positionH relativeFrom="page">
                <wp:posOffset>719455</wp:posOffset>
              </wp:positionH>
              <wp:positionV relativeFrom="page">
                <wp:posOffset>693420</wp:posOffset>
              </wp:positionV>
              <wp:extent cx="6096000" cy="295910"/>
              <wp:wrapNone/>
              <wp:docPr id="617" name="Shape 617"/>
              <a:graphic xmlns:a="http://schemas.openxmlformats.org/drawingml/2006/main">
                <a:graphicData uri="http://schemas.microsoft.com/office/word/2010/wordprocessingShape">
                  <wps:wsp>
                    <wps:cNvSpPr txBox="1"/>
                    <wps:spPr>
                      <a:xfrm>
                        <a:ext cx="6096000" cy="2959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tabs>
                              <w:tab w:pos="8707" w:val="right"/>
                            </w:tabs>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1F84C4"/>
                              <w:spacing w:val="0"/>
                              <w:w w:val="100"/>
                              <w:position w:val="0"/>
                            </w:rPr>
                            <w:t>•，</w:t>
                            <w:tab/>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lIns="0" tIns="0" rIns="0" bIns="0">
                      <a:spAutoFit/>
                    </wps:bodyPr>
                  </wps:wsp>
                </a:graphicData>
              </a:graphic>
            </wp:anchor>
          </w:drawing>
        </mc:Choice>
        <mc:Fallback>
          <w:pict>
            <v:shape id="_x0000_s1643" type="#_x0000_t202" style="position:absolute;margin-left:56.649999999999999pt;margin-top:54.600000000000001pt;width:480.pt;height:23.300000000000001pt;z-index:-188743715;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tabs>
                        <w:tab w:pos="8707" w:val="right"/>
                      </w:tabs>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1F84C4"/>
                        <w:spacing w:val="0"/>
                        <w:w w:val="100"/>
                        <w:position w:val="0"/>
                      </w:rPr>
                      <w:t>•，</w:t>
                      <w:tab/>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p>
</w:hdr>
</file>

<file path=word/header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2" behindDoc="1" locked="0" layoutInCell="1" allowOverlap="1">
              <wp:simplePos x="0" y="0"/>
              <wp:positionH relativeFrom="page">
                <wp:posOffset>719455</wp:posOffset>
              </wp:positionH>
              <wp:positionV relativeFrom="page">
                <wp:posOffset>693420</wp:posOffset>
              </wp:positionV>
              <wp:extent cx="6096000" cy="295910"/>
              <wp:wrapNone/>
              <wp:docPr id="621" name="Shape 621"/>
              <a:graphic xmlns:a="http://schemas.openxmlformats.org/drawingml/2006/main">
                <a:graphicData uri="http://schemas.microsoft.com/office/word/2010/wordprocessingShape">
                  <wps:wsp>
                    <wps:cNvSpPr txBox="1"/>
                    <wps:spPr>
                      <a:xfrm>
                        <a:ext cx="6096000" cy="2959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tabs>
                              <w:tab w:pos="8707" w:val="right"/>
                            </w:tabs>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1F84C4"/>
                              <w:spacing w:val="0"/>
                              <w:w w:val="100"/>
                              <w:position w:val="0"/>
                            </w:rPr>
                            <w:t>•，</w:t>
                            <w:tab/>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lIns="0" tIns="0" rIns="0" bIns="0">
                      <a:spAutoFit/>
                    </wps:bodyPr>
                  </wps:wsp>
                </a:graphicData>
              </a:graphic>
            </wp:anchor>
          </w:drawing>
        </mc:Choice>
        <mc:Fallback>
          <w:pict>
            <v:shape id="_x0000_s1647" type="#_x0000_t202" style="position:absolute;margin-left:56.649999999999999pt;margin-top:54.600000000000001pt;width:480.pt;height:23.300000000000001pt;z-index:-188743711;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tabs>
                        <w:tab w:pos="8707" w:val="right"/>
                      </w:tabs>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1F84C4"/>
                        <w:spacing w:val="0"/>
                        <w:w w:val="100"/>
                        <w:position w:val="0"/>
                      </w:rPr>
                      <w:t>•，</w:t>
                      <w:tab/>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p>
</w:hdr>
</file>

<file path=word/header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6" behindDoc="1" locked="0" layoutInCell="1" allowOverlap="1">
              <wp:simplePos x="0" y="0"/>
              <wp:positionH relativeFrom="page">
                <wp:posOffset>719455</wp:posOffset>
              </wp:positionH>
              <wp:positionV relativeFrom="page">
                <wp:posOffset>697865</wp:posOffset>
              </wp:positionV>
              <wp:extent cx="1012190" cy="283210"/>
              <wp:wrapNone/>
              <wp:docPr id="625" name="Shape 625"/>
              <a:graphic xmlns:a="http://schemas.openxmlformats.org/drawingml/2006/main">
                <a:graphicData uri="http://schemas.microsoft.com/office/word/2010/wordprocessingShape">
                  <wps:wsp>
                    <wps:cNvSpPr txBox="1"/>
                    <wps:spPr>
                      <a:xfrm>
                        <a:ext cx="1012190" cy="2832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204"/>
                            <w:keepNext w:val="0"/>
                            <w:keepLines w:val="0"/>
                            <w:widowControl w:val="0"/>
                            <w:shd w:val="clear" w:color="auto" w:fill="auto"/>
                            <w:bidi w:val="0"/>
                            <w:spacing w:before="0" w:after="0" w:line="240" w:lineRule="auto"/>
                            <w:ind w:left="0" w:right="0" w:firstLine="0"/>
                            <w:jc w:val="left"/>
                          </w:pPr>
                          <w:r>
                            <w:rPr>
                              <w:b/>
                              <w:bCs/>
                              <w:i/>
                              <w:iCs/>
                              <w:color w:val="6DB14A"/>
                              <w:spacing w:val="0"/>
                              <w:w w:val="100"/>
                              <w:position w:val="0"/>
                              <w:sz w:val="18"/>
                              <w:szCs w:val="18"/>
                            </w:rPr>
                            <w:t>、、</w:t>
                          </w:r>
                          <w:r>
                            <w:rPr>
                              <w:b/>
                              <w:bCs/>
                              <w:color w:val="6DB14A"/>
                              <w:spacing w:val="0"/>
                              <w:w w:val="100"/>
                              <w:position w:val="0"/>
                            </w:rPr>
                            <w:t>一^</w:t>
                          </w:r>
                          <w:r>
                            <w:rPr>
                              <w:b/>
                              <w:bCs/>
                              <w:color w:val="5199CB"/>
                              <w:spacing w:val="0"/>
                              <w:w w:val="100"/>
                              <w:position w:val="0"/>
                            </w:rPr>
                            <w:t>神州泰岳</w:t>
                          </w:r>
                        </w:p>
                      </w:txbxContent>
                    </wps:txbx>
                    <wps:bodyPr wrap="none" lIns="0" tIns="0" rIns="0" bIns="0">
                      <a:spAutoFit/>
                    </wps:bodyPr>
                  </wps:wsp>
                </a:graphicData>
              </a:graphic>
            </wp:anchor>
          </w:drawing>
        </mc:Choice>
        <mc:Fallback>
          <w:pict>
            <v:shape id="_x0000_s1651" type="#_x0000_t202" style="position:absolute;margin-left:56.649999999999999pt;margin-top:54.950000000000003pt;width:79.700000000000003pt;height:22.300000000000001pt;z-index:-188743707;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Ultrapouuer</w:t>
                    </w:r>
                  </w:p>
                  <w:p>
                    <w:pPr>
                      <w:pStyle w:val="Style204"/>
                      <w:keepNext w:val="0"/>
                      <w:keepLines w:val="0"/>
                      <w:widowControl w:val="0"/>
                      <w:shd w:val="clear" w:color="auto" w:fill="auto"/>
                      <w:bidi w:val="0"/>
                      <w:spacing w:before="0" w:after="0" w:line="240" w:lineRule="auto"/>
                      <w:ind w:left="0" w:right="0" w:firstLine="0"/>
                      <w:jc w:val="left"/>
                    </w:pPr>
                    <w:r>
                      <w:rPr>
                        <w:b/>
                        <w:bCs/>
                        <w:i/>
                        <w:iCs/>
                        <w:color w:val="6DB14A"/>
                        <w:spacing w:val="0"/>
                        <w:w w:val="100"/>
                        <w:position w:val="0"/>
                        <w:sz w:val="18"/>
                        <w:szCs w:val="18"/>
                      </w:rPr>
                      <w:t>、、</w:t>
                    </w:r>
                    <w:r>
                      <w:rPr>
                        <w:b/>
                        <w:bCs/>
                        <w:color w:val="6DB14A"/>
                        <w:spacing w:val="0"/>
                        <w:w w:val="100"/>
                        <w:position w:val="0"/>
                      </w:rPr>
                      <w:t>一^</w:t>
                    </w:r>
                    <w:r>
                      <w:rPr>
                        <w:b/>
                        <w:bCs/>
                        <w:color w:val="5199CB"/>
                        <w:spacing w:val="0"/>
                        <w:w w:val="100"/>
                        <w:position w:val="0"/>
                      </w:rPr>
                      <w:t>神州泰岳</w:t>
                    </w:r>
                  </w:p>
                </w:txbxContent>
              </v:textbox>
              <w10:wrap anchorx="page" anchory="page"/>
            </v:shape>
          </w:pict>
        </mc:Fallback>
      </mc:AlternateContent>
    </w:r>
    <w:r>
      <mc:AlternateContent>
        <mc:Choice Requires="wps">
          <w:drawing>
            <wp:anchor distT="0" distB="0" distL="0" distR="0" simplePos="0" relativeHeight="62915048" behindDoc="1" locked="0" layoutInCell="1" allowOverlap="1">
              <wp:simplePos x="0" y="0"/>
              <wp:positionH relativeFrom="page">
                <wp:posOffset>4142105</wp:posOffset>
              </wp:positionH>
              <wp:positionV relativeFrom="page">
                <wp:posOffset>887095</wp:posOffset>
              </wp:positionV>
              <wp:extent cx="2673350" cy="106680"/>
              <wp:wrapNone/>
              <wp:docPr id="627" name="Shape 627"/>
              <a:graphic xmlns:a="http://schemas.openxmlformats.org/drawingml/2006/main">
                <a:graphicData uri="http://schemas.microsoft.com/office/word/2010/wordprocessingShape">
                  <wps:wsp>
                    <wps:cNvSpPr txBox="1"/>
                    <wps:spPr>
                      <a:xfrm>
                        <a:ext cx="2673350" cy="10668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653" type="#_x0000_t202" style="position:absolute;margin-left:326.15000000000003pt;margin-top:69.850000000000009pt;width:210.5pt;height:8.4000000000000004pt;z-index:-188743705;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701040</wp:posOffset>
              </wp:positionH>
              <wp:positionV relativeFrom="page">
                <wp:posOffset>1044575</wp:posOffset>
              </wp:positionV>
              <wp:extent cx="6160135" cy="0"/>
              <wp:wrapNone/>
              <wp:docPr id="629" name="Shape 629"/>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5.200000000000003pt;margin-top:82.25pt;width:485.05000000000001pt;height:0;z-index:-251658240;mso-position-horizontal-relative:page;mso-position-vertical-relative:page">
              <v:stroke weight="1.pt"/>
            </v:shape>
          </w:pict>
        </mc:Fallback>
      </mc:AlternateContent>
    </w:r>
  </w:p>
</w:hdr>
</file>

<file path=word/header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2" behindDoc="1" locked="0" layoutInCell="1" allowOverlap="1">
              <wp:simplePos x="0" y="0"/>
              <wp:positionH relativeFrom="page">
                <wp:posOffset>727075</wp:posOffset>
              </wp:positionH>
              <wp:positionV relativeFrom="page">
                <wp:posOffset>701675</wp:posOffset>
              </wp:positionV>
              <wp:extent cx="6096000" cy="295910"/>
              <wp:wrapNone/>
              <wp:docPr id="632" name="Shape 632"/>
              <a:graphic xmlns:a="http://schemas.openxmlformats.org/drawingml/2006/main">
                <a:graphicData uri="http://schemas.microsoft.com/office/word/2010/wordprocessingShape">
                  <wps:wsp>
                    <wps:cNvSpPr txBox="1"/>
                    <wps:spPr>
                      <a:xfrm>
                        <a:ext cx="6096000" cy="2959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658" type="#_x0000_t202" style="position:absolute;margin-left:57.25pt;margin-top:55.25pt;width:480.pt;height:23.300000000000001pt;z-index:-188743701;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709295</wp:posOffset>
              </wp:positionH>
              <wp:positionV relativeFrom="page">
                <wp:posOffset>1039495</wp:posOffset>
              </wp:positionV>
              <wp:extent cx="6160135" cy="0"/>
              <wp:wrapNone/>
              <wp:docPr id="634" name="Shape 634"/>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5.850000000000001pt;margin-top:81.850000000000009pt;width:485.05000000000001pt;height:0;z-index:-251658240;mso-position-horizontal-relative:page;mso-position-vertical-relative:page">
              <v:stroke weight="1.pt"/>
            </v:shape>
          </w:pict>
        </mc:Fallback>
      </mc:AlternateContent>
    </w:r>
  </w:p>
</w:hdr>
</file>

<file path=word/header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6" behindDoc="1" locked="0" layoutInCell="1" allowOverlap="1">
              <wp:simplePos x="0" y="0"/>
              <wp:positionH relativeFrom="page">
                <wp:posOffset>727075</wp:posOffset>
              </wp:positionH>
              <wp:positionV relativeFrom="page">
                <wp:posOffset>701675</wp:posOffset>
              </wp:positionV>
              <wp:extent cx="6096000" cy="295910"/>
              <wp:wrapNone/>
              <wp:docPr id="637" name="Shape 637"/>
              <a:graphic xmlns:a="http://schemas.openxmlformats.org/drawingml/2006/main">
                <a:graphicData uri="http://schemas.microsoft.com/office/word/2010/wordprocessingShape">
                  <wps:wsp>
                    <wps:cNvSpPr txBox="1"/>
                    <wps:spPr>
                      <a:xfrm>
                        <a:ext cx="6096000" cy="2959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663" type="#_x0000_t202" style="position:absolute;margin-left:57.25pt;margin-top:55.25pt;width:480.pt;height:23.300000000000001pt;z-index:-188743697;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709295</wp:posOffset>
              </wp:positionH>
              <wp:positionV relativeFrom="page">
                <wp:posOffset>1039495</wp:posOffset>
              </wp:positionV>
              <wp:extent cx="6160135" cy="0"/>
              <wp:wrapNone/>
              <wp:docPr id="639" name="Shape 639"/>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5.850000000000001pt;margin-top:81.850000000000009pt;width:485.05000000000001pt;height:0;z-index:-251658240;mso-position-horizontal-relative:page;mso-position-vertical-relative:page">
              <v:stroke weight="1.pt"/>
            </v:shape>
          </w:pict>
        </mc:Fallback>
      </mc:AlternateContent>
    </w:r>
  </w:p>
</w:hdr>
</file>

<file path=word/header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0" behindDoc="1" locked="0" layoutInCell="1" allowOverlap="1">
              <wp:simplePos x="0" y="0"/>
              <wp:positionH relativeFrom="page">
                <wp:posOffset>719455</wp:posOffset>
              </wp:positionH>
              <wp:positionV relativeFrom="page">
                <wp:posOffset>693420</wp:posOffset>
              </wp:positionV>
              <wp:extent cx="6096000" cy="295910"/>
              <wp:wrapNone/>
              <wp:docPr id="642" name="Shape 642"/>
              <a:graphic xmlns:a="http://schemas.openxmlformats.org/drawingml/2006/main">
                <a:graphicData uri="http://schemas.microsoft.com/office/word/2010/wordprocessingShape">
                  <wps:wsp>
                    <wps:cNvSpPr txBox="1"/>
                    <wps:spPr>
                      <a:xfrm>
                        <a:ext cx="6096000" cy="2959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tabs>
                              <w:tab w:pos="8707" w:val="right"/>
                            </w:tabs>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1F84C4"/>
                              <w:spacing w:val="0"/>
                              <w:w w:val="100"/>
                              <w:position w:val="0"/>
                            </w:rPr>
                            <w:t>•，</w:t>
                            <w:tab/>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lIns="0" tIns="0" rIns="0" bIns="0">
                      <a:spAutoFit/>
                    </wps:bodyPr>
                  </wps:wsp>
                </a:graphicData>
              </a:graphic>
            </wp:anchor>
          </w:drawing>
        </mc:Choice>
        <mc:Fallback>
          <w:pict>
            <v:shape id="_x0000_s1668" type="#_x0000_t202" style="position:absolute;margin-left:56.649999999999999pt;margin-top:54.600000000000001pt;width:480.pt;height:23.300000000000001pt;z-index:-188743693;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tabs>
                        <w:tab w:pos="8707" w:val="right"/>
                      </w:tabs>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1F84C4"/>
                        <w:spacing w:val="0"/>
                        <w:w w:val="100"/>
                        <w:position w:val="0"/>
                      </w:rPr>
                      <w:t>•，</w:t>
                      <w:tab/>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p>
</w:hdr>
</file>

<file path=word/header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4" behindDoc="1" locked="0" layoutInCell="1" allowOverlap="1">
              <wp:simplePos x="0" y="0"/>
              <wp:positionH relativeFrom="page">
                <wp:posOffset>719455</wp:posOffset>
              </wp:positionH>
              <wp:positionV relativeFrom="page">
                <wp:posOffset>693420</wp:posOffset>
              </wp:positionV>
              <wp:extent cx="6096000" cy="295910"/>
              <wp:wrapNone/>
              <wp:docPr id="646" name="Shape 646"/>
              <a:graphic xmlns:a="http://schemas.openxmlformats.org/drawingml/2006/main">
                <a:graphicData uri="http://schemas.microsoft.com/office/word/2010/wordprocessingShape">
                  <wps:wsp>
                    <wps:cNvSpPr txBox="1"/>
                    <wps:spPr>
                      <a:xfrm>
                        <a:ext cx="6096000" cy="2959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tabs>
                              <w:tab w:pos="8707" w:val="right"/>
                            </w:tabs>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1F84C4"/>
                              <w:spacing w:val="0"/>
                              <w:w w:val="100"/>
                              <w:position w:val="0"/>
                            </w:rPr>
                            <w:t>•，</w:t>
                            <w:tab/>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lIns="0" tIns="0" rIns="0" bIns="0">
                      <a:spAutoFit/>
                    </wps:bodyPr>
                  </wps:wsp>
                </a:graphicData>
              </a:graphic>
            </wp:anchor>
          </w:drawing>
        </mc:Choice>
        <mc:Fallback>
          <w:pict>
            <v:shape id="_x0000_s1672" type="#_x0000_t202" style="position:absolute;margin-left:56.649999999999999pt;margin-top:54.600000000000001pt;width:480.pt;height:23.300000000000001pt;z-index:-188743689;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tabs>
                        <w:tab w:pos="8707" w:val="right"/>
                      </w:tabs>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1F84C4"/>
                        <w:spacing w:val="0"/>
                        <w:w w:val="100"/>
                        <w:position w:val="0"/>
                      </w:rPr>
                      <w:t>•，</w:t>
                      <w:tab/>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p>
</w:hdr>
</file>

<file path=word/header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2" behindDoc="1" locked="0" layoutInCell="1" allowOverlap="1">
              <wp:simplePos x="0" y="0"/>
              <wp:positionH relativeFrom="page">
                <wp:posOffset>727075</wp:posOffset>
              </wp:positionH>
              <wp:positionV relativeFrom="page">
                <wp:posOffset>701675</wp:posOffset>
              </wp:positionV>
              <wp:extent cx="6096000" cy="295910"/>
              <wp:wrapNone/>
              <wp:docPr id="654" name="Shape 654"/>
              <a:graphic xmlns:a="http://schemas.openxmlformats.org/drawingml/2006/main">
                <a:graphicData uri="http://schemas.microsoft.com/office/word/2010/wordprocessingShape">
                  <wps:wsp>
                    <wps:cNvSpPr txBox="1"/>
                    <wps:spPr>
                      <a:xfrm>
                        <a:ext cx="6096000" cy="295910"/>
                      </a:xfrm>
                      <a:prstGeom prst="rect"/>
                      <a:noFill/>
                    </wps:spPr>
                    <wps:txbx>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wps:txbx>
                    <wps:bodyPr wrap="none" lIns="0" tIns="0" rIns="0" bIns="0">
                      <a:spAutoFit/>
                    </wps:bodyPr>
                  </wps:wsp>
                </a:graphicData>
              </a:graphic>
            </wp:anchor>
          </w:drawing>
        </mc:Choice>
        <mc:Fallback>
          <w:pict>
            <v:shape id="_x0000_s1680" type="#_x0000_t202" style="position:absolute;margin-left:57.25pt;margin-top:55.25pt;width:480.pt;height:23.300000000000001pt;z-index:-188743681;mso-wrap-style:none;mso-wrap-distance-left:0;mso-wrap-distance-right:0;mso-position-horizontal-relative:page;mso-position-vertical-relative:page" wrapcoords="0 0" filled="f" stroked="f">
              <v:textbox style="mso-fit-shape-to-text:t" inset="0,0,0,0">
                <w:txbxContent>
                  <w:p>
                    <w:pPr>
                      <w:pStyle w:val="Style204"/>
                      <w:keepNext w:val="0"/>
                      <w:keepLines w:val="0"/>
                      <w:widowControl w:val="0"/>
                      <w:shd w:val="clear" w:color="auto" w:fill="auto"/>
                      <w:bidi w:val="0"/>
                      <w:spacing w:before="0" w:after="0" w:line="240" w:lineRule="auto"/>
                      <w:ind w:left="0" w:right="0" w:firstLine="0"/>
                      <w:jc w:val="left"/>
                      <w:rPr>
                        <w:sz w:val="30"/>
                        <w:szCs w:val="30"/>
                      </w:rPr>
                    </w:pPr>
                    <w:r>
                      <w:rPr>
                        <w:rFonts w:ascii="Arial" w:eastAsia="Arial" w:hAnsi="Arial" w:cs="Arial"/>
                        <w:color w:val="1F84C4"/>
                        <w:spacing w:val="0"/>
                        <w:w w:val="100"/>
                        <w:position w:val="0"/>
                        <w:sz w:val="30"/>
                        <w:szCs w:val="30"/>
                      </w:rPr>
                      <w:t>Ultrapoiuer</w:t>
                    </w:r>
                  </w:p>
                  <w:p>
                    <w:pPr>
                      <w:pStyle w:val="Style204"/>
                      <w:keepNext w:val="0"/>
                      <w:keepLines w:val="0"/>
                      <w:widowControl w:val="0"/>
                      <w:shd w:val="clear" w:color="auto" w:fill="auto"/>
                      <w:bidi w:val="0"/>
                      <w:spacing w:before="0" w:after="0" w:line="240" w:lineRule="auto"/>
                      <w:ind w:left="0" w:right="0" w:firstLine="0"/>
                      <w:jc w:val="left"/>
                    </w:pPr>
                    <w:r>
                      <w:rPr>
                        <w:color w:val="1F84C4"/>
                        <w:spacing w:val="0"/>
                        <w:w w:val="100"/>
                        <w:position w:val="0"/>
                      </w:rPr>
                      <w:t>斗卜</w:t>
                    </w:r>
                    <w:r>
                      <w:rPr>
                        <w:rFonts w:ascii="Times New Roman" w:eastAsia="Times New Roman" w:hAnsi="Times New Roman" w:cs="Times New Roman"/>
                        <w:color w:val="1F84C4"/>
                        <w:spacing w:val="0"/>
                        <w:w w:val="100"/>
                        <w:position w:val="0"/>
                        <w:sz w:val="18"/>
                        <w:szCs w:val="18"/>
                      </w:rPr>
                      <w:t>I</w:t>
                    </w:r>
                    <w:r>
                      <w:rPr>
                        <w:color w:val="1F84C4"/>
                        <w:spacing w:val="0"/>
                        <w:w w:val="100"/>
                        <w:position w:val="0"/>
                      </w:rPr>
                      <w:t>..泰</w:t>
                    </w:r>
                    <w:r>
                      <w:rPr>
                        <w:color w:val="000000"/>
                        <w:spacing w:val="0"/>
                        <w:w w:val="100"/>
                        <w:position w:val="0"/>
                      </w:rPr>
                      <w:t>北京神州泰岳软件股份有限公司</w:t>
                    </w:r>
                    <w:r>
                      <w:rPr>
                        <w:rFonts w:ascii="Times New Roman" w:eastAsia="Times New Roman" w:hAnsi="Times New Roman" w:cs="Times New Roman"/>
                        <w:color w:val="000000"/>
                        <w:spacing w:val="0"/>
                        <w:w w:val="100"/>
                        <w:position w:val="0"/>
                        <w:sz w:val="18"/>
                        <w:szCs w:val="18"/>
                      </w:rPr>
                      <w:t>2020</w:t>
                    </w:r>
                    <w:r>
                      <w:rPr>
                        <w:color w:val="000000"/>
                        <w:spacing w:val="0"/>
                        <w:w w:val="100"/>
                        <w:position w:val="0"/>
                      </w:rPr>
                      <w:t>年年度报告全文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709295</wp:posOffset>
              </wp:positionH>
              <wp:positionV relativeFrom="page">
                <wp:posOffset>1039495</wp:posOffset>
              </wp:positionV>
              <wp:extent cx="6160135" cy="0"/>
              <wp:wrapNone/>
              <wp:docPr id="656" name="Shape 656"/>
              <a:graphic xmlns:a="http://schemas.openxmlformats.org/drawingml/2006/main">
                <a:graphicData uri="http://schemas.microsoft.com/office/word/2010/wordprocessingShape">
                  <wps:wsp>
                    <wps:cNvCnPr/>
                    <wps:spPr>
                      <a:xfrm>
                        <a:ext cx="6160135" cy="0"/>
                      </a:xfrm>
                      <a:prstGeom prst="straightConnector1"/>
                      <a:ln w="12700">
                        <a:solidFill/>
                      </a:ln>
                    </wps:spPr>
                    <wps:bodyPr/>
                  </wps:wsp>
                </a:graphicData>
              </a:graphic>
            </wp:anchor>
          </w:drawing>
        </mc:Choice>
        <mc:Fallback>
          <w:pict>
            <v:shape o:spt="32" o:oned="true" path="m,l21600,21600e" style="position:absolute;margin-left:55.850000000000001pt;margin-top:81.850000000000009pt;width:485.05000000000001pt;height:0;z-index:-251658240;mso-position-horizontal-relative:page;mso-position-vertical-relative:page">
              <v:stroke weight="1.pt"/>
            </v:shape>
          </w:pict>
        </mc:Fallback>
      </mc:AlternateContent>
    </w:r>
  </w:p>
</w:hdr>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16"/>
      <w:numFmt w:val="decimal"/>
      <w:lvlText w:val="%1"/>
      <w:rPr>
        <w:rFonts w:ascii="Arial" w:eastAsia="Arial" w:hAnsi="Arial" w:cs="Arial"/>
        <w:b/>
        <w:bCs/>
        <w:i w:val="0"/>
        <w:iCs w:val="0"/>
        <w:smallCaps w:val="0"/>
        <w:strike w:val="0"/>
        <w:color w:val="383636"/>
        <w:spacing w:val="0"/>
        <w:w w:val="100"/>
        <w:position w:val="0"/>
        <w:sz w:val="8"/>
        <w:szCs w:val="8"/>
        <w:u w:val="none"/>
        <w:shd w:val="clear" w:color="auto" w:fill="auto"/>
      </w:rPr>
    </w:lvl>
  </w:abstractNum>
  <w:abstractNum w:abstractNumId="2">
    <w:multiLevelType w:val="multilevel"/>
    <w:lvl w:ilvl="0">
      <w:start w:val="20"/>
      <w:numFmt w:val="decimal"/>
      <w:lvlText w:val="%1"/>
      <w:rPr>
        <w:rFonts w:ascii="Arial" w:eastAsia="Arial" w:hAnsi="Arial" w:cs="Arial"/>
        <w:b/>
        <w:bCs/>
        <w:i w:val="0"/>
        <w:iCs w:val="0"/>
        <w:smallCaps w:val="0"/>
        <w:strike w:val="0"/>
        <w:color w:val="383636"/>
        <w:spacing w:val="0"/>
        <w:w w:val="100"/>
        <w:position w:val="0"/>
        <w:sz w:val="8"/>
        <w:szCs w:val="8"/>
        <w:u w:val="none"/>
        <w:shd w:val="clear" w:color="auto" w:fill="FFFFFF"/>
      </w:rPr>
    </w:lvl>
  </w:abstractNum>
  <w:abstractNum w:abstractNumId="4">
    <w:multiLevelType w:val="multilevel"/>
    <w:lvl w:ilvl="0">
      <w:start w:val="1"/>
      <w:numFmt w:val="decimal"/>
      <w:lvlText w:val="%1"/>
      <w:rPr>
        <w:rFonts w:ascii="Arial" w:eastAsia="Arial" w:hAnsi="Arial" w:cs="Arial"/>
        <w:b/>
        <w:bCs/>
        <w:i w:val="0"/>
        <w:iCs w:val="0"/>
        <w:smallCaps w:val="0"/>
        <w:strike w:val="0"/>
        <w:color w:val="575656"/>
        <w:spacing w:val="0"/>
        <w:w w:val="100"/>
        <w:position w:val="0"/>
        <w:sz w:val="8"/>
        <w:szCs w:val="8"/>
        <w:u w:val="none"/>
        <w:shd w:val="clear" w:color="auto" w:fill="auto"/>
      </w:rPr>
    </w:lvl>
  </w:abstractNum>
  <w:abstractNum w:abstractNumId="6">
    <w:multiLevelType w:val="multilevel"/>
    <w:lvl w:ilvl="0">
      <w:start w:val="10"/>
      <w:numFmt w:val="decimal"/>
      <w:lvlText w:val="%1"/>
      <w:rPr>
        <w:rFonts w:ascii="Arial" w:eastAsia="Arial" w:hAnsi="Arial" w:cs="Arial"/>
        <w:b/>
        <w:bCs/>
        <w:i w:val="0"/>
        <w:iCs w:val="0"/>
        <w:smallCaps w:val="0"/>
        <w:strike w:val="0"/>
        <w:color w:val="383636"/>
        <w:spacing w:val="0"/>
        <w:w w:val="100"/>
        <w:position w:val="0"/>
        <w:sz w:val="8"/>
        <w:szCs w:val="8"/>
        <w:u w:val="none"/>
        <w:shd w:val="clear" w:color="auto" w:fill="auto"/>
      </w:rPr>
    </w:lvl>
  </w:abstractNum>
  <w:abstractNum w:abstractNumId="8">
    <w:multiLevelType w:val="multilevel"/>
    <w:lvl w:ilvl="0">
      <w:start w:val="16"/>
      <w:numFmt w:val="decimal"/>
      <w:lvlText w:val="%1"/>
      <w:rPr>
        <w:rFonts w:ascii="Arial" w:eastAsia="Arial" w:hAnsi="Arial" w:cs="Arial"/>
        <w:b/>
        <w:bCs/>
        <w:i w:val="0"/>
        <w:iCs w:val="0"/>
        <w:smallCaps w:val="0"/>
        <w:strike w:val="0"/>
        <w:color w:val="575656"/>
        <w:spacing w:val="0"/>
        <w:w w:val="100"/>
        <w:position w:val="0"/>
        <w:sz w:val="8"/>
        <w:szCs w:val="8"/>
        <w:u w:val="none"/>
        <w:shd w:val="clear" w:color="auto" w:fill="auto"/>
      </w:rPr>
    </w:lvl>
  </w:abstractNum>
  <w:abstractNum w:abstractNumId="10">
    <w:multiLevelType w:val="multilevel"/>
    <w:lvl w:ilvl="0">
      <w:start w:val="20"/>
      <w:numFmt w:val="decimal"/>
      <w:lvlText w:val="%1"/>
      <w:rPr>
        <w:rFonts w:ascii="Arial" w:eastAsia="Arial" w:hAnsi="Arial" w:cs="Arial"/>
        <w:b/>
        <w:bCs/>
        <w:i w:val="0"/>
        <w:iCs w:val="0"/>
        <w:smallCaps w:val="0"/>
        <w:strike w:val="0"/>
        <w:color w:val="383636"/>
        <w:spacing w:val="0"/>
        <w:w w:val="100"/>
        <w:position w:val="0"/>
        <w:sz w:val="8"/>
        <w:szCs w:val="8"/>
        <w:u w:val="none"/>
        <w:shd w:val="clear" w:color="auto" w:fill="auto"/>
      </w:rPr>
    </w:lvl>
  </w:abstractNum>
  <w:abstractNum w:abstractNumId="12">
    <w:multiLevelType w:val="multilevel"/>
    <w:lvl w:ilvl="0">
      <w:start w:val="1"/>
      <w:numFmt w:val="ideographDigital"/>
      <w:lvlText w:val="(%1)"/>
      <w:rPr>
        <w:rFonts w:ascii="SimSun" w:eastAsia="SimSun" w:hAnsi="SimSun" w:cs="SimSun"/>
        <w:b/>
        <w:bCs/>
        <w:i w:val="0"/>
        <w:iCs w:val="0"/>
        <w:smallCaps w:val="0"/>
        <w:strike w:val="0"/>
        <w:color w:val="000000"/>
        <w:spacing w:val="0"/>
        <w:w w:val="100"/>
        <w:position w:val="0"/>
        <w:sz w:val="17"/>
        <w:szCs w:val="17"/>
        <w:u w:val="none"/>
        <w:shd w:val="clear" w:color="auto" w:fill="auto"/>
      </w:rPr>
    </w:lvl>
  </w:abstractNum>
  <w:abstractNum w:abstractNumId="14">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7"/>
        <w:szCs w:val="17"/>
        <w:u w:val="none"/>
        <w:shd w:val="clear" w:color="auto" w:fill="auto"/>
      </w:rPr>
    </w:lvl>
  </w:abstractNum>
  <w:abstractNum w:abstractNumId="1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rPr>
    </w:lvl>
  </w:abstractNum>
  <w:abstractNum w:abstractNumId="18">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7"/>
        <w:szCs w:val="17"/>
        <w:u w:val="none"/>
        <w:shd w:val="clear" w:color="auto" w:fill="auto"/>
      </w:rPr>
    </w:lvl>
  </w:abstractNum>
  <w:abstractNum w:abstractNumId="20">
    <w:multiLevelType w:val="multilevel"/>
    <w:lvl w:ilvl="0">
      <w:start w:val="1"/>
      <w:numFmt w:val="lowerRoman"/>
      <w:lvlText w:val="%1."/>
      <w:rPr>
        <w:rFonts w:ascii="Arial" w:eastAsia="Arial" w:hAnsi="Arial" w:cs="Arial"/>
        <w:b w:val="0"/>
        <w:bCs w:val="0"/>
        <w:i w:val="0"/>
        <w:iCs w:val="0"/>
        <w:smallCaps w:val="0"/>
        <w:strike w:val="0"/>
        <w:color w:val="000000"/>
        <w:spacing w:val="0"/>
        <w:w w:val="100"/>
        <w:position w:val="0"/>
        <w:sz w:val="18"/>
        <w:szCs w:val="18"/>
        <w:u w:val="none"/>
        <w:shd w:val="clear" w:color="auto" w:fill="auto"/>
      </w:rPr>
    </w:lvl>
  </w:abstractNum>
  <w:abstractNum w:abstractNumId="22">
    <w:multiLevelType w:val="multilevel"/>
    <w:lvl w:ilvl="0">
      <w:start w:val="5"/>
      <w:numFmt w:val="decimal"/>
      <w:lvlText w:val="(%1)"/>
      <w:rPr>
        <w:rFonts w:ascii="SimSun" w:eastAsia="SimSun" w:hAnsi="SimSun" w:cs="SimSun"/>
        <w:b/>
        <w:bCs/>
        <w:i w:val="0"/>
        <w:iCs w:val="0"/>
        <w:smallCaps w:val="0"/>
        <w:strike w:val="0"/>
        <w:color w:val="000000"/>
        <w:spacing w:val="0"/>
        <w:w w:val="100"/>
        <w:position w:val="0"/>
        <w:sz w:val="17"/>
        <w:szCs w:val="17"/>
        <w:u w:val="none"/>
        <w:shd w:val="clear" w:color="auto" w:fill="auto"/>
      </w:rPr>
    </w:lvl>
  </w:abstractNum>
  <w:abstractNum w:abstractNumId="24">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17"/>
        <w:szCs w:val="17"/>
        <w:u w:val="none"/>
        <w:shd w:val="clear" w:color="auto" w:fill="auto"/>
      </w:rPr>
    </w:lvl>
  </w:abstractNum>
  <w:abstractNum w:abstractNumId="26">
    <w:multiLevelType w:val="multilevel"/>
    <w:lvl w:ilvl="0">
      <w:start w:val="2"/>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2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rPr>
    </w:lvl>
  </w:abstractNum>
  <w:abstractNum w:abstractNumId="30">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32">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34">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36">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38">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40">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42">
    <w:multiLevelType w:val="multilevel"/>
    <w:lvl w:ilvl="0">
      <w:start w:val="2"/>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44">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46">
    <w:multiLevelType w:val="multilevel"/>
    <w:lvl w:ilvl="0">
      <w:start w:val="2"/>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48">
    <w:multiLevelType w:val="multilevel"/>
    <w:lvl w:ilvl="0">
      <w:start w:val="5"/>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50">
    <w:multiLevelType w:val="multilevel"/>
    <w:lvl w:ilvl="0">
      <w:start w:val="3"/>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num w:numId="1">
    <w:abstractNumId w:val="0"/>
  </w:num>
  <w:num w:numId="3">
    <w:abstractNumId w:val="2"/>
  </w:num>
  <w:num w:numId="5">
    <w:abstractNumId w:val="4"/>
  </w:num>
  <w:num w:numId="7">
    <w:abstractNumId w:val="6"/>
  </w:num>
  <w:num w:numId="9">
    <w:abstractNumId w:val="8"/>
  </w:num>
  <w:num w:numId="11">
    <w:abstractNumId w:val="10"/>
  </w:num>
  <w:num w:numId="13">
    <w:abstractNumId w:val="12"/>
  </w:num>
  <w:num w:numId="15">
    <w:abstractNumId w:val="14"/>
  </w:num>
  <w:num w:numId="17">
    <w:abstractNumId w:val="16"/>
  </w:num>
  <w:num w:numId="19">
    <w:abstractNumId w:val="18"/>
  </w:num>
  <w:num w:numId="21">
    <w:abstractNumId w:val="20"/>
  </w:num>
  <w:num w:numId="23">
    <w:abstractNumId w:val="22"/>
  </w:num>
  <w:num w:numId="25">
    <w:abstractNumId w:val="24"/>
  </w:num>
  <w:num w:numId="27">
    <w:abstractNumId w:val="26"/>
  </w:num>
  <w:num w:numId="29">
    <w:abstractNumId w:val="28"/>
  </w:num>
  <w:num w:numId="31">
    <w:abstractNumId w:val="30"/>
  </w:num>
  <w:num w:numId="33">
    <w:abstractNumId w:val="32"/>
  </w:num>
  <w:num w:numId="35">
    <w:abstractNumId w:val="34"/>
  </w:num>
  <w:num w:numId="37">
    <w:abstractNumId w:val="36"/>
  </w:num>
  <w:num w:numId="39">
    <w:abstractNumId w:val="38"/>
  </w:num>
  <w:num w:numId="41">
    <w:abstractNumId w:val="40"/>
  </w:num>
  <w:num w:numId="43">
    <w:abstractNumId w:val="42"/>
  </w:num>
  <w:num w:numId="45">
    <w:abstractNumId w:val="44"/>
  </w:num>
  <w:num w:numId="47">
    <w:abstractNumId w:val="46"/>
  </w:num>
  <w:num w:numId="49">
    <w:abstractNumId w:val="48"/>
  </w:num>
  <w:num w:numId="51">
    <w:abstractNumId w:val="50"/>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evenAndOddHeaders/>
  <w:drawingGridHorizontalSpacing w:val="181"/>
  <w:drawingGridVerticalSpacing w:val="181"/>
  <w:displayHorizontalDrawingGridEvery w:val="1"/>
  <w:displayVerticalDrawingGridEvery w:val="1"/>
  <w:characterSpacingControl w:val="compressPunctuation"/>
  <w:footnotePr>
    <w:pos w:val="pageBottom"/>
    <w:numFmt w:val="decimal"/>
    <w:numRestart w:val="continuous"/>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Courier New" w:eastAsia="Courier New" w:hAnsi="Courier New" w:cs="Courier New"/>
        <w:sz w:val="24"/>
        <w:szCs w:val="24"/>
        <w:lang w:val="en-US" w:eastAsia="en-US" w:bidi="en-US"/>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Courier New" w:eastAsia="Courier New" w:hAnsi="Courier New" w:cs="Courier New"/>
      <w:color w:val="000000"/>
      <w:spacing w:val="0"/>
      <w:w w:val="100"/>
      <w:position w:val="0"/>
      <w:sz w:val="24"/>
      <w:szCs w:val="24"/>
      <w:shd w:val="clear" w:color="auto" w:fill="auto"/>
    </w:rPr>
  </w:style>
  <w:style w:type="character" w:default="1" w:styleId="DefaultParagraphFont">
    <w:name w:val="Default Paragraph Font"/>
    <w:rPr>
      <w:rFonts w:ascii="Courier New" w:eastAsia="Courier New" w:hAnsi="Courier New" w:cs="Courier New"/>
      <w:color w:val="000000"/>
      <w:spacing w:val="0"/>
      <w:w w:val="100"/>
      <w:position w:val="0"/>
      <w:sz w:val="24"/>
      <w:szCs w:val="24"/>
      <w:shd w:val="clear" w:color="auto" w:fill="auto"/>
    </w:rPr>
  </w:style>
  <w:style w:type="character" w:customStyle="1" w:styleId="CharStyle3">
    <w:name w:val="其他_"/>
    <w:basedOn w:val="DefaultParagraphFont"/>
    <w:link w:val="Style2"/>
    <w:rPr>
      <w:rFonts w:ascii="SimSun" w:eastAsia="SimSun" w:hAnsi="SimSun" w:cs="SimSun"/>
      <w:b w:val="0"/>
      <w:bCs w:val="0"/>
      <w:i w:val="0"/>
      <w:iCs w:val="0"/>
      <w:smallCaps w:val="0"/>
      <w:strike w:val="0"/>
      <w:sz w:val="17"/>
      <w:szCs w:val="17"/>
      <w:u w:val="none"/>
      <w:shd w:val="clear" w:color="auto" w:fill="auto"/>
    </w:rPr>
  </w:style>
  <w:style w:type="character" w:customStyle="1" w:styleId="CharStyle8">
    <w:name w:val="标题 #1_"/>
    <w:basedOn w:val="DefaultParagraphFont"/>
    <w:link w:val="Style7"/>
    <w:rPr>
      <w:rFonts w:ascii="SimSun" w:eastAsia="SimSun" w:hAnsi="SimSun" w:cs="SimSun"/>
      <w:b/>
      <w:bCs/>
      <w:i w:val="0"/>
      <w:iCs w:val="0"/>
      <w:smallCaps w:val="0"/>
      <w:strike w:val="0"/>
      <w:sz w:val="32"/>
      <w:szCs w:val="32"/>
      <w:u w:val="none"/>
      <w:shd w:val="clear" w:color="auto" w:fill="auto"/>
    </w:rPr>
  </w:style>
  <w:style w:type="character" w:customStyle="1" w:styleId="CharStyle10">
    <w:name w:val="页眉或页脚 (2)_"/>
    <w:basedOn w:val="DefaultParagraphFont"/>
    <w:link w:val="Style9"/>
    <w:rPr>
      <w:rFonts w:ascii="Times New Roman" w:eastAsia="Times New Roman" w:hAnsi="Times New Roman" w:cs="Times New Roman"/>
      <w:b w:val="0"/>
      <w:bCs w:val="0"/>
      <w:i w:val="0"/>
      <w:iCs w:val="0"/>
      <w:smallCaps w:val="0"/>
      <w:strike w:val="0"/>
      <w:sz w:val="20"/>
      <w:szCs w:val="20"/>
      <w:u w:val="none"/>
      <w:shd w:val="clear" w:color="auto" w:fill="auto"/>
    </w:rPr>
  </w:style>
  <w:style w:type="character" w:customStyle="1" w:styleId="CharStyle17">
    <w:name w:val="正文文本 (2)_"/>
    <w:basedOn w:val="DefaultParagraphFont"/>
    <w:link w:val="Style16"/>
    <w:rPr>
      <w:rFonts w:ascii="SimSun" w:eastAsia="SimSun" w:hAnsi="SimSun" w:cs="SimSun"/>
      <w:b w:val="0"/>
      <w:bCs w:val="0"/>
      <w:i w:val="0"/>
      <w:iCs w:val="0"/>
      <w:smallCaps w:val="0"/>
      <w:strike w:val="0"/>
      <w:sz w:val="20"/>
      <w:szCs w:val="20"/>
      <w:u w:val="none"/>
      <w:shd w:val="clear" w:color="auto" w:fill="auto"/>
    </w:rPr>
  </w:style>
  <w:style w:type="character" w:customStyle="1" w:styleId="CharStyle21">
    <w:name w:val="表格标题_"/>
    <w:basedOn w:val="DefaultParagraphFont"/>
    <w:link w:val="Style20"/>
    <w:rPr>
      <w:rFonts w:ascii="SimHei" w:eastAsia="SimHei" w:hAnsi="SimHei" w:cs="SimHei"/>
      <w:b w:val="0"/>
      <w:bCs w:val="0"/>
      <w:i w:val="0"/>
      <w:iCs w:val="0"/>
      <w:smallCaps w:val="0"/>
      <w:strike w:val="0"/>
      <w:color w:val="EBEBEB"/>
      <w:sz w:val="13"/>
      <w:szCs w:val="13"/>
      <w:u w:val="none"/>
      <w:shd w:val="clear" w:color="auto" w:fill="auto"/>
    </w:rPr>
  </w:style>
  <w:style w:type="character" w:customStyle="1" w:styleId="CharStyle32">
    <w:name w:val="目录_"/>
    <w:basedOn w:val="DefaultParagraphFont"/>
    <w:link w:val="Style31"/>
    <w:rPr>
      <w:rFonts w:ascii="SimSun" w:eastAsia="SimSun" w:hAnsi="SimSun" w:cs="SimSun"/>
      <w:b w:val="0"/>
      <w:bCs w:val="0"/>
      <w:i w:val="0"/>
      <w:iCs w:val="0"/>
      <w:smallCaps w:val="0"/>
      <w:strike w:val="0"/>
      <w:sz w:val="20"/>
      <w:szCs w:val="20"/>
      <w:u w:val="none"/>
      <w:shd w:val="clear" w:color="auto" w:fill="auto"/>
    </w:rPr>
  </w:style>
  <w:style w:type="character" w:customStyle="1" w:styleId="CharStyle40">
    <w:name w:val="标题 #2_"/>
    <w:basedOn w:val="DefaultParagraphFont"/>
    <w:link w:val="Style39"/>
    <w:rPr>
      <w:rFonts w:ascii="SimSun" w:eastAsia="SimSun" w:hAnsi="SimSun" w:cs="SimSun"/>
      <w:b/>
      <w:bCs/>
      <w:i w:val="0"/>
      <w:iCs w:val="0"/>
      <w:smallCaps w:val="0"/>
      <w:strike w:val="0"/>
      <w:u w:val="none"/>
      <w:shd w:val="clear" w:color="auto" w:fill="auto"/>
    </w:rPr>
  </w:style>
  <w:style w:type="character" w:customStyle="1" w:styleId="CharStyle42">
    <w:name w:val="正文文本_"/>
    <w:basedOn w:val="DefaultParagraphFont"/>
    <w:link w:val="Style41"/>
    <w:rPr>
      <w:rFonts w:ascii="SimSun" w:eastAsia="SimSun" w:hAnsi="SimSun" w:cs="SimSun"/>
      <w:b w:val="0"/>
      <w:bCs w:val="0"/>
      <w:i w:val="0"/>
      <w:iCs w:val="0"/>
      <w:smallCaps w:val="0"/>
      <w:strike w:val="0"/>
      <w:sz w:val="17"/>
      <w:szCs w:val="17"/>
      <w:u w:val="none"/>
      <w:shd w:val="clear" w:color="auto" w:fill="auto"/>
    </w:rPr>
  </w:style>
  <w:style w:type="character" w:customStyle="1" w:styleId="CharStyle48">
    <w:name w:val="标题 #3_"/>
    <w:basedOn w:val="DefaultParagraphFont"/>
    <w:link w:val="Style47"/>
    <w:rPr>
      <w:rFonts w:ascii="SimSun" w:eastAsia="SimSun" w:hAnsi="SimSun" w:cs="SimSun"/>
      <w:b/>
      <w:bCs/>
      <w:i w:val="0"/>
      <w:iCs w:val="0"/>
      <w:smallCaps w:val="0"/>
      <w:strike w:val="0"/>
      <w:sz w:val="20"/>
      <w:szCs w:val="20"/>
      <w:u w:val="none"/>
      <w:shd w:val="clear" w:color="auto" w:fill="auto"/>
    </w:rPr>
  </w:style>
  <w:style w:type="character" w:customStyle="1" w:styleId="CharStyle59">
    <w:name w:val="标题 #4_"/>
    <w:basedOn w:val="DefaultParagraphFont"/>
    <w:link w:val="Style58"/>
    <w:rPr>
      <w:rFonts w:ascii="SimSun" w:eastAsia="SimSun" w:hAnsi="SimSun" w:cs="SimSun"/>
      <w:b w:val="0"/>
      <w:bCs w:val="0"/>
      <w:i w:val="0"/>
      <w:iCs w:val="0"/>
      <w:smallCaps w:val="0"/>
      <w:strike w:val="0"/>
      <w:sz w:val="17"/>
      <w:szCs w:val="17"/>
      <w:u w:val="none"/>
      <w:shd w:val="clear" w:color="auto" w:fill="auto"/>
    </w:rPr>
  </w:style>
  <w:style w:type="character" w:customStyle="1" w:styleId="CharStyle63">
    <w:name w:val="其他 (2)_"/>
    <w:basedOn w:val="DefaultParagraphFont"/>
    <w:link w:val="Style62"/>
    <w:rPr>
      <w:rFonts w:ascii="SimHei" w:eastAsia="SimHei" w:hAnsi="SimHei" w:cs="SimHei"/>
      <w:b w:val="0"/>
      <w:bCs w:val="0"/>
      <w:i w:val="0"/>
      <w:iCs w:val="0"/>
      <w:smallCaps w:val="0"/>
      <w:strike w:val="0"/>
      <w:color w:val="383636"/>
      <w:sz w:val="11"/>
      <w:szCs w:val="11"/>
      <w:u w:val="none"/>
      <w:shd w:val="clear" w:color="auto" w:fill="auto"/>
    </w:rPr>
  </w:style>
  <w:style w:type="character" w:customStyle="1" w:styleId="CharStyle66">
    <w:name w:val="图片标题_"/>
    <w:basedOn w:val="DefaultParagraphFont"/>
    <w:link w:val="Style65"/>
    <w:rPr>
      <w:rFonts w:ascii="SimHei" w:eastAsia="SimHei" w:hAnsi="SimHei" w:cs="SimHei"/>
      <w:b w:val="0"/>
      <w:bCs w:val="0"/>
      <w:i w:val="0"/>
      <w:iCs w:val="0"/>
      <w:smallCaps w:val="0"/>
      <w:strike w:val="0"/>
      <w:color w:val="566376"/>
      <w:sz w:val="10"/>
      <w:szCs w:val="10"/>
      <w:u w:val="none"/>
      <w:shd w:val="clear" w:color="auto" w:fill="auto"/>
    </w:rPr>
  </w:style>
  <w:style w:type="character" w:customStyle="1" w:styleId="CharStyle72">
    <w:name w:val="图片标题 (2)_"/>
    <w:basedOn w:val="DefaultParagraphFont"/>
    <w:link w:val="Style71"/>
    <w:rPr>
      <w:rFonts w:ascii="SimHei" w:eastAsia="SimHei" w:hAnsi="SimHei" w:cs="SimHei"/>
      <w:b w:val="0"/>
      <w:bCs w:val="0"/>
      <w:i w:val="0"/>
      <w:iCs w:val="0"/>
      <w:smallCaps w:val="0"/>
      <w:strike w:val="0"/>
      <w:color w:val="EBEBEB"/>
      <w:sz w:val="18"/>
      <w:szCs w:val="18"/>
      <w:u w:val="none"/>
      <w:shd w:val="clear" w:color="auto" w:fill="auto"/>
    </w:rPr>
  </w:style>
  <w:style w:type="character" w:customStyle="1" w:styleId="CharStyle82">
    <w:name w:val="表格标题 (2)_"/>
    <w:basedOn w:val="DefaultParagraphFont"/>
    <w:link w:val="Style81"/>
    <w:rPr>
      <w:rFonts w:ascii="SimHei" w:eastAsia="SimHei" w:hAnsi="SimHei" w:cs="SimHei"/>
      <w:b w:val="0"/>
      <w:bCs w:val="0"/>
      <w:i w:val="0"/>
      <w:iCs w:val="0"/>
      <w:smallCaps w:val="0"/>
      <w:strike w:val="0"/>
      <w:color w:val="EBEBEB"/>
      <w:sz w:val="18"/>
      <w:szCs w:val="18"/>
      <w:u w:val="none"/>
      <w:shd w:val="clear" w:color="auto" w:fill="auto"/>
    </w:rPr>
  </w:style>
  <w:style w:type="character" w:customStyle="1" w:styleId="CharStyle157">
    <w:name w:val="正文文本 (3)_"/>
    <w:basedOn w:val="DefaultParagraphFont"/>
    <w:link w:val="Style156"/>
    <w:rPr>
      <w:rFonts w:ascii="Arial" w:eastAsia="Arial" w:hAnsi="Arial" w:cs="Arial"/>
      <w:b/>
      <w:bCs/>
      <w:i w:val="0"/>
      <w:iCs w:val="0"/>
      <w:smallCaps w:val="0"/>
      <w:strike w:val="0"/>
      <w:color w:val="575656"/>
      <w:sz w:val="8"/>
      <w:szCs w:val="8"/>
      <w:u w:val="none"/>
      <w:shd w:val="clear" w:color="auto" w:fill="auto"/>
    </w:rPr>
  </w:style>
  <w:style w:type="character" w:customStyle="1" w:styleId="CharStyle205">
    <w:name w:val="页眉或页脚_"/>
    <w:basedOn w:val="DefaultParagraphFont"/>
    <w:link w:val="Style204"/>
    <w:rPr>
      <w:rFonts w:ascii="SimSun" w:eastAsia="SimSun" w:hAnsi="SimSun" w:cs="SimSun"/>
      <w:b w:val="0"/>
      <w:bCs w:val="0"/>
      <w:i w:val="0"/>
      <w:iCs w:val="0"/>
      <w:smallCaps w:val="0"/>
      <w:strike w:val="0"/>
      <w:sz w:val="17"/>
      <w:szCs w:val="17"/>
      <w:u w:val="none"/>
      <w:shd w:val="clear" w:color="auto" w:fill="auto"/>
    </w:rPr>
  </w:style>
  <w:style w:type="character" w:customStyle="1" w:styleId="CharStyle213">
    <w:name w:val="正文文本 (8)_"/>
    <w:basedOn w:val="DefaultParagraphFont"/>
    <w:link w:val="Style212"/>
    <w:rPr>
      <w:rFonts w:ascii="Arial" w:eastAsia="Arial" w:hAnsi="Arial" w:cs="Arial"/>
      <w:b w:val="0"/>
      <w:bCs w:val="0"/>
      <w:i w:val="0"/>
      <w:iCs w:val="0"/>
      <w:smallCaps w:val="0"/>
      <w:strike w:val="0"/>
      <w:color w:val="1F84C4"/>
      <w:sz w:val="30"/>
      <w:szCs w:val="30"/>
      <w:u w:val="none"/>
      <w:shd w:val="clear" w:color="auto" w:fill="auto"/>
    </w:rPr>
  </w:style>
  <w:style w:type="character" w:customStyle="1" w:styleId="CharStyle215">
    <w:name w:val="正文文本 (6)_"/>
    <w:basedOn w:val="DefaultParagraphFont"/>
    <w:link w:val="Style214"/>
    <w:rPr>
      <w:rFonts w:ascii="SimSun" w:eastAsia="SimSun" w:hAnsi="SimSun" w:cs="SimSun"/>
      <w:b w:val="0"/>
      <w:bCs w:val="0"/>
      <w:i w:val="0"/>
      <w:iCs w:val="0"/>
      <w:smallCaps w:val="0"/>
      <w:strike w:val="0"/>
      <w:sz w:val="15"/>
      <w:szCs w:val="15"/>
      <w:u w:val="none"/>
      <w:shd w:val="clear" w:color="auto" w:fill="auto"/>
    </w:rPr>
  </w:style>
  <w:style w:type="character" w:customStyle="1" w:styleId="CharStyle223">
    <w:name w:val="正文文本 (7)_"/>
    <w:basedOn w:val="DefaultParagraphFont"/>
    <w:link w:val="Style222"/>
    <w:rPr>
      <w:rFonts w:ascii="Times New Roman" w:eastAsia="Times New Roman" w:hAnsi="Times New Roman" w:cs="Times New Roman"/>
      <w:b w:val="0"/>
      <w:bCs w:val="0"/>
      <w:i w:val="0"/>
      <w:iCs w:val="0"/>
      <w:smallCaps w:val="0"/>
      <w:strike w:val="0"/>
      <w:sz w:val="18"/>
      <w:szCs w:val="18"/>
      <w:u w:val="none"/>
      <w:shd w:val="clear" w:color="auto" w:fill="auto"/>
    </w:rPr>
  </w:style>
  <w:style w:type="character" w:customStyle="1" w:styleId="CharStyle237">
    <w:name w:val="正文文本 (9)_"/>
    <w:basedOn w:val="DefaultParagraphFont"/>
    <w:link w:val="Style236"/>
    <w:rPr>
      <w:rFonts w:ascii="SimSun" w:eastAsia="SimSun" w:hAnsi="SimSun" w:cs="SimSun"/>
      <w:b/>
      <w:bCs/>
      <w:i w:val="0"/>
      <w:iCs w:val="0"/>
      <w:smallCaps w:val="0"/>
      <w:strike w:val="0"/>
      <w:u w:val="none"/>
      <w:shd w:val="clear" w:color="auto" w:fill="auto"/>
    </w:rPr>
  </w:style>
  <w:style w:type="character" w:customStyle="1" w:styleId="CharStyle249">
    <w:name w:val="标题 #5_"/>
    <w:basedOn w:val="DefaultParagraphFont"/>
    <w:link w:val="Style248"/>
    <w:rPr>
      <w:rFonts w:ascii="SimSun" w:eastAsia="SimSun" w:hAnsi="SimSun" w:cs="SimSun"/>
      <w:b/>
      <w:bCs/>
      <w:i w:val="0"/>
      <w:iCs w:val="0"/>
      <w:smallCaps w:val="0"/>
      <w:strike w:val="0"/>
      <w:sz w:val="20"/>
      <w:szCs w:val="20"/>
      <w:u w:val="none"/>
      <w:shd w:val="clear" w:color="auto" w:fill="auto"/>
    </w:rPr>
  </w:style>
  <w:style w:type="paragraph" w:customStyle="1" w:styleId="Style2">
    <w:name w:val="其他"/>
    <w:basedOn w:val="Normal"/>
    <w:link w:val="CharStyle3"/>
    <w:pPr>
      <w:widowControl w:val="0"/>
      <w:shd w:val="clear" w:color="auto" w:fill="auto"/>
      <w:spacing w:line="480" w:lineRule="auto"/>
      <w:ind w:firstLine="380"/>
    </w:pPr>
    <w:rPr>
      <w:rFonts w:ascii="SimSun" w:eastAsia="SimSun" w:hAnsi="SimSun" w:cs="SimSun"/>
      <w:b w:val="0"/>
      <w:bCs w:val="0"/>
      <w:i w:val="0"/>
      <w:iCs w:val="0"/>
      <w:smallCaps w:val="0"/>
      <w:strike w:val="0"/>
      <w:sz w:val="17"/>
      <w:szCs w:val="17"/>
      <w:u w:val="none"/>
      <w:shd w:val="clear" w:color="auto" w:fill="auto"/>
    </w:rPr>
  </w:style>
  <w:style w:type="paragraph" w:customStyle="1" w:styleId="Style7">
    <w:name w:val="标题 #1"/>
    <w:basedOn w:val="Normal"/>
    <w:link w:val="CharStyle8"/>
    <w:pPr>
      <w:widowControl w:val="0"/>
      <w:shd w:val="clear" w:color="auto" w:fill="auto"/>
      <w:spacing w:before="190" w:after="530"/>
      <w:jc w:val="center"/>
      <w:outlineLvl w:val="0"/>
    </w:pPr>
    <w:rPr>
      <w:rFonts w:ascii="SimSun" w:eastAsia="SimSun" w:hAnsi="SimSun" w:cs="SimSun"/>
      <w:b/>
      <w:bCs/>
      <w:i w:val="0"/>
      <w:iCs w:val="0"/>
      <w:smallCaps w:val="0"/>
      <w:strike w:val="0"/>
      <w:sz w:val="32"/>
      <w:szCs w:val="32"/>
      <w:u w:val="none"/>
      <w:shd w:val="clear" w:color="auto" w:fill="auto"/>
    </w:rPr>
  </w:style>
  <w:style w:type="paragraph" w:customStyle="1" w:styleId="Style9">
    <w:name w:val="页眉或页脚 (2)"/>
    <w:basedOn w:val="Normal"/>
    <w:link w:val="CharStyle10"/>
    <w:pPr>
      <w:widowControl w:val="0"/>
      <w:shd w:val="clear" w:color="auto" w:fill="auto"/>
    </w:pPr>
    <w:rPr>
      <w:rFonts w:ascii="Times New Roman" w:eastAsia="Times New Roman" w:hAnsi="Times New Roman" w:cs="Times New Roman"/>
      <w:b w:val="0"/>
      <w:bCs w:val="0"/>
      <w:i w:val="0"/>
      <w:iCs w:val="0"/>
      <w:smallCaps w:val="0"/>
      <w:strike w:val="0"/>
      <w:sz w:val="20"/>
      <w:szCs w:val="20"/>
      <w:u w:val="none"/>
      <w:shd w:val="clear" w:color="auto" w:fill="auto"/>
    </w:rPr>
  </w:style>
  <w:style w:type="paragraph" w:customStyle="1" w:styleId="Style16">
    <w:name w:val="正文文本 (2)"/>
    <w:basedOn w:val="Normal"/>
    <w:link w:val="CharStyle17"/>
    <w:pPr>
      <w:widowControl w:val="0"/>
      <w:shd w:val="clear" w:color="auto" w:fill="auto"/>
      <w:spacing w:line="467" w:lineRule="exact"/>
      <w:ind w:firstLine="440"/>
    </w:pPr>
    <w:rPr>
      <w:rFonts w:ascii="SimSun" w:eastAsia="SimSun" w:hAnsi="SimSun" w:cs="SimSun"/>
      <w:b w:val="0"/>
      <w:bCs w:val="0"/>
      <w:i w:val="0"/>
      <w:iCs w:val="0"/>
      <w:smallCaps w:val="0"/>
      <w:strike w:val="0"/>
      <w:sz w:val="20"/>
      <w:szCs w:val="20"/>
      <w:u w:val="none"/>
      <w:shd w:val="clear" w:color="auto" w:fill="auto"/>
    </w:rPr>
  </w:style>
  <w:style w:type="paragraph" w:customStyle="1" w:styleId="Style20">
    <w:name w:val="表格标题"/>
    <w:basedOn w:val="Normal"/>
    <w:link w:val="CharStyle21"/>
    <w:pPr>
      <w:widowControl w:val="0"/>
      <w:shd w:val="clear" w:color="auto" w:fill="auto"/>
      <w:spacing w:line="184" w:lineRule="exact"/>
    </w:pPr>
    <w:rPr>
      <w:rFonts w:ascii="SimHei" w:eastAsia="SimHei" w:hAnsi="SimHei" w:cs="SimHei"/>
      <w:b w:val="0"/>
      <w:bCs w:val="0"/>
      <w:i w:val="0"/>
      <w:iCs w:val="0"/>
      <w:smallCaps w:val="0"/>
      <w:strike w:val="0"/>
      <w:color w:val="EBEBEB"/>
      <w:sz w:val="13"/>
      <w:szCs w:val="13"/>
      <w:u w:val="none"/>
      <w:shd w:val="clear" w:color="auto" w:fill="auto"/>
    </w:rPr>
  </w:style>
  <w:style w:type="paragraph" w:customStyle="1" w:styleId="Style31">
    <w:name w:val="目录"/>
    <w:basedOn w:val="Normal"/>
    <w:link w:val="CharStyle32"/>
    <w:pPr>
      <w:widowControl w:val="0"/>
      <w:shd w:val="clear" w:color="auto" w:fill="auto"/>
      <w:spacing w:after="220"/>
    </w:pPr>
    <w:rPr>
      <w:rFonts w:ascii="SimSun" w:eastAsia="SimSun" w:hAnsi="SimSun" w:cs="SimSun"/>
      <w:b w:val="0"/>
      <w:bCs w:val="0"/>
      <w:i w:val="0"/>
      <w:iCs w:val="0"/>
      <w:smallCaps w:val="0"/>
      <w:strike w:val="0"/>
      <w:sz w:val="20"/>
      <w:szCs w:val="20"/>
      <w:u w:val="none"/>
      <w:shd w:val="clear" w:color="auto" w:fill="auto"/>
    </w:rPr>
  </w:style>
  <w:style w:type="paragraph" w:customStyle="1" w:styleId="Style39">
    <w:name w:val="标题 #2"/>
    <w:basedOn w:val="Normal"/>
    <w:link w:val="CharStyle40"/>
    <w:pPr>
      <w:widowControl w:val="0"/>
      <w:shd w:val="clear" w:color="auto" w:fill="auto"/>
      <w:spacing w:after="320"/>
      <w:outlineLvl w:val="1"/>
    </w:pPr>
    <w:rPr>
      <w:rFonts w:ascii="SimSun" w:eastAsia="SimSun" w:hAnsi="SimSun" w:cs="SimSun"/>
      <w:b/>
      <w:bCs/>
      <w:i w:val="0"/>
      <w:iCs w:val="0"/>
      <w:smallCaps w:val="0"/>
      <w:strike w:val="0"/>
      <w:u w:val="none"/>
      <w:shd w:val="clear" w:color="auto" w:fill="auto"/>
    </w:rPr>
  </w:style>
  <w:style w:type="paragraph" w:customStyle="1" w:styleId="Style41">
    <w:name w:val="正文文本"/>
    <w:basedOn w:val="Normal"/>
    <w:link w:val="CharStyle42"/>
    <w:pPr>
      <w:widowControl w:val="0"/>
      <w:shd w:val="clear" w:color="auto" w:fill="auto"/>
      <w:spacing w:line="480" w:lineRule="auto"/>
      <w:ind w:firstLine="380"/>
    </w:pPr>
    <w:rPr>
      <w:rFonts w:ascii="SimSun" w:eastAsia="SimSun" w:hAnsi="SimSun" w:cs="SimSun"/>
      <w:b w:val="0"/>
      <w:bCs w:val="0"/>
      <w:i w:val="0"/>
      <w:iCs w:val="0"/>
      <w:smallCaps w:val="0"/>
      <w:strike w:val="0"/>
      <w:sz w:val="17"/>
      <w:szCs w:val="17"/>
      <w:u w:val="none"/>
      <w:shd w:val="clear" w:color="auto" w:fill="auto"/>
    </w:rPr>
  </w:style>
  <w:style w:type="paragraph" w:customStyle="1" w:styleId="Style47">
    <w:name w:val="标题 #3"/>
    <w:basedOn w:val="Normal"/>
    <w:link w:val="CharStyle48"/>
    <w:pPr>
      <w:widowControl w:val="0"/>
      <w:shd w:val="clear" w:color="auto" w:fill="auto"/>
      <w:spacing w:after="250" w:line="348" w:lineRule="auto"/>
      <w:ind w:firstLine="190"/>
      <w:outlineLvl w:val="2"/>
    </w:pPr>
    <w:rPr>
      <w:rFonts w:ascii="SimSun" w:eastAsia="SimSun" w:hAnsi="SimSun" w:cs="SimSun"/>
      <w:b/>
      <w:bCs/>
      <w:i w:val="0"/>
      <w:iCs w:val="0"/>
      <w:smallCaps w:val="0"/>
      <w:strike w:val="0"/>
      <w:sz w:val="20"/>
      <w:szCs w:val="20"/>
      <w:u w:val="none"/>
      <w:shd w:val="clear" w:color="auto" w:fill="auto"/>
    </w:rPr>
  </w:style>
  <w:style w:type="paragraph" w:customStyle="1" w:styleId="Style58">
    <w:name w:val="标题 #4"/>
    <w:basedOn w:val="Normal"/>
    <w:link w:val="CharStyle59"/>
    <w:pPr>
      <w:widowControl w:val="0"/>
      <w:shd w:val="clear" w:color="auto" w:fill="auto"/>
      <w:spacing w:line="467" w:lineRule="exact"/>
      <w:ind w:firstLine="380"/>
      <w:outlineLvl w:val="3"/>
    </w:pPr>
    <w:rPr>
      <w:rFonts w:ascii="SimSun" w:eastAsia="SimSun" w:hAnsi="SimSun" w:cs="SimSun"/>
      <w:b w:val="0"/>
      <w:bCs w:val="0"/>
      <w:i w:val="0"/>
      <w:iCs w:val="0"/>
      <w:smallCaps w:val="0"/>
      <w:strike w:val="0"/>
      <w:sz w:val="17"/>
      <w:szCs w:val="17"/>
      <w:u w:val="none"/>
      <w:shd w:val="clear" w:color="auto" w:fill="auto"/>
    </w:rPr>
  </w:style>
  <w:style w:type="paragraph" w:customStyle="1" w:styleId="Style62">
    <w:name w:val="其他 (2)"/>
    <w:basedOn w:val="Normal"/>
    <w:link w:val="CharStyle63"/>
    <w:pPr>
      <w:widowControl w:val="0"/>
      <w:shd w:val="clear" w:color="auto" w:fill="auto"/>
    </w:pPr>
    <w:rPr>
      <w:rFonts w:ascii="SimHei" w:eastAsia="SimHei" w:hAnsi="SimHei" w:cs="SimHei"/>
      <w:b w:val="0"/>
      <w:bCs w:val="0"/>
      <w:i w:val="0"/>
      <w:iCs w:val="0"/>
      <w:smallCaps w:val="0"/>
      <w:strike w:val="0"/>
      <w:color w:val="383636"/>
      <w:sz w:val="11"/>
      <w:szCs w:val="11"/>
      <w:u w:val="none"/>
      <w:shd w:val="clear" w:color="auto" w:fill="auto"/>
    </w:rPr>
  </w:style>
  <w:style w:type="paragraph" w:customStyle="1" w:styleId="Style65">
    <w:name w:val="图片标题"/>
    <w:basedOn w:val="Normal"/>
    <w:link w:val="CharStyle66"/>
    <w:pPr>
      <w:widowControl w:val="0"/>
      <w:shd w:val="clear" w:color="auto" w:fill="auto"/>
    </w:pPr>
    <w:rPr>
      <w:rFonts w:ascii="SimHei" w:eastAsia="SimHei" w:hAnsi="SimHei" w:cs="SimHei"/>
      <w:b w:val="0"/>
      <w:bCs w:val="0"/>
      <w:i w:val="0"/>
      <w:iCs w:val="0"/>
      <w:smallCaps w:val="0"/>
      <w:strike w:val="0"/>
      <w:color w:val="566376"/>
      <w:sz w:val="10"/>
      <w:szCs w:val="10"/>
      <w:u w:val="none"/>
      <w:shd w:val="clear" w:color="auto" w:fill="auto"/>
    </w:rPr>
  </w:style>
  <w:style w:type="paragraph" w:customStyle="1" w:styleId="Style71">
    <w:name w:val="图片标题 (2)"/>
    <w:basedOn w:val="Normal"/>
    <w:link w:val="CharStyle72"/>
    <w:pPr>
      <w:widowControl w:val="0"/>
      <w:shd w:val="clear" w:color="auto" w:fill="auto"/>
    </w:pPr>
    <w:rPr>
      <w:rFonts w:ascii="SimHei" w:eastAsia="SimHei" w:hAnsi="SimHei" w:cs="SimHei"/>
      <w:b w:val="0"/>
      <w:bCs w:val="0"/>
      <w:i w:val="0"/>
      <w:iCs w:val="0"/>
      <w:smallCaps w:val="0"/>
      <w:strike w:val="0"/>
      <w:color w:val="EBEBEB"/>
      <w:sz w:val="18"/>
      <w:szCs w:val="18"/>
      <w:u w:val="none"/>
      <w:shd w:val="clear" w:color="auto" w:fill="auto"/>
    </w:rPr>
  </w:style>
  <w:style w:type="paragraph" w:customStyle="1" w:styleId="Style81">
    <w:name w:val="表格标题 (2)"/>
    <w:basedOn w:val="Normal"/>
    <w:link w:val="CharStyle82"/>
    <w:pPr>
      <w:widowControl w:val="0"/>
      <w:shd w:val="clear" w:color="auto" w:fill="auto"/>
    </w:pPr>
    <w:rPr>
      <w:rFonts w:ascii="SimHei" w:eastAsia="SimHei" w:hAnsi="SimHei" w:cs="SimHei"/>
      <w:b w:val="0"/>
      <w:bCs w:val="0"/>
      <w:i w:val="0"/>
      <w:iCs w:val="0"/>
      <w:smallCaps w:val="0"/>
      <w:strike w:val="0"/>
      <w:color w:val="EBEBEB"/>
      <w:sz w:val="18"/>
      <w:szCs w:val="18"/>
      <w:u w:val="none"/>
      <w:shd w:val="clear" w:color="auto" w:fill="auto"/>
    </w:rPr>
  </w:style>
  <w:style w:type="paragraph" w:customStyle="1" w:styleId="Style156">
    <w:name w:val="正文文本 (3)"/>
    <w:basedOn w:val="Normal"/>
    <w:link w:val="CharStyle157"/>
    <w:pPr>
      <w:widowControl w:val="0"/>
      <w:shd w:val="clear" w:color="auto" w:fill="auto"/>
    </w:pPr>
    <w:rPr>
      <w:rFonts w:ascii="Arial" w:eastAsia="Arial" w:hAnsi="Arial" w:cs="Arial"/>
      <w:b/>
      <w:bCs/>
      <w:i w:val="0"/>
      <w:iCs w:val="0"/>
      <w:smallCaps w:val="0"/>
      <w:strike w:val="0"/>
      <w:color w:val="575656"/>
      <w:sz w:val="8"/>
      <w:szCs w:val="8"/>
      <w:u w:val="none"/>
      <w:shd w:val="clear" w:color="auto" w:fill="auto"/>
    </w:rPr>
  </w:style>
  <w:style w:type="paragraph" w:customStyle="1" w:styleId="Style204">
    <w:name w:val="页眉或页脚"/>
    <w:basedOn w:val="Normal"/>
    <w:link w:val="CharStyle205"/>
    <w:pPr>
      <w:widowControl w:val="0"/>
      <w:shd w:val="clear" w:color="auto" w:fill="auto"/>
    </w:pPr>
    <w:rPr>
      <w:rFonts w:ascii="SimSun" w:eastAsia="SimSun" w:hAnsi="SimSun" w:cs="SimSun"/>
      <w:b w:val="0"/>
      <w:bCs w:val="0"/>
      <w:i w:val="0"/>
      <w:iCs w:val="0"/>
      <w:smallCaps w:val="0"/>
      <w:strike w:val="0"/>
      <w:sz w:val="17"/>
      <w:szCs w:val="17"/>
      <w:u w:val="none"/>
      <w:shd w:val="clear" w:color="auto" w:fill="auto"/>
    </w:rPr>
  </w:style>
  <w:style w:type="paragraph" w:customStyle="1" w:styleId="Style212">
    <w:name w:val="正文文本 (8)"/>
    <w:basedOn w:val="Normal"/>
    <w:link w:val="CharStyle213"/>
    <w:pPr>
      <w:widowControl w:val="0"/>
      <w:shd w:val="clear" w:color="auto" w:fill="auto"/>
    </w:pPr>
    <w:rPr>
      <w:rFonts w:ascii="Arial" w:eastAsia="Arial" w:hAnsi="Arial" w:cs="Arial"/>
      <w:b w:val="0"/>
      <w:bCs w:val="0"/>
      <w:i w:val="0"/>
      <w:iCs w:val="0"/>
      <w:smallCaps w:val="0"/>
      <w:strike w:val="0"/>
      <w:color w:val="1F84C4"/>
      <w:sz w:val="30"/>
      <w:szCs w:val="30"/>
      <w:u w:val="none"/>
      <w:shd w:val="clear" w:color="auto" w:fill="auto"/>
    </w:rPr>
  </w:style>
  <w:style w:type="paragraph" w:customStyle="1" w:styleId="Style214">
    <w:name w:val="正文文本 (6)"/>
    <w:basedOn w:val="Normal"/>
    <w:link w:val="CharStyle215"/>
    <w:pPr>
      <w:widowControl w:val="0"/>
      <w:shd w:val="clear" w:color="auto" w:fill="auto"/>
      <w:spacing w:line="475" w:lineRule="exact"/>
    </w:pPr>
    <w:rPr>
      <w:rFonts w:ascii="SimSun" w:eastAsia="SimSun" w:hAnsi="SimSun" w:cs="SimSun"/>
      <w:b w:val="0"/>
      <w:bCs w:val="0"/>
      <w:i w:val="0"/>
      <w:iCs w:val="0"/>
      <w:smallCaps w:val="0"/>
      <w:strike w:val="0"/>
      <w:sz w:val="15"/>
      <w:szCs w:val="15"/>
      <w:u w:val="none"/>
      <w:shd w:val="clear" w:color="auto" w:fill="auto"/>
    </w:rPr>
  </w:style>
  <w:style w:type="paragraph" w:customStyle="1" w:styleId="Style222">
    <w:name w:val="正文文本 (7)"/>
    <w:basedOn w:val="Normal"/>
    <w:link w:val="CharStyle223"/>
    <w:pPr>
      <w:widowControl w:val="0"/>
      <w:shd w:val="clear" w:color="auto" w:fill="auto"/>
      <w:spacing w:line="468" w:lineRule="exact"/>
      <w:ind w:firstLine="380"/>
    </w:pPr>
    <w:rPr>
      <w:rFonts w:ascii="Times New Roman" w:eastAsia="Times New Roman" w:hAnsi="Times New Roman" w:cs="Times New Roman"/>
      <w:b w:val="0"/>
      <w:bCs w:val="0"/>
      <w:i w:val="0"/>
      <w:iCs w:val="0"/>
      <w:smallCaps w:val="0"/>
      <w:strike w:val="0"/>
      <w:sz w:val="18"/>
      <w:szCs w:val="18"/>
      <w:u w:val="none"/>
      <w:shd w:val="clear" w:color="auto" w:fill="auto"/>
    </w:rPr>
  </w:style>
  <w:style w:type="paragraph" w:customStyle="1" w:styleId="Style236">
    <w:name w:val="正文文本 (9)"/>
    <w:basedOn w:val="Normal"/>
    <w:link w:val="CharStyle237"/>
    <w:pPr>
      <w:widowControl w:val="0"/>
      <w:shd w:val="clear" w:color="auto" w:fill="auto"/>
      <w:spacing w:after="360" w:line="398" w:lineRule="exact"/>
    </w:pPr>
    <w:rPr>
      <w:rFonts w:ascii="SimSun" w:eastAsia="SimSun" w:hAnsi="SimSun" w:cs="SimSun"/>
      <w:b/>
      <w:bCs/>
      <w:i w:val="0"/>
      <w:iCs w:val="0"/>
      <w:smallCaps w:val="0"/>
      <w:strike w:val="0"/>
      <w:u w:val="none"/>
      <w:shd w:val="clear" w:color="auto" w:fill="auto"/>
    </w:rPr>
  </w:style>
  <w:style w:type="paragraph" w:customStyle="1" w:styleId="Style248">
    <w:name w:val="标题 #5"/>
    <w:basedOn w:val="Normal"/>
    <w:link w:val="CharStyle249"/>
    <w:pPr>
      <w:widowControl w:val="0"/>
      <w:shd w:val="clear" w:color="auto" w:fill="auto"/>
      <w:spacing w:after="400"/>
      <w:outlineLvl w:val="4"/>
    </w:pPr>
    <w:rPr>
      <w:rFonts w:ascii="SimSun" w:eastAsia="SimSun" w:hAnsi="SimSun" w:cs="SimSun"/>
      <w:b/>
      <w:bCs/>
      <w:i w:val="0"/>
      <w:iCs w:val="0"/>
      <w:smallCaps w:val="0"/>
      <w:strike w:val="0"/>
      <w:sz w:val="20"/>
      <w:szCs w:val="20"/>
      <w:u w:val="none"/>
      <w:shd w:val="clear" w:color="auto" w:fill="auto"/>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1.jpeg" TargetMode="External"/><Relationship Id="rId7" Type="http://schemas.openxmlformats.org/officeDocument/2006/relationships/image" Target="media/image2.jpeg"/><Relationship Id="rId8" Type="http://schemas.openxmlformats.org/officeDocument/2006/relationships/image" Target="media/image2.jpeg" TargetMode="External"/><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header" Target="header2.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footer" Target="footer4.xml"/><Relationship Id="rId17" Type="http://schemas.openxmlformats.org/officeDocument/2006/relationships/header" Target="header5.xml"/><Relationship Id="rId18" Type="http://schemas.openxmlformats.org/officeDocument/2006/relationships/footer" Target="footer5.xml"/><Relationship Id="rId19" Type="http://schemas.openxmlformats.org/officeDocument/2006/relationships/header" Target="header6.xml"/><Relationship Id="rId20" Type="http://schemas.openxmlformats.org/officeDocument/2006/relationships/footer" Target="footer6.xml"/><Relationship Id="rId21" Type="http://schemas.openxmlformats.org/officeDocument/2006/relationships/header" Target="header7.xml"/><Relationship Id="rId22" Type="http://schemas.openxmlformats.org/officeDocument/2006/relationships/footer" Target="footer7.xml"/><Relationship Id="rId23" Type="http://schemas.openxmlformats.org/officeDocument/2006/relationships/header" Target="header8.xml"/><Relationship Id="rId24" Type="http://schemas.openxmlformats.org/officeDocument/2006/relationships/footer" Target="footer8.xml"/><Relationship Id="rId25" Type="http://schemas.openxmlformats.org/officeDocument/2006/relationships/header" Target="header9.xml"/><Relationship Id="rId26" Type="http://schemas.openxmlformats.org/officeDocument/2006/relationships/footer" Target="footer9.xml"/><Relationship Id="rId27" Type="http://schemas.openxmlformats.org/officeDocument/2006/relationships/header" Target="header10.xml"/><Relationship Id="rId28" Type="http://schemas.openxmlformats.org/officeDocument/2006/relationships/footer" Target="footer10.xml"/><Relationship Id="rId29" Type="http://schemas.openxmlformats.org/officeDocument/2006/relationships/image" Target="media/image3.jpeg"/><Relationship Id="rId30" Type="http://schemas.openxmlformats.org/officeDocument/2006/relationships/image" Target="media/image3.jpeg" TargetMode="External"/><Relationship Id="rId31" Type="http://schemas.openxmlformats.org/officeDocument/2006/relationships/image" Target="media/image4.jpeg"/><Relationship Id="rId32" Type="http://schemas.openxmlformats.org/officeDocument/2006/relationships/image" Target="media/image4.jpeg" TargetMode="External"/><Relationship Id="rId33" Type="http://schemas.openxmlformats.org/officeDocument/2006/relationships/header" Target="header11.xml"/><Relationship Id="rId34" Type="http://schemas.openxmlformats.org/officeDocument/2006/relationships/footer" Target="footer11.xml"/><Relationship Id="rId35" Type="http://schemas.openxmlformats.org/officeDocument/2006/relationships/header" Target="header12.xml"/><Relationship Id="rId36" Type="http://schemas.openxmlformats.org/officeDocument/2006/relationships/footer" Target="footer12.xml"/><Relationship Id="rId37" Type="http://schemas.openxmlformats.org/officeDocument/2006/relationships/header" Target="header13.xml"/><Relationship Id="rId38" Type="http://schemas.openxmlformats.org/officeDocument/2006/relationships/footer" Target="footer13.xml"/><Relationship Id="rId39" Type="http://schemas.openxmlformats.org/officeDocument/2006/relationships/header" Target="header14.xml"/><Relationship Id="rId40" Type="http://schemas.openxmlformats.org/officeDocument/2006/relationships/footer" Target="footer14.xml"/><Relationship Id="rId41" Type="http://schemas.openxmlformats.org/officeDocument/2006/relationships/image" Target="media/image5.jpeg"/><Relationship Id="rId42" Type="http://schemas.openxmlformats.org/officeDocument/2006/relationships/image" Target="media/image5.jpeg" TargetMode="External"/><Relationship Id="rId43" Type="http://schemas.openxmlformats.org/officeDocument/2006/relationships/image" Target="media/image6.jpeg"/><Relationship Id="rId44" Type="http://schemas.openxmlformats.org/officeDocument/2006/relationships/image" Target="media/image6.jpeg" TargetMode="External"/><Relationship Id="rId45" Type="http://schemas.openxmlformats.org/officeDocument/2006/relationships/image" Target="media/image7.jpeg"/><Relationship Id="rId46" Type="http://schemas.openxmlformats.org/officeDocument/2006/relationships/image" Target="media/image7.jpeg" TargetMode="External"/><Relationship Id="rId47" Type="http://schemas.openxmlformats.org/officeDocument/2006/relationships/image" Target="media/image8.jpeg"/><Relationship Id="rId48" Type="http://schemas.openxmlformats.org/officeDocument/2006/relationships/image" Target="media/image8.jpeg" TargetMode="External"/><Relationship Id="rId49" Type="http://schemas.openxmlformats.org/officeDocument/2006/relationships/image" Target="media/image9.jpeg"/><Relationship Id="rId50" Type="http://schemas.openxmlformats.org/officeDocument/2006/relationships/image" Target="media/image9.jpeg" TargetMode="External"/><Relationship Id="rId51" Type="http://schemas.openxmlformats.org/officeDocument/2006/relationships/header" Target="header15.xml"/><Relationship Id="rId52" Type="http://schemas.openxmlformats.org/officeDocument/2006/relationships/footer" Target="footer15.xml"/><Relationship Id="rId53" Type="http://schemas.openxmlformats.org/officeDocument/2006/relationships/header" Target="header16.xml"/><Relationship Id="rId54" Type="http://schemas.openxmlformats.org/officeDocument/2006/relationships/footer" Target="footer16.xml"/><Relationship Id="rId55" Type="http://schemas.openxmlformats.org/officeDocument/2006/relationships/header" Target="header17.xml"/><Relationship Id="rId56" Type="http://schemas.openxmlformats.org/officeDocument/2006/relationships/footer" Target="footer17.xml"/><Relationship Id="rId57" Type="http://schemas.openxmlformats.org/officeDocument/2006/relationships/image" Target="media/image10.jpeg"/><Relationship Id="rId58" Type="http://schemas.openxmlformats.org/officeDocument/2006/relationships/image" Target="media/image10.jpeg" TargetMode="External"/><Relationship Id="rId59" Type="http://schemas.openxmlformats.org/officeDocument/2006/relationships/header" Target="header18.xml"/><Relationship Id="rId60" Type="http://schemas.openxmlformats.org/officeDocument/2006/relationships/footer" Target="footer18.xml"/><Relationship Id="rId61" Type="http://schemas.openxmlformats.org/officeDocument/2006/relationships/header" Target="header19.xml"/><Relationship Id="rId62" Type="http://schemas.openxmlformats.org/officeDocument/2006/relationships/footer" Target="footer19.xml"/><Relationship Id="rId63" Type="http://schemas.openxmlformats.org/officeDocument/2006/relationships/header" Target="header20.xml"/><Relationship Id="rId64" Type="http://schemas.openxmlformats.org/officeDocument/2006/relationships/footer" Target="footer20.xml"/><Relationship Id="rId65" Type="http://schemas.openxmlformats.org/officeDocument/2006/relationships/header" Target="header21.xml"/><Relationship Id="rId66" Type="http://schemas.openxmlformats.org/officeDocument/2006/relationships/footer" Target="footer21.xml"/><Relationship Id="rId67" Type="http://schemas.openxmlformats.org/officeDocument/2006/relationships/header" Target="header22.xml"/><Relationship Id="rId68" Type="http://schemas.openxmlformats.org/officeDocument/2006/relationships/footer" Target="footer22.xml"/><Relationship Id="rId69" Type="http://schemas.openxmlformats.org/officeDocument/2006/relationships/header" Target="header23.xml"/><Relationship Id="rId70" Type="http://schemas.openxmlformats.org/officeDocument/2006/relationships/footer" Target="footer23.xml"/><Relationship Id="rId71" Type="http://schemas.openxmlformats.org/officeDocument/2006/relationships/header" Target="header24.xml"/><Relationship Id="rId72" Type="http://schemas.openxmlformats.org/officeDocument/2006/relationships/footer" Target="footer24.xml"/><Relationship Id="rId73" Type="http://schemas.openxmlformats.org/officeDocument/2006/relationships/image" Target="media/image11.jpeg"/><Relationship Id="rId74" Type="http://schemas.openxmlformats.org/officeDocument/2006/relationships/image" Target="media/image11.jpeg" TargetMode="External"/><Relationship Id="rId75" Type="http://schemas.openxmlformats.org/officeDocument/2006/relationships/image" Target="media/image12.jpeg"/><Relationship Id="rId76" Type="http://schemas.openxmlformats.org/officeDocument/2006/relationships/image" Target="media/image12.jpeg" TargetMode="External"/><Relationship Id="rId77" Type="http://schemas.openxmlformats.org/officeDocument/2006/relationships/image" Target="media/image13.jpeg"/><Relationship Id="rId78" Type="http://schemas.openxmlformats.org/officeDocument/2006/relationships/image" Target="media/image13.jpeg" TargetMode="External"/><Relationship Id="rId79" Type="http://schemas.openxmlformats.org/officeDocument/2006/relationships/image" Target="media/image14.jpeg"/><Relationship Id="rId80" Type="http://schemas.openxmlformats.org/officeDocument/2006/relationships/image" Target="media/image14.jpeg" TargetMode="External"/><Relationship Id="rId81" Type="http://schemas.openxmlformats.org/officeDocument/2006/relationships/image" Target="media/image15.jpeg"/><Relationship Id="rId82" Type="http://schemas.openxmlformats.org/officeDocument/2006/relationships/image" Target="media/image15.jpeg" TargetMode="External"/><Relationship Id="rId83" Type="http://schemas.openxmlformats.org/officeDocument/2006/relationships/header" Target="header25.xml"/><Relationship Id="rId84" Type="http://schemas.openxmlformats.org/officeDocument/2006/relationships/footer" Target="footer25.xml"/><Relationship Id="rId85" Type="http://schemas.openxmlformats.org/officeDocument/2006/relationships/header" Target="header26.xml"/><Relationship Id="rId86" Type="http://schemas.openxmlformats.org/officeDocument/2006/relationships/footer" Target="footer26.xml"/><Relationship Id="rId87" Type="http://schemas.openxmlformats.org/officeDocument/2006/relationships/header" Target="header27.xml"/><Relationship Id="rId88" Type="http://schemas.openxmlformats.org/officeDocument/2006/relationships/footer" Target="footer27.xml"/><Relationship Id="rId89" Type="http://schemas.openxmlformats.org/officeDocument/2006/relationships/header" Target="header28.xml"/><Relationship Id="rId90" Type="http://schemas.openxmlformats.org/officeDocument/2006/relationships/footer" Target="footer28.xml"/><Relationship Id="rId91" Type="http://schemas.openxmlformats.org/officeDocument/2006/relationships/image" Target="media/image16.jpeg"/><Relationship Id="rId92" Type="http://schemas.openxmlformats.org/officeDocument/2006/relationships/image" Target="media/image16.jpeg" TargetMode="External"/><Relationship Id="rId93" Type="http://schemas.openxmlformats.org/officeDocument/2006/relationships/header" Target="header29.xml"/><Relationship Id="rId94" Type="http://schemas.openxmlformats.org/officeDocument/2006/relationships/footer" Target="footer29.xml"/><Relationship Id="rId95" Type="http://schemas.openxmlformats.org/officeDocument/2006/relationships/header" Target="header30.xml"/><Relationship Id="rId96" Type="http://schemas.openxmlformats.org/officeDocument/2006/relationships/footer" Target="footer30.xml"/><Relationship Id="rId97" Type="http://schemas.openxmlformats.org/officeDocument/2006/relationships/image" Target="media/image17.jpeg"/><Relationship Id="rId98" Type="http://schemas.openxmlformats.org/officeDocument/2006/relationships/image" Target="media/image17.jpeg" TargetMode="External"/><Relationship Id="rId99" Type="http://schemas.openxmlformats.org/officeDocument/2006/relationships/image" Target="media/image18.jpeg"/><Relationship Id="rId100" Type="http://schemas.openxmlformats.org/officeDocument/2006/relationships/image" Target="media/image18.jpeg" TargetMode="External"/><Relationship Id="rId101" Type="http://schemas.openxmlformats.org/officeDocument/2006/relationships/header" Target="header31.xml"/><Relationship Id="rId102" Type="http://schemas.openxmlformats.org/officeDocument/2006/relationships/footer" Target="footer31.xml"/><Relationship Id="rId103" Type="http://schemas.openxmlformats.org/officeDocument/2006/relationships/header" Target="header32.xml"/><Relationship Id="rId104" Type="http://schemas.openxmlformats.org/officeDocument/2006/relationships/footer" Target="footer32.xml"/><Relationship Id="rId105" Type="http://schemas.openxmlformats.org/officeDocument/2006/relationships/header" Target="header33.xml"/><Relationship Id="rId106" Type="http://schemas.openxmlformats.org/officeDocument/2006/relationships/footer" Target="footer33.xml"/><Relationship Id="rId107" Type="http://schemas.openxmlformats.org/officeDocument/2006/relationships/header" Target="header34.xml"/><Relationship Id="rId108" Type="http://schemas.openxmlformats.org/officeDocument/2006/relationships/footer" Target="footer34.xml"/><Relationship Id="rId109" Type="http://schemas.openxmlformats.org/officeDocument/2006/relationships/image" Target="media/image19.jpeg"/><Relationship Id="rId110" Type="http://schemas.openxmlformats.org/officeDocument/2006/relationships/image" Target="media/image19.jpeg" TargetMode="External"/><Relationship Id="rId111" Type="http://schemas.openxmlformats.org/officeDocument/2006/relationships/image" Target="media/image20.jpeg"/><Relationship Id="rId112" Type="http://schemas.openxmlformats.org/officeDocument/2006/relationships/image" Target="media/image20.jpeg" TargetMode="External"/><Relationship Id="rId113" Type="http://schemas.openxmlformats.org/officeDocument/2006/relationships/image" Target="media/image21.jpeg"/><Relationship Id="rId114" Type="http://schemas.openxmlformats.org/officeDocument/2006/relationships/image" Target="media/image21.jpeg" TargetMode="External"/><Relationship Id="rId115" Type="http://schemas.openxmlformats.org/officeDocument/2006/relationships/image" Target="media/image22.jpeg"/><Relationship Id="rId116" Type="http://schemas.openxmlformats.org/officeDocument/2006/relationships/image" Target="media/image22.jpeg" TargetMode="External"/><Relationship Id="rId117" Type="http://schemas.openxmlformats.org/officeDocument/2006/relationships/image" Target="media/image23.jpeg"/><Relationship Id="rId118" Type="http://schemas.openxmlformats.org/officeDocument/2006/relationships/image" Target="media/image23.jpeg" TargetMode="External"/><Relationship Id="rId119" Type="http://schemas.openxmlformats.org/officeDocument/2006/relationships/header" Target="header35.xml"/><Relationship Id="rId120" Type="http://schemas.openxmlformats.org/officeDocument/2006/relationships/footer" Target="footer35.xml"/><Relationship Id="rId121" Type="http://schemas.openxmlformats.org/officeDocument/2006/relationships/header" Target="header36.xml"/><Relationship Id="rId122" Type="http://schemas.openxmlformats.org/officeDocument/2006/relationships/footer" Target="footer36.xml"/><Relationship Id="rId123" Type="http://schemas.openxmlformats.org/officeDocument/2006/relationships/header" Target="header37.xml"/><Relationship Id="rId124" Type="http://schemas.openxmlformats.org/officeDocument/2006/relationships/footer" Target="footer37.xml"/><Relationship Id="rId125" Type="http://schemas.openxmlformats.org/officeDocument/2006/relationships/header" Target="header38.xml"/><Relationship Id="rId126" Type="http://schemas.openxmlformats.org/officeDocument/2006/relationships/footer" Target="footer38.xml"/><Relationship Id="rId127" Type="http://schemas.openxmlformats.org/officeDocument/2006/relationships/header" Target="header39.xml"/><Relationship Id="rId128" Type="http://schemas.openxmlformats.org/officeDocument/2006/relationships/footer" Target="footer39.xml"/><Relationship Id="rId129" Type="http://schemas.openxmlformats.org/officeDocument/2006/relationships/header" Target="header40.xml"/><Relationship Id="rId130" Type="http://schemas.openxmlformats.org/officeDocument/2006/relationships/footer" Target="footer40.xml"/><Relationship Id="rId131" Type="http://schemas.openxmlformats.org/officeDocument/2006/relationships/header" Target="header41.xml"/><Relationship Id="rId132" Type="http://schemas.openxmlformats.org/officeDocument/2006/relationships/footer" Target="footer41.xml"/><Relationship Id="rId133" Type="http://schemas.openxmlformats.org/officeDocument/2006/relationships/header" Target="header42.xml"/><Relationship Id="rId134" Type="http://schemas.openxmlformats.org/officeDocument/2006/relationships/footer" Target="footer42.xml"/><Relationship Id="rId135" Type="http://schemas.openxmlformats.org/officeDocument/2006/relationships/header" Target="header43.xml"/><Relationship Id="rId136" Type="http://schemas.openxmlformats.org/officeDocument/2006/relationships/footer" Target="footer43.xml"/><Relationship Id="rId137" Type="http://schemas.openxmlformats.org/officeDocument/2006/relationships/header" Target="header44.xml"/><Relationship Id="rId138" Type="http://schemas.openxmlformats.org/officeDocument/2006/relationships/footer" Target="footer44.xml"/><Relationship Id="rId139" Type="http://schemas.openxmlformats.org/officeDocument/2006/relationships/header" Target="header45.xml"/><Relationship Id="rId140" Type="http://schemas.openxmlformats.org/officeDocument/2006/relationships/footer" Target="footer45.xml"/><Relationship Id="rId141" Type="http://schemas.openxmlformats.org/officeDocument/2006/relationships/header" Target="header46.xml"/><Relationship Id="rId142" Type="http://schemas.openxmlformats.org/officeDocument/2006/relationships/footer" Target="footer46.xml"/><Relationship Id="rId143" Type="http://schemas.openxmlformats.org/officeDocument/2006/relationships/header" Target="header47.xml"/><Relationship Id="rId144" Type="http://schemas.openxmlformats.org/officeDocument/2006/relationships/footer" Target="footer47.xml"/><Relationship Id="rId145" Type="http://schemas.openxmlformats.org/officeDocument/2006/relationships/header" Target="header48.xml"/><Relationship Id="rId146" Type="http://schemas.openxmlformats.org/officeDocument/2006/relationships/footer" Target="footer48.xml"/><Relationship Id="rId147" Type="http://schemas.openxmlformats.org/officeDocument/2006/relationships/header" Target="header49.xml"/><Relationship Id="rId148" Type="http://schemas.openxmlformats.org/officeDocument/2006/relationships/footer" Target="footer49.xml"/><Relationship Id="rId149" Type="http://schemas.openxmlformats.org/officeDocument/2006/relationships/header" Target="header50.xml"/><Relationship Id="rId150" Type="http://schemas.openxmlformats.org/officeDocument/2006/relationships/footer" Target="footer50.xml"/><Relationship Id="rId151" Type="http://schemas.openxmlformats.org/officeDocument/2006/relationships/header" Target="header51.xml"/><Relationship Id="rId152" Type="http://schemas.openxmlformats.org/officeDocument/2006/relationships/footer" Target="footer51.xml"/><Relationship Id="rId153" Type="http://schemas.openxmlformats.org/officeDocument/2006/relationships/header" Target="header52.xml"/><Relationship Id="rId154" Type="http://schemas.openxmlformats.org/officeDocument/2006/relationships/footer" Target="footer52.xml"/><Relationship Id="rId155" Type="http://schemas.openxmlformats.org/officeDocument/2006/relationships/header" Target="header53.xml"/><Relationship Id="rId156" Type="http://schemas.openxmlformats.org/officeDocument/2006/relationships/footer" Target="footer53.xml"/><Relationship Id="rId157" Type="http://schemas.openxmlformats.org/officeDocument/2006/relationships/header" Target="header54.xml"/><Relationship Id="rId158" Type="http://schemas.openxmlformats.org/officeDocument/2006/relationships/footer" Target="footer54.xml"/><Relationship Id="rId159" Type="http://schemas.openxmlformats.org/officeDocument/2006/relationships/header" Target="header55.xml"/><Relationship Id="rId160" Type="http://schemas.openxmlformats.org/officeDocument/2006/relationships/footer" Target="footer55.xml"/><Relationship Id="rId161" Type="http://schemas.openxmlformats.org/officeDocument/2006/relationships/header" Target="header56.xml"/><Relationship Id="rId162" Type="http://schemas.openxmlformats.org/officeDocument/2006/relationships/footer" Target="footer56.xml"/><Relationship Id="rId163" Type="http://schemas.openxmlformats.org/officeDocument/2006/relationships/header" Target="header57.xml"/><Relationship Id="rId164" Type="http://schemas.openxmlformats.org/officeDocument/2006/relationships/footer" Target="footer57.xml"/><Relationship Id="rId165" Type="http://schemas.openxmlformats.org/officeDocument/2006/relationships/header" Target="header58.xml"/><Relationship Id="rId166" Type="http://schemas.openxmlformats.org/officeDocument/2006/relationships/footer" Target="footer58.xml"/><Relationship Id="rId167" Type="http://schemas.openxmlformats.org/officeDocument/2006/relationships/header" Target="header59.xml"/><Relationship Id="rId168" Type="http://schemas.openxmlformats.org/officeDocument/2006/relationships/footer" Target="footer59.xml"/><Relationship Id="rId169" Type="http://schemas.openxmlformats.org/officeDocument/2006/relationships/header" Target="header60.xml"/><Relationship Id="rId170" Type="http://schemas.openxmlformats.org/officeDocument/2006/relationships/footer" Target="footer60.xml"/><Relationship Id="rId171" Type="http://schemas.openxmlformats.org/officeDocument/2006/relationships/header" Target="header61.xml"/><Relationship Id="rId172" Type="http://schemas.openxmlformats.org/officeDocument/2006/relationships/footer" Target="footer61.xml"/><Relationship Id="rId173" Type="http://schemas.openxmlformats.org/officeDocument/2006/relationships/header" Target="header62.xml"/><Relationship Id="rId174" Type="http://schemas.openxmlformats.org/officeDocument/2006/relationships/footer" Target="footer62.xml"/><Relationship Id="rId175" Type="http://schemas.openxmlformats.org/officeDocument/2006/relationships/header" Target="header63.xml"/><Relationship Id="rId176" Type="http://schemas.openxmlformats.org/officeDocument/2006/relationships/footer" Target="footer63.xml"/><Relationship Id="rId177" Type="http://schemas.openxmlformats.org/officeDocument/2006/relationships/header" Target="header64.xml"/><Relationship Id="rId178" Type="http://schemas.openxmlformats.org/officeDocument/2006/relationships/footer" Target="footer64.xml"/><Relationship Id="rId179" Type="http://schemas.openxmlformats.org/officeDocument/2006/relationships/header" Target="header65.xml"/><Relationship Id="rId180" Type="http://schemas.openxmlformats.org/officeDocument/2006/relationships/footer" Target="footer65.xml"/><Relationship Id="rId181" Type="http://schemas.openxmlformats.org/officeDocument/2006/relationships/header" Target="header66.xml"/><Relationship Id="rId182" Type="http://schemas.openxmlformats.org/officeDocument/2006/relationships/footer" Target="footer66.xml"/><Relationship Id="rId183" Type="http://schemas.openxmlformats.org/officeDocument/2006/relationships/header" Target="header67.xml"/><Relationship Id="rId184" Type="http://schemas.openxmlformats.org/officeDocument/2006/relationships/footer" Target="footer67.xml"/><Relationship Id="rId185" Type="http://schemas.openxmlformats.org/officeDocument/2006/relationships/header" Target="header68.xml"/><Relationship Id="rId186" Type="http://schemas.openxmlformats.org/officeDocument/2006/relationships/footer" Target="footer68.xml"/><Relationship Id="rId187" Type="http://schemas.openxmlformats.org/officeDocument/2006/relationships/header" Target="header69.xml"/><Relationship Id="rId188" Type="http://schemas.openxmlformats.org/officeDocument/2006/relationships/footer" Target="footer69.xml"/><Relationship Id="rId189" Type="http://schemas.openxmlformats.org/officeDocument/2006/relationships/header" Target="header70.xml"/><Relationship Id="rId190" Type="http://schemas.openxmlformats.org/officeDocument/2006/relationships/footer" Target="footer70.xml"/><Relationship Id="rId191" Type="http://schemas.openxmlformats.org/officeDocument/2006/relationships/header" Target="header71.xml"/><Relationship Id="rId192" Type="http://schemas.openxmlformats.org/officeDocument/2006/relationships/footer" Target="footer71.xml"/><Relationship Id="rId193" Type="http://schemas.openxmlformats.org/officeDocument/2006/relationships/header" Target="header72.xml"/><Relationship Id="rId194" Type="http://schemas.openxmlformats.org/officeDocument/2006/relationships/footer" Target="footer72.xml"/><Relationship Id="rId195" Type="http://schemas.openxmlformats.org/officeDocument/2006/relationships/header" Target="header73.xml"/><Relationship Id="rId196" Type="http://schemas.openxmlformats.org/officeDocument/2006/relationships/footer" Target="footer73.xml"/><Relationship Id="rId197" Type="http://schemas.openxmlformats.org/officeDocument/2006/relationships/header" Target="header74.xml"/><Relationship Id="rId198" Type="http://schemas.openxmlformats.org/officeDocument/2006/relationships/footer" Target="footer74.xml"/><Relationship Id="rId199" Type="http://schemas.openxmlformats.org/officeDocument/2006/relationships/header" Target="header75.xml"/><Relationship Id="rId200" Type="http://schemas.openxmlformats.org/officeDocument/2006/relationships/footer" Target="footer75.xml"/><Relationship Id="rId201" Type="http://schemas.openxmlformats.org/officeDocument/2006/relationships/header" Target="header76.xml"/><Relationship Id="rId202" Type="http://schemas.openxmlformats.org/officeDocument/2006/relationships/footer" Target="footer76.xml"/><Relationship Id="rId203" Type="http://schemas.openxmlformats.org/officeDocument/2006/relationships/header" Target="header77.xml"/><Relationship Id="rId204" Type="http://schemas.openxmlformats.org/officeDocument/2006/relationships/footer" Target="footer77.xml"/><Relationship Id="rId205" Type="http://schemas.openxmlformats.org/officeDocument/2006/relationships/header" Target="header78.xml"/><Relationship Id="rId206" Type="http://schemas.openxmlformats.org/officeDocument/2006/relationships/footer" Target="footer78.xml"/><Relationship Id="rId207" Type="http://schemas.openxmlformats.org/officeDocument/2006/relationships/header" Target="header79.xml"/><Relationship Id="rId208" Type="http://schemas.openxmlformats.org/officeDocument/2006/relationships/footer" Target="footer79.xml"/><Relationship Id="rId209" Type="http://schemas.openxmlformats.org/officeDocument/2006/relationships/header" Target="header80.xml"/><Relationship Id="rId210" Type="http://schemas.openxmlformats.org/officeDocument/2006/relationships/footer" Target="footer80.xml"/><Relationship Id="rId211" Type="http://schemas.openxmlformats.org/officeDocument/2006/relationships/header" Target="header81.xml"/><Relationship Id="rId212" Type="http://schemas.openxmlformats.org/officeDocument/2006/relationships/footer" Target="footer81.xml"/><Relationship Id="rId213" Type="http://schemas.openxmlformats.org/officeDocument/2006/relationships/image" Target="media/image24.jpeg"/><Relationship Id="rId214" Type="http://schemas.openxmlformats.org/officeDocument/2006/relationships/image" Target="media/image24.jpeg" TargetMode="External"/><Relationship Id="rId215" Type="http://schemas.openxmlformats.org/officeDocument/2006/relationships/header" Target="header82.xml"/><Relationship Id="rId216" Type="http://schemas.openxmlformats.org/officeDocument/2006/relationships/footer" Target="footer82.xml"/><Relationship Id="rId217" Type="http://schemas.openxmlformats.org/officeDocument/2006/relationships/header" Target="header83.xml"/><Relationship Id="rId218" Type="http://schemas.openxmlformats.org/officeDocument/2006/relationships/footer" Target="footer83.xml"/><Relationship Id="rId219" Type="http://schemas.openxmlformats.org/officeDocument/2006/relationships/header" Target="header84.xml"/><Relationship Id="rId220" Type="http://schemas.openxmlformats.org/officeDocument/2006/relationships/footer" Target="footer84.xml"/><Relationship Id="rId221" Type="http://schemas.openxmlformats.org/officeDocument/2006/relationships/header" Target="header85.xml"/><Relationship Id="rId222" Type="http://schemas.openxmlformats.org/officeDocument/2006/relationships/footer" Target="footer85.xml"/><Relationship Id="rId223" Type="http://schemas.openxmlformats.org/officeDocument/2006/relationships/header" Target="header86.xml"/><Relationship Id="rId224" Type="http://schemas.openxmlformats.org/officeDocument/2006/relationships/footer" Target="footer86.xml"/><Relationship Id="rId225" Type="http://schemas.openxmlformats.org/officeDocument/2006/relationships/header" Target="header87.xml"/><Relationship Id="rId226" Type="http://schemas.openxmlformats.org/officeDocument/2006/relationships/footer" Target="footer87.xml"/><Relationship Id="rId227" Type="http://schemas.openxmlformats.org/officeDocument/2006/relationships/header" Target="header88.xml"/><Relationship Id="rId228" Type="http://schemas.openxmlformats.org/officeDocument/2006/relationships/footer" Target="footer88.xml"/><Relationship Id="rId229" Type="http://schemas.openxmlformats.org/officeDocument/2006/relationships/header" Target="header89.xml"/><Relationship Id="rId230" Type="http://schemas.openxmlformats.org/officeDocument/2006/relationships/footer" Target="footer89.xml"/><Relationship Id="rId231" Type="http://schemas.openxmlformats.org/officeDocument/2006/relationships/header" Target="header90.xml"/><Relationship Id="rId232" Type="http://schemas.openxmlformats.org/officeDocument/2006/relationships/footer" Target="footer90.xml"/><Relationship Id="rId233" Type="http://schemas.openxmlformats.org/officeDocument/2006/relationships/header" Target="header91.xml"/><Relationship Id="rId234" Type="http://schemas.openxmlformats.org/officeDocument/2006/relationships/footer" Target="footer91.xml"/><Relationship Id="rId235" Type="http://schemas.openxmlformats.org/officeDocument/2006/relationships/header" Target="header92.xml"/><Relationship Id="rId236" Type="http://schemas.openxmlformats.org/officeDocument/2006/relationships/footer" Target="footer92.xml"/><Relationship Id="rId237" Type="http://schemas.openxmlformats.org/officeDocument/2006/relationships/header" Target="header93.xml"/><Relationship Id="rId238" Type="http://schemas.openxmlformats.org/officeDocument/2006/relationships/footer" Target="footer93.xml"/><Relationship Id="rId239" Type="http://schemas.openxmlformats.org/officeDocument/2006/relationships/header" Target="header94.xml"/><Relationship Id="rId240" Type="http://schemas.openxmlformats.org/officeDocument/2006/relationships/footer" Target="footer94.xml"/><Relationship Id="rId241" Type="http://schemas.openxmlformats.org/officeDocument/2006/relationships/header" Target="header95.xml"/><Relationship Id="rId242" Type="http://schemas.openxmlformats.org/officeDocument/2006/relationships/footer" Target="footer95.xml"/><Relationship Id="rId243" Type="http://schemas.openxmlformats.org/officeDocument/2006/relationships/header" Target="header96.xml"/><Relationship Id="rId244" Type="http://schemas.openxmlformats.org/officeDocument/2006/relationships/footer" Target="footer96.xml"/><Relationship Id="rId245" Type="http://schemas.openxmlformats.org/officeDocument/2006/relationships/header" Target="header97.xml"/><Relationship Id="rId246" Type="http://schemas.openxmlformats.org/officeDocument/2006/relationships/footer" Target="footer97.xml"/><Relationship Id="rId247" Type="http://schemas.openxmlformats.org/officeDocument/2006/relationships/header" Target="header98.xml"/><Relationship Id="rId248" Type="http://schemas.openxmlformats.org/officeDocument/2006/relationships/footer" Target="footer98.xml"/><Relationship Id="rId249" Type="http://schemas.openxmlformats.org/officeDocument/2006/relationships/header" Target="header99.xml"/><Relationship Id="rId250" Type="http://schemas.openxmlformats.org/officeDocument/2006/relationships/footer" Target="footer99.xml"/><Relationship Id="rId251" Type="http://schemas.openxmlformats.org/officeDocument/2006/relationships/header" Target="header100.xml"/><Relationship Id="rId252" Type="http://schemas.openxmlformats.org/officeDocument/2006/relationships/footer" Target="footer100.xml"/><Relationship Id="rId253" Type="http://schemas.openxmlformats.org/officeDocument/2006/relationships/header" Target="header101.xml"/><Relationship Id="rId254" Type="http://schemas.openxmlformats.org/officeDocument/2006/relationships/footer" Target="footer101.xml"/><Relationship Id="rId255" Type="http://schemas.openxmlformats.org/officeDocument/2006/relationships/header" Target="header102.xml"/><Relationship Id="rId256" Type="http://schemas.openxmlformats.org/officeDocument/2006/relationships/footer" Target="footer102.xml"/><Relationship Id="rId257" Type="http://schemas.openxmlformats.org/officeDocument/2006/relationships/header" Target="header103.xml"/><Relationship Id="rId258" Type="http://schemas.openxmlformats.org/officeDocument/2006/relationships/footer" Target="footer103.xml"/><Relationship Id="rId259" Type="http://schemas.openxmlformats.org/officeDocument/2006/relationships/header" Target="header104.xml"/><Relationship Id="rId260" Type="http://schemas.openxmlformats.org/officeDocument/2006/relationships/footer" Target="footer104.xml"/><Relationship Id="rId261" Type="http://schemas.openxmlformats.org/officeDocument/2006/relationships/header" Target="header105.xml"/><Relationship Id="rId262" Type="http://schemas.openxmlformats.org/officeDocument/2006/relationships/footer" Target="footer105.xml"/><Relationship Id="rId263" Type="http://schemas.openxmlformats.org/officeDocument/2006/relationships/header" Target="header106.xml"/><Relationship Id="rId264" Type="http://schemas.openxmlformats.org/officeDocument/2006/relationships/footer" Target="footer106.xml"/><Relationship Id="rId265" Type="http://schemas.openxmlformats.org/officeDocument/2006/relationships/header" Target="header107.xml"/><Relationship Id="rId266" Type="http://schemas.openxmlformats.org/officeDocument/2006/relationships/footer" Target="footer107.xml"/><Relationship Id="rId267" Type="http://schemas.openxmlformats.org/officeDocument/2006/relationships/header" Target="header108.xml"/><Relationship Id="rId268" Type="http://schemas.openxmlformats.org/officeDocument/2006/relationships/footer" Target="footer108.xml"/><Relationship Id="rId269" Type="http://schemas.openxmlformats.org/officeDocument/2006/relationships/header" Target="header109.xml"/><Relationship Id="rId270" Type="http://schemas.openxmlformats.org/officeDocument/2006/relationships/footer" Target="footer109.xml"/><Relationship Id="rId271" Type="http://schemas.openxmlformats.org/officeDocument/2006/relationships/header" Target="header110.xml"/><Relationship Id="rId272" Type="http://schemas.openxmlformats.org/officeDocument/2006/relationships/footer" Target="footer110.xml"/><Relationship Id="rId273" Type="http://schemas.openxmlformats.org/officeDocument/2006/relationships/header" Target="header111.xml"/><Relationship Id="rId274" Type="http://schemas.openxmlformats.org/officeDocument/2006/relationships/footer" Target="footer111.xml"/><Relationship Id="rId275" Type="http://schemas.openxmlformats.org/officeDocument/2006/relationships/header" Target="header112.xml"/><Relationship Id="rId276" Type="http://schemas.openxmlformats.org/officeDocument/2006/relationships/footer" Target="footer112.xml"/><Relationship Id="rId277" Type="http://schemas.openxmlformats.org/officeDocument/2006/relationships/header" Target="header113.xml"/><Relationship Id="rId278" Type="http://schemas.openxmlformats.org/officeDocument/2006/relationships/footer" Target="footer113.xml"/><Relationship Id="rId279" Type="http://schemas.openxmlformats.org/officeDocument/2006/relationships/header" Target="header114.xml"/><Relationship Id="rId280" Type="http://schemas.openxmlformats.org/officeDocument/2006/relationships/footer" Target="footer114.xml"/><Relationship Id="rId281" Type="http://schemas.openxmlformats.org/officeDocument/2006/relationships/header" Target="header115.xml"/><Relationship Id="rId282" Type="http://schemas.openxmlformats.org/officeDocument/2006/relationships/footer" Target="footer115.xml"/><Relationship Id="rId283" Type="http://schemas.openxmlformats.org/officeDocument/2006/relationships/header" Target="header116.xml"/><Relationship Id="rId284" Type="http://schemas.openxmlformats.org/officeDocument/2006/relationships/footer" Target="footer116.xml"/><Relationship Id="rId285" Type="http://schemas.openxmlformats.org/officeDocument/2006/relationships/header" Target="header117.xml"/><Relationship Id="rId286" Type="http://schemas.openxmlformats.org/officeDocument/2006/relationships/footer" Target="footer117.xml"/><Relationship Id="rId287" Type="http://schemas.openxmlformats.org/officeDocument/2006/relationships/header" Target="header118.xml"/><Relationship Id="rId288" Type="http://schemas.openxmlformats.org/officeDocument/2006/relationships/footer" Target="footer118.xml"/><Relationship Id="rId289" Type="http://schemas.openxmlformats.org/officeDocument/2006/relationships/header" Target="header119.xml"/><Relationship Id="rId290" Type="http://schemas.openxmlformats.org/officeDocument/2006/relationships/footer" Target="footer119.xml"/><Relationship Id="rId291" Type="http://schemas.openxmlformats.org/officeDocument/2006/relationships/header" Target="header120.xml"/><Relationship Id="rId292" Type="http://schemas.openxmlformats.org/officeDocument/2006/relationships/footer" Target="footer120.xml"/><Relationship Id="rId293" Type="http://schemas.openxmlformats.org/officeDocument/2006/relationships/header" Target="header121.xml"/><Relationship Id="rId294" Type="http://schemas.openxmlformats.org/officeDocument/2006/relationships/footer" Target="footer121.xml"/><Relationship Id="rId295" Type="http://schemas.openxmlformats.org/officeDocument/2006/relationships/header" Target="header122.xml"/><Relationship Id="rId296" Type="http://schemas.openxmlformats.org/officeDocument/2006/relationships/footer" Target="footer122.xml"/><Relationship Id="rId297" Type="http://schemas.openxmlformats.org/officeDocument/2006/relationships/header" Target="header123.xml"/><Relationship Id="rId298" Type="http://schemas.openxmlformats.org/officeDocument/2006/relationships/footer" Target="footer123.xml"/><Relationship Id="rId299" Type="http://schemas.openxmlformats.org/officeDocument/2006/relationships/header" Target="header124.xml"/><Relationship Id="rId300" Type="http://schemas.openxmlformats.org/officeDocument/2006/relationships/footer" Target="footer124.xml"/><Relationship Id="rId301" Type="http://schemas.openxmlformats.org/officeDocument/2006/relationships/header" Target="header125.xml"/><Relationship Id="rId302" Type="http://schemas.openxmlformats.org/officeDocument/2006/relationships/footer" Target="footer125.xml"/><Relationship Id="rId303" Type="http://schemas.openxmlformats.org/officeDocument/2006/relationships/header" Target="header126.xml"/><Relationship Id="rId304" Type="http://schemas.openxmlformats.org/officeDocument/2006/relationships/footer" Target="footer126.xml"/><Relationship Id="rId305" Type="http://schemas.openxmlformats.org/officeDocument/2006/relationships/header" Target="header127.xml"/><Relationship Id="rId306" Type="http://schemas.openxmlformats.org/officeDocument/2006/relationships/footer" Target="footer127.xml"/><Relationship Id="rId307" Type="http://schemas.openxmlformats.org/officeDocument/2006/relationships/header" Target="header128.xml"/><Relationship Id="rId308" Type="http://schemas.openxmlformats.org/officeDocument/2006/relationships/footer" Target="footer128.xml"/><Relationship Id="rId309" Type="http://schemas.openxmlformats.org/officeDocument/2006/relationships/header" Target="header129.xml"/><Relationship Id="rId310" Type="http://schemas.openxmlformats.org/officeDocument/2006/relationships/footer" Target="footer129.xml"/><Relationship Id="rId311" Type="http://schemas.openxmlformats.org/officeDocument/2006/relationships/header" Target="header130.xml"/><Relationship Id="rId312" Type="http://schemas.openxmlformats.org/officeDocument/2006/relationships/footer" Target="footer130.xml"/><Relationship Id="rId313" Type="http://schemas.openxmlformats.org/officeDocument/2006/relationships/header" Target="header131.xml"/><Relationship Id="rId314" Type="http://schemas.openxmlformats.org/officeDocument/2006/relationships/footer" Target="footer131.xml"/><Relationship Id="rId315" Type="http://schemas.openxmlformats.org/officeDocument/2006/relationships/header" Target="header132.xml"/><Relationship Id="rId316" Type="http://schemas.openxmlformats.org/officeDocument/2006/relationships/footer" Target="footer132.xml"/><Relationship Id="rId317" Type="http://schemas.openxmlformats.org/officeDocument/2006/relationships/header" Target="header133.xml"/><Relationship Id="rId318" Type="http://schemas.openxmlformats.org/officeDocument/2006/relationships/footer" Target="footer133.xml"/><Relationship Id="rId319" Type="http://schemas.openxmlformats.org/officeDocument/2006/relationships/header" Target="header134.xml"/><Relationship Id="rId320" Type="http://schemas.openxmlformats.org/officeDocument/2006/relationships/footer" Target="footer134.xml"/><Relationship Id="rId321" Type="http://schemas.openxmlformats.org/officeDocument/2006/relationships/header" Target="header135.xml"/><Relationship Id="rId322" Type="http://schemas.openxmlformats.org/officeDocument/2006/relationships/footer" Target="footer135.xml"/><Relationship Id="rId323" Type="http://schemas.openxmlformats.org/officeDocument/2006/relationships/header" Target="header136.xml"/><Relationship Id="rId324" Type="http://schemas.openxmlformats.org/officeDocument/2006/relationships/footer" Target="footer136.xml"/><Relationship Id="rId325" Type="http://schemas.openxmlformats.org/officeDocument/2006/relationships/header" Target="header137.xml"/><Relationship Id="rId326" Type="http://schemas.openxmlformats.org/officeDocument/2006/relationships/footer" Target="footer137.xml"/><Relationship Id="rId327" Type="http://schemas.openxmlformats.org/officeDocument/2006/relationships/header" Target="header138.xml"/><Relationship Id="rId328" Type="http://schemas.openxmlformats.org/officeDocument/2006/relationships/footer" Target="footer138.xml"/><Relationship Id="rId329" Type="http://schemas.openxmlformats.org/officeDocument/2006/relationships/header" Target="header139.xml"/><Relationship Id="rId330" Type="http://schemas.openxmlformats.org/officeDocument/2006/relationships/footer" Target="footer139.xml"/><Relationship Id="rId331" Type="http://schemas.openxmlformats.org/officeDocument/2006/relationships/header" Target="header140.xml"/><Relationship Id="rId332" Type="http://schemas.openxmlformats.org/officeDocument/2006/relationships/footer" Target="footer140.xml"/><Relationship Id="rId333" Type="http://schemas.openxmlformats.org/officeDocument/2006/relationships/header" Target="header141.xml"/><Relationship Id="rId334" Type="http://schemas.openxmlformats.org/officeDocument/2006/relationships/footer" Target="footer141.xml"/><Relationship Id="rId335" Type="http://schemas.openxmlformats.org/officeDocument/2006/relationships/header" Target="header142.xml"/><Relationship Id="rId336" Type="http://schemas.openxmlformats.org/officeDocument/2006/relationships/footer" Target="footer142.xml"/><Relationship Id="rId337" Type="http://schemas.openxmlformats.org/officeDocument/2006/relationships/header" Target="header143.xml"/><Relationship Id="rId338" Type="http://schemas.openxmlformats.org/officeDocument/2006/relationships/footer" Target="footer143.xml"/><Relationship Id="rId339" Type="http://schemas.openxmlformats.org/officeDocument/2006/relationships/header" Target="header144.xml"/><Relationship Id="rId340" Type="http://schemas.openxmlformats.org/officeDocument/2006/relationships/footer" Target="footer144.xml"/><Relationship Id="rId341" Type="http://schemas.openxmlformats.org/officeDocument/2006/relationships/header" Target="header145.xml"/><Relationship Id="rId342" Type="http://schemas.openxmlformats.org/officeDocument/2006/relationships/footer" Target="footer145.xml"/><Relationship Id="rId343" Type="http://schemas.openxmlformats.org/officeDocument/2006/relationships/header" Target="header146.xml"/><Relationship Id="rId344" Type="http://schemas.openxmlformats.org/officeDocument/2006/relationships/footer" Target="footer146.xml"/><Relationship Id="rId345" Type="http://schemas.openxmlformats.org/officeDocument/2006/relationships/header" Target="header147.xml"/><Relationship Id="rId346" Type="http://schemas.openxmlformats.org/officeDocument/2006/relationships/footer" Target="footer147.xml"/><Relationship Id="rId347" Type="http://schemas.openxmlformats.org/officeDocument/2006/relationships/header" Target="header148.xml"/><Relationship Id="rId348" Type="http://schemas.openxmlformats.org/officeDocument/2006/relationships/footer" Target="footer148.xml"/><Relationship Id="rId349" Type="http://schemas.openxmlformats.org/officeDocument/2006/relationships/header" Target="header149.xml"/><Relationship Id="rId350" Type="http://schemas.openxmlformats.org/officeDocument/2006/relationships/footer" Target="footer149.xml"/><Relationship Id="rId351" Type="http://schemas.openxmlformats.org/officeDocument/2006/relationships/header" Target="header150.xml"/><Relationship Id="rId352" Type="http://schemas.openxmlformats.org/officeDocument/2006/relationships/footer" Target="footer150.xml"/><Relationship Id="rId353" Type="http://schemas.openxmlformats.org/officeDocument/2006/relationships/header" Target="header151.xml"/><Relationship Id="rId354" Type="http://schemas.openxmlformats.org/officeDocument/2006/relationships/footer" Target="footer151.xml"/><Relationship Id="rId355" Type="http://schemas.openxmlformats.org/officeDocument/2006/relationships/header" Target="header152.xml"/><Relationship Id="rId356" Type="http://schemas.openxmlformats.org/officeDocument/2006/relationships/footer" Target="footer152.xml"/><Relationship Id="rId357" Type="http://schemas.openxmlformats.org/officeDocument/2006/relationships/header" Target="header153.xml"/><Relationship Id="rId358" Type="http://schemas.openxmlformats.org/officeDocument/2006/relationships/footer" Target="footer153.xml"/><Relationship Id="rId359" Type="http://schemas.openxmlformats.org/officeDocument/2006/relationships/header" Target="header154.xml"/><Relationship Id="rId360" Type="http://schemas.openxmlformats.org/officeDocument/2006/relationships/footer" Target="footer154.xml"/><Relationship Id="rId361" Type="http://schemas.openxmlformats.org/officeDocument/2006/relationships/header" Target="header155.xml"/><Relationship Id="rId362" Type="http://schemas.openxmlformats.org/officeDocument/2006/relationships/footer" Target="footer155.xml"/><Relationship Id="rId363" Type="http://schemas.openxmlformats.org/officeDocument/2006/relationships/header" Target="header156.xml"/><Relationship Id="rId364" Type="http://schemas.openxmlformats.org/officeDocument/2006/relationships/footer" Target="footer156.xml"/><Relationship Id="rId365" Type="http://schemas.openxmlformats.org/officeDocument/2006/relationships/header" Target="header157.xml"/><Relationship Id="rId366" Type="http://schemas.openxmlformats.org/officeDocument/2006/relationships/footer" Target="footer157.xml"/><Relationship Id="rId367" Type="http://schemas.openxmlformats.org/officeDocument/2006/relationships/header" Target="header158.xml"/><Relationship Id="rId368" Type="http://schemas.openxmlformats.org/officeDocument/2006/relationships/footer" Target="footer158.xml"/><Relationship Id="rId369" Type="http://schemas.openxmlformats.org/officeDocument/2006/relationships/header" Target="header159.xml"/><Relationship Id="rId370" Type="http://schemas.openxmlformats.org/officeDocument/2006/relationships/footer" Target="footer159.xml"/><Relationship Id="rId371" Type="http://schemas.openxmlformats.org/officeDocument/2006/relationships/header" Target="header160.xml"/><Relationship Id="rId372" Type="http://schemas.openxmlformats.org/officeDocument/2006/relationships/footer" Target="footer160.xml"/><Relationship Id="rId373" Type="http://schemas.openxmlformats.org/officeDocument/2006/relationships/header" Target="header161.xml"/><Relationship Id="rId374" Type="http://schemas.openxmlformats.org/officeDocument/2006/relationships/footer" Target="footer161.xml"/><Relationship Id="rId375" Type="http://schemas.openxmlformats.org/officeDocument/2006/relationships/header" Target="header162.xml"/><Relationship Id="rId376" Type="http://schemas.openxmlformats.org/officeDocument/2006/relationships/footer" Target="footer162.xml"/><Relationship Id="rId377" Type="http://schemas.openxmlformats.org/officeDocument/2006/relationships/header" Target="header163.xml"/><Relationship Id="rId378" Type="http://schemas.openxmlformats.org/officeDocument/2006/relationships/footer" Target="footer163.xml"/><Relationship Id="rId379" Type="http://schemas.openxmlformats.org/officeDocument/2006/relationships/header" Target="header164.xml"/><Relationship Id="rId380" Type="http://schemas.openxmlformats.org/officeDocument/2006/relationships/footer" Target="footer164.xml"/><Relationship Id="rId381" Type="http://schemas.openxmlformats.org/officeDocument/2006/relationships/header" Target="header165.xml"/><Relationship Id="rId382" Type="http://schemas.openxmlformats.org/officeDocument/2006/relationships/footer" Target="footer165.xml"/><Relationship Id="rId383" Type="http://schemas.openxmlformats.org/officeDocument/2006/relationships/header" Target="header166.xml"/><Relationship Id="rId384" Type="http://schemas.openxmlformats.org/officeDocument/2006/relationships/footer" Target="footer166.xml"/><Relationship Id="rId385" Type="http://schemas.openxmlformats.org/officeDocument/2006/relationships/header" Target="header167.xml"/><Relationship Id="rId386" Type="http://schemas.openxmlformats.org/officeDocument/2006/relationships/footer" Target="footer167.xml"/><Relationship Id="rId387" Type="http://schemas.openxmlformats.org/officeDocument/2006/relationships/header" Target="header168.xml"/><Relationship Id="rId388" Type="http://schemas.openxmlformats.org/officeDocument/2006/relationships/footer" Target="footer168.xml"/><Relationship Id="rId389" Type="http://schemas.openxmlformats.org/officeDocument/2006/relationships/header" Target="header169.xml"/><Relationship Id="rId390" Type="http://schemas.openxmlformats.org/officeDocument/2006/relationships/footer" Target="footer169.xml"/><Relationship Id="rId391" Type="http://schemas.openxmlformats.org/officeDocument/2006/relationships/header" Target="header170.xml"/><Relationship Id="rId392" Type="http://schemas.openxmlformats.org/officeDocument/2006/relationships/footer" Target="footer170.xml"/><Relationship Id="rId393" Type="http://schemas.openxmlformats.org/officeDocument/2006/relationships/header" Target="header171.xml"/><Relationship Id="rId394" Type="http://schemas.openxmlformats.org/officeDocument/2006/relationships/footer" Target="footer171.xml"/><Relationship Id="rId395" Type="http://schemas.openxmlformats.org/officeDocument/2006/relationships/header" Target="header172.xml"/><Relationship Id="rId396" Type="http://schemas.openxmlformats.org/officeDocument/2006/relationships/footer" Target="footer172.xml"/><Relationship Id="rId397" Type="http://schemas.openxmlformats.org/officeDocument/2006/relationships/header" Target="header173.xml"/><Relationship Id="rId398" Type="http://schemas.openxmlformats.org/officeDocument/2006/relationships/footer" Target="footer173.xml"/><Relationship Id="rId399" Type="http://schemas.openxmlformats.org/officeDocument/2006/relationships/header" Target="header174.xml"/><Relationship Id="rId400" Type="http://schemas.openxmlformats.org/officeDocument/2006/relationships/footer" Target="footer174.xml"/><Relationship Id="rId401" Type="http://schemas.openxmlformats.org/officeDocument/2006/relationships/header" Target="header175.xml"/><Relationship Id="rId402" Type="http://schemas.openxmlformats.org/officeDocument/2006/relationships/footer" Target="footer175.xml"/><Relationship Id="rId403" Type="http://schemas.openxmlformats.org/officeDocument/2006/relationships/header" Target="header176.xml"/><Relationship Id="rId404" Type="http://schemas.openxmlformats.org/officeDocument/2006/relationships/footer" Target="footer176.xml"/><Relationship Id="rId405" Type="http://schemas.openxmlformats.org/officeDocument/2006/relationships/header" Target="header177.xml"/><Relationship Id="rId406" Type="http://schemas.openxmlformats.org/officeDocument/2006/relationships/footer" Target="footer177.xml"/><Relationship Id="rId407" Type="http://schemas.openxmlformats.org/officeDocument/2006/relationships/header" Target="header178.xml"/><Relationship Id="rId408" Type="http://schemas.openxmlformats.org/officeDocument/2006/relationships/footer" Target="footer178.xml"/><Relationship Id="rId409" Type="http://schemas.openxmlformats.org/officeDocument/2006/relationships/header" Target="header179.xml"/><Relationship Id="rId410" Type="http://schemas.openxmlformats.org/officeDocument/2006/relationships/footer" Target="footer179.xml"/><Relationship Id="rId411" Type="http://schemas.openxmlformats.org/officeDocument/2006/relationships/header" Target="header180.xml"/><Relationship Id="rId412" Type="http://schemas.openxmlformats.org/officeDocument/2006/relationships/footer" Target="footer180.xml"/><Relationship Id="rId413" Type="http://schemas.openxmlformats.org/officeDocument/2006/relationships/header" Target="header181.xml"/><Relationship Id="rId414" Type="http://schemas.openxmlformats.org/officeDocument/2006/relationships/footer" Target="footer181.xml"/><Relationship Id="rId415" Type="http://schemas.openxmlformats.org/officeDocument/2006/relationships/header" Target="header182.xml"/><Relationship Id="rId416" Type="http://schemas.openxmlformats.org/officeDocument/2006/relationships/footer" Target="footer182.xml"/><Relationship Id="rId417" Type="http://schemas.openxmlformats.org/officeDocument/2006/relationships/header" Target="header183.xml"/><Relationship Id="rId418" Type="http://schemas.openxmlformats.org/officeDocument/2006/relationships/footer" Target="footer183.xml"/><Relationship Id="rId419" Type="http://schemas.openxmlformats.org/officeDocument/2006/relationships/header" Target="header184.xml"/><Relationship Id="rId420" Type="http://schemas.openxmlformats.org/officeDocument/2006/relationships/footer" Target="footer184.xml"/><Relationship Id="rId421" Type="http://schemas.openxmlformats.org/officeDocument/2006/relationships/header" Target="header185.xml"/><Relationship Id="rId422" Type="http://schemas.openxmlformats.org/officeDocument/2006/relationships/footer" Target="footer185.xml"/><Relationship Id="rId423" Type="http://schemas.openxmlformats.org/officeDocument/2006/relationships/header" Target="header186.xml"/><Relationship Id="rId424" Type="http://schemas.openxmlformats.org/officeDocument/2006/relationships/footer" Target="footer186.xml"/><Relationship Id="rId425" Type="http://schemas.openxmlformats.org/officeDocument/2006/relationships/header" Target="header187.xml"/><Relationship Id="rId426" Type="http://schemas.openxmlformats.org/officeDocument/2006/relationships/footer" Target="footer187.xml"/><Relationship Id="rId427" Type="http://schemas.openxmlformats.org/officeDocument/2006/relationships/header" Target="header188.xml"/><Relationship Id="rId428" Type="http://schemas.openxmlformats.org/officeDocument/2006/relationships/footer" Target="footer188.xml"/><Relationship Id="rId429" Type="http://schemas.openxmlformats.org/officeDocument/2006/relationships/header" Target="header189.xml"/><Relationship Id="rId430" Type="http://schemas.openxmlformats.org/officeDocument/2006/relationships/footer" Target="footer189.xml"/><Relationship Id="rId431" Type="http://schemas.openxmlformats.org/officeDocument/2006/relationships/header" Target="header190.xml"/><Relationship Id="rId432" Type="http://schemas.openxmlformats.org/officeDocument/2006/relationships/footer" Target="footer190.xml"/><Relationship Id="rId433" Type="http://schemas.openxmlformats.org/officeDocument/2006/relationships/header" Target="header191.xml"/><Relationship Id="rId434" Type="http://schemas.openxmlformats.org/officeDocument/2006/relationships/footer" Target="footer191.xml"/><Relationship Id="rId435" Type="http://schemas.openxmlformats.org/officeDocument/2006/relationships/header" Target="header192.xml"/><Relationship Id="rId436" Type="http://schemas.openxmlformats.org/officeDocument/2006/relationships/footer" Target="footer192.xml"/><Relationship Id="rId437" Type="http://schemas.openxmlformats.org/officeDocument/2006/relationships/header" Target="header193.xml"/><Relationship Id="rId438" Type="http://schemas.openxmlformats.org/officeDocument/2006/relationships/footer" Target="footer193.xml"/><Relationship Id="rId439" Type="http://schemas.openxmlformats.org/officeDocument/2006/relationships/header" Target="header194.xml"/><Relationship Id="rId440" Type="http://schemas.openxmlformats.org/officeDocument/2006/relationships/footer" Target="footer194.xml"/><Relationship Id="rId441" Type="http://schemas.openxmlformats.org/officeDocument/2006/relationships/header" Target="header195.xml"/><Relationship Id="rId442" Type="http://schemas.openxmlformats.org/officeDocument/2006/relationships/footer" Target="footer195.xml"/><Relationship Id="rId443" Type="http://schemas.openxmlformats.org/officeDocument/2006/relationships/header" Target="header196.xml"/><Relationship Id="rId444" Type="http://schemas.openxmlformats.org/officeDocument/2006/relationships/footer" Target="footer196.xml"/><Relationship Id="rId445" Type="http://schemas.openxmlformats.org/officeDocument/2006/relationships/header" Target="header197.xml"/><Relationship Id="rId446" Type="http://schemas.openxmlformats.org/officeDocument/2006/relationships/footer" Target="footer197.xml"/><Relationship Id="rId447" Type="http://schemas.openxmlformats.org/officeDocument/2006/relationships/header" Target="header198.xml"/><Relationship Id="rId448" Type="http://schemas.openxmlformats.org/officeDocument/2006/relationships/footer" Target="footer198.xml"/><Relationship Id="rId449" Type="http://schemas.openxmlformats.org/officeDocument/2006/relationships/header" Target="header199.xml"/><Relationship Id="rId450" Type="http://schemas.openxmlformats.org/officeDocument/2006/relationships/footer" Target="footer199.xml"/><Relationship Id="rId451" Type="http://schemas.openxmlformats.org/officeDocument/2006/relationships/header" Target="header200.xml"/><Relationship Id="rId452" Type="http://schemas.openxmlformats.org/officeDocument/2006/relationships/footer" Target="footer200.xml"/><Relationship Id="rId453" Type="http://schemas.openxmlformats.org/officeDocument/2006/relationships/header" Target="header201.xml"/><Relationship Id="rId454" Type="http://schemas.openxmlformats.org/officeDocument/2006/relationships/footer" Target="footer201.xml"/><Relationship Id="rId455" Type="http://schemas.openxmlformats.org/officeDocument/2006/relationships/header" Target="header202.xml"/><Relationship Id="rId456" Type="http://schemas.openxmlformats.org/officeDocument/2006/relationships/footer" Target="footer202.xml"/><Relationship Id="rId457" Type="http://schemas.openxmlformats.org/officeDocument/2006/relationships/header" Target="header203.xml"/><Relationship Id="rId458" Type="http://schemas.openxmlformats.org/officeDocument/2006/relationships/footer" Target="footer203.xml"/><Relationship Id="rId459" Type="http://schemas.openxmlformats.org/officeDocument/2006/relationships/header" Target="header204.xml"/><Relationship Id="rId460" Type="http://schemas.openxmlformats.org/officeDocument/2006/relationships/footer" Target="footer204.xml"/><Relationship Id="rId461" Type="http://schemas.openxmlformats.org/officeDocument/2006/relationships/header" Target="header205.xml"/><Relationship Id="rId462" Type="http://schemas.openxmlformats.org/officeDocument/2006/relationships/footer" Target="footer205.xml"/><Relationship Id="rId463" Type="http://schemas.openxmlformats.org/officeDocument/2006/relationships/header" Target="header206.xml"/><Relationship Id="rId464" Type="http://schemas.openxmlformats.org/officeDocument/2006/relationships/footer" Target="footer206.xml"/><Relationship Id="rId465" Type="http://schemas.openxmlformats.org/officeDocument/2006/relationships/header" Target="header207.xml"/><Relationship Id="rId466" Type="http://schemas.openxmlformats.org/officeDocument/2006/relationships/footer" Target="footer207.xml"/><Relationship Id="rId467" Type="http://schemas.openxmlformats.org/officeDocument/2006/relationships/header" Target="header208.xml"/><Relationship Id="rId468" Type="http://schemas.openxmlformats.org/officeDocument/2006/relationships/footer" Target="footer208.xml"/><Relationship Id="rId469" Type="http://schemas.openxmlformats.org/officeDocument/2006/relationships/header" Target="header209.xml"/><Relationship Id="rId470" Type="http://schemas.openxmlformats.org/officeDocument/2006/relationships/footer" Target="footer209.xml"/><Relationship Id="rId471" Type="http://schemas.openxmlformats.org/officeDocument/2006/relationships/header" Target="header210.xml"/><Relationship Id="rId472" Type="http://schemas.openxmlformats.org/officeDocument/2006/relationships/footer" Target="footer210.xml"/><Relationship Id="rId473" Type="http://schemas.openxmlformats.org/officeDocument/2006/relationships/header" Target="header211.xml"/><Relationship Id="rId474" Type="http://schemas.openxmlformats.org/officeDocument/2006/relationships/footer" Target="footer211.xml"/><Relationship Id="rId475" Type="http://schemas.openxmlformats.org/officeDocument/2006/relationships/header" Target="header212.xml"/><Relationship Id="rId476" Type="http://schemas.openxmlformats.org/officeDocument/2006/relationships/footer" Target="footer212.xml"/><Relationship Id="rId477" Type="http://schemas.openxmlformats.org/officeDocument/2006/relationships/header" Target="header213.xml"/><Relationship Id="rId478" Type="http://schemas.openxmlformats.org/officeDocument/2006/relationships/footer" Target="footer213.xml"/></Relationships>
</file>

<file path=docProps/core.xml><?xml version="1.0" encoding="utf-8"?>
<cp:coreProperties xmlns:cp="http://schemas.openxmlformats.org/package/2006/metadata/core-properties" xmlns:dc="http://purl.org/dc/elements/1.1/">
  <dc:title>北京神州泰岳软件股份有限公司2020年年度报告全文</dc:title>
  <dc:subject/>
  <dc:creator>北京神州泰岳软件股份有限公司</dc:creator>
  <cp:keywords/>
</cp:coreProperties>
</file>